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up roughly 13% over the prior year. The headline reads as a broad, healthy ecosystem, but artificial-intelligence companies added $1.59 trillion of value in the first half while the universe as a whole gained $0.93 trillion, which means every part of the market outside artificial intelligence contracted in aggregate, by roughly $0.66 trillion combined. A single theme is lifting the average while the rest of the market gives ground, and the questions that follow, how trustworthy the valuations are, where liquidity exists, and how today's cohort will age, each turn on that fact.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$61 billion), ByteDance ($3 billion into $370 billion), and Isomorphic Labs ($2.1 billion) completed the five, four of them artificial-intelligence businesses. Below them financing sizes fall under $2 billion by the sixth company and under $1 billion shortly after, so the ten largest rounds absorbed 68.9% of the quarter's sized financing value and the twenty-five largest 78.5%. Late-stage capital is concentrating into a small number of frontier laboratories that set the reference valuations others raise against. "First-half financing was strong" describes the fundraising of five companies, not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 daily, model-derived valuation published by Morningstar; the post-money valuation of the last completed primary financing, fixed until the next round; and an implied valuation from actual secondary-market transactions, the price at which shares change hands. In aggregate the model-derived valuations sit 15.2% above the last-round valuations for the eighteen companies with a priced round, the expected pattern when a live estimate leads a financing several months stale.</w:t>
      </w:r>
    </w:p>
    <w:p>
      <w:pPr>
        <w:spacing w:after="160" w:line="276"/>
        <w:jc w:val="left"/>
      </w:pPr>
      <w:r>
        <w:rPr>
          <w:rFonts w:ascii="Georgia" w:cs="Georgia" w:eastAsia="Georgia" w:hAnsi="Georgia"/>
          <w:color w:val="1F2733"/>
          <w:sz w:val="21"/>
          <w:szCs w:val="21"/>
        </w:rPr>
        <w:t xml:space="preserve">The secondary market diverges exactly where the capital sits. For twelve of the twenty, shares trade below the model-derived valuation, and for the two largest the discount is severe: SpaceX changes hands 32% below its $2.03 trillion model valuation, about $650 billion, and Anthropic 22% below its $1.27 trillion valuation, about $282 billion. Both were struck on a recent event, SpaceX's June listing and an Anthropic financing, and both moved ahead of a market that had not repriced. Lower down the relationship inverts: Applied Intuition, Anysphere, Anduril, and Revolut trade 16% to 36% above their last round, so their recorded valuations understate them. At the bottom, model, last round, and secondary market have reset lower together at Ripple, Epic Games, and Kraken.</w:t>
      </w:r>
    </w:p>
    <w:p>
      <w:pPr>
        <w:spacing w:after="160" w:line="276"/>
        <w:jc w:val="left"/>
      </w:pPr>
      <w:r>
        <w:rPr>
          <w:rFonts w:ascii="Georgia" w:cs="Georgia" w:eastAsia="Georgia" w:hAnsi="Georgia"/>
          <w:color w:val="1F2733"/>
          <w:sz w:val="21"/>
          <w:szCs w:val="21"/>
        </w:rPr>
        <w:t xml:space="preserve">Valuation reliability, the agreement among independent estimates, runs inversely to position size. The companies most likely to dominate a late-stage portfolio are the least corroborated by trading, so a portfolio carried at model values holds its largest positions 20% to 30% above the price a buyer is currently paying, and the gap widens with position size.</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jc w:val="left"/>
      </w:pPr>
      <w:r>
        <w:rPr>
          <w:rFonts w:ascii="Georgia" w:cs="Georgia" w:eastAsia="Georgia" w:hAnsi="Georgia"/>
          <w:color w:val="1F2733"/>
          <w:sz w:val="21"/>
          <w:szCs w:val="21"/>
        </w:rPr>
        <w:t xml:space="preserve">The distance between the typical and the average unicorn is the clearest measure of concentration. The median company carries a $2.0 billion post-money valuation; the average is $18.19 billion. That 9.1-to-1 ratio was 3.1 to 1 in 2025 and 2.8 to 1 in 2024, so the distribution split open over the year. Financing sizes show the same shape, a $200 million median against a $1,143 million average, the widest separation in eleven years of data. The aggregate grew because roughly a dozen valuations were rewritten upward while the middle of the distribution did not move. An institution benchmarking to the aggregate is tracking the twelve largest companies and crediting their revaluation to the asset class; the median portfolio bears little resemblance to the index it is judged against.</w:t>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jc w:val="left"/>
      </w:pPr>
      <w:r>
        <w:rPr>
          <w:rFonts w:ascii="Georgia" w:cs="Georgia" w:eastAsia="Georgia" w:hAnsi="Georgia"/>
          <w:color w:val="1F2733"/>
          <w:sz w:val="21"/>
          <w:szCs w:val="21"/>
        </w:rPr>
        <w:t xml:space="preserve">The active financing market, the subset that actually raised, was strong. The median valuation step-up, the ratio of a new round's post-money to the prior round's, reached 2.20 times in 2026, up from 2.05 in 2025 and the highest since the 2.64 of the 2021 peak. The median interval between financings compressed to 0.98 years from 1.21 in 2025 and 1.45 in 2024. Down rounds have nearly vanished: six in the first half of 2026 worth $3.85 billion, against thirty-one in all of 2025 and thirty-four in 2024. The steepest revaluations came from small companies, Hark at 151 times its prior round, Blitzy and SendCutSend at 30 times, each valued below $7 billion, while the giants rose in dollars at modest multiples. Velocity lives at the small end, where one financing can revalue a company several times over; the stock of value lives at the large end. Every figure here describes only companies that raised, well under half the universe, and the untested majority is where the market's real risk sits.</w:t>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AI companies number 702 of 1,743 unicorns, 40.3% by count, yet account for $5.08 trillion of the $8.23 trillion in value, 61.7% of the total. The twenty-one-point gap between the shares measures how much larger the average AI company is, and it is widening: AI value rose from $3.49 trillion at the end of 2025 to $5.08 trillion by mid-2026, up 45.6% in six months, and AI accounted for 109 of the 178 companies newly crossing the billion-dollar threshold. With artificial intelligence at three-fifths of value and two-thirds of growth, an allocation to late-stage venture is a concentrated bet on one theme rather than a diversified position. A program built without an explicit view on AI is still long AI, at a weight that now exceeds what most diversified mandates would knowingly hold.</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Software-as-a-service leads at $6.44 trillion across 968 companies and artificial intelligence follows at $6.02 trillion across 865, with financial technology a distant third at $2.02 trillion across 436. The next tier is far smaller: space technology $1.87 trillion, mobility $0.83 trillion, cloud infrastructure $0.74 trillion, health technology $0.45 trillion. The two leaders hold roughly $12.5 trillion between them. Because a company can carry several category tags, these totals sum past 1,743 companies and about 1.5 times the universe by value, so they cannot be added into a total, and much of the apparent breadth is the same companies counted twice under software and AI. Space technology shows how a category can be one company: its $1.87 trillion across 34 names averages $55 billion each, but SpaceX is nearly all of it, so the category total is a single company in all but name.</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company is $2.0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artificial intelligence. Size, recency, and liquidity required together leave a small subset of the headline count, weighted toward United States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On 2026 medians, artificial intelligence recorded a relative velocity of value creation, the ratio of new valuation created to capital invested, of 1.84 times with a 2.35 times step-up across 249 financings, and software 1.42 and 2.18 across 176. The highest velocity sits in smaller categories: robotics and drones at 2.03 times, clean technology at 3.30 with a 2.77 step-up. Crypto fell from 2.62 to 1.11. Cybersecurity at 0.66 and e-commerce at 0.38 are lowest, both below 1.0 even as they raised at higher valuations (step-ups of 1.74 and 2.13 times), so each dollar invested created less than a dollar of new valuation. The three-year Monitor vertical indexes show the same order, stated as annualized returns: AI returned 58.1% a year (302.6% cumulative), enterprise software 34.2%, and cybersecurity 22.2%, the only categories to beat the Global TME benchmark of 19.6% a year (72.4% cumulative). AI compounded at about three times the public rate; financial technology, third by value, returned 12.9% and trailed. These returns run on infrequently updated valuations, which suppresses measured volatility, so the low volatility of the private indexes reflects infrequent revaluation, not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jc w:val="left"/>
      </w:pPr>
      <w:r>
        <w:rPr>
          <w:rFonts w:ascii="Georgia" w:cs="Georgia" w:eastAsia="Georgia" w:hAnsi="Georgia"/>
          <w:color w:val="1F2733"/>
          <w:sz w:val="21"/>
          <w:szCs w:val="21"/>
        </w:rPr>
        <w:t xml:space="preserve">Artificial intelligence is both the source of the market's growth and its largest concentration of value, in the same companies. It produced $1.59 trillion of the $0.93 trillion universe gain, so the rest contracted around it, and it now represents 62% of value, four of the five largest rounds, and 61% of new company formation. Because AI valuations move together and dominate the index, a repricing in a few frontier names moves the aggregate: a 25% reduction in AI valuations would remove roughly $1.27 trillion, 15.4% of all private-technology value. The companies that produced the gain are the same ones the secondary market values well below their model valuations, so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Of 635 unicorns minted in 2021, five years on 470 remain active (74%), 102 have exited (16%), and 62 have failed: 34 fell below the billion-dollar threshold while private, 15 fell at exit through a listing or sale below unicorn status, and 13 went bankrupt. Three-quarters remain illiquid four and a half years after formation, consistent with a median time to exit of 8.47 years, and the 15 that fell at exit are recorded as exits rather than failures, so the reported exit count overstates successful outcomes. Today's 702 AI unicorns are a cohort of the same size at an earlier stage. If they age as the 2021 vintage did, roughly a quarter would impair and three-quarters would remain illiquid into the next decade, though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Syndicates of six or more investors made up 60.9% of 2026 rounds with disclosed participation, near the 2021 peak of 64%, so the rounds that occur are more crowded. Investor participation by count has not recovered with the dollars: it peaked at 2,892 in the third quarter of 2021, bottomed at 895 in the fourth quarter of 2023, recovered to 1,415 in the first quarter of 2026, then fell back to 995 in the second even as financing value stayed high. A small number of firms account for the most financings: Sequoia Capital participated in 491 unicorn financings since 2016, Tiger Global 472, Andreessen Horowitz 454, Accel 382, and Coatue 344. Investor concentration mirrors company concentration.</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is four-fifths of it. SpaceX's listing was $1,690 billion; excluding it, exit value was $420.7 billion, the strongest year since 2021 but far below the headline. Public listings drove 85% of exit value, and after three years of few listings, SpaceX, Cerebras ($34 billion), and Quantinuum ($14 billion) all listed in the quarter. The median time to exit rose to 8.47 years, near the 9.17-year peak of 2025, so the companies reaching liquidity now are older vintages, not recent 2023 and 2024 formations. The 2026 total reflects one large listing and a backlog of aged companies clearing, not a broad acceleration of recent cohorts.</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Two of the ten largest still carry valuations more than a year old that a fresh financing could move either way. A quality-adjusted ranking would reorder the list, which is why a business-quality score has to sit beside the valuation rather than beneath it.</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[Pending analyst data.] The full PitchBook and AI business-quality composites require operating inputs, revenue quality, margins, customer concentration, compute independence, governance, and moat, that are not yet received. This section will score the twenty companies once that data arrives; the valuation-ranking point above holds independently of it.</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($965 billion) and OpenAI ($852 billion) together hold $1.82 trillion, 22% of the $8.23 trillion universe, and the ten largest hold about $2.9 trillion, 35% of it, against a $2.0 billion median. At this concentration the index and the median move independently: the aggregate can rise on a dozen revaluations while the typical unicorn stands still, so a move in the aggregate is not information about the median holding.</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jc w:val="left"/>
      </w:pPr>
      <w:r>
        <w:rPr>
          <w:rFonts w:ascii="Georgia" w:cs="Georgia" w:eastAsia="Georgia" w:hAnsi="Georgia"/>
          <w:color w:val="1F2733"/>
          <w:sz w:val="21"/>
          <w:szCs w:val="21"/>
        </w:rPr>
        <w:t xml:space="preserve">Anthropic (valued May 2026), ByteDance (May 2026), and OpenAI (March 2026) carry recent valuations. Below the leaders they age fast: Ant Group, seventh by value, carries a financing from August 2020, and SHEIN one from January 2024. Measured from actual latest-financing dates, 47.6% of unicorns have not raised in more than 24 months and 37.1% in more than 36. Close to half of the $8.23 trillion rests on valuations no financing has retested in two years or more. The universe divides into a small frontier of recently priced companies and a large interior of dated valuations whose repricing risk does not appear in the aggregate; the total blends roughly forty companies priced this year with hundreds priced years ago, and should be separated into recently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in 2025 and a low of 0.23 in 2023, above its pre-boom baseline of roughly 0.73. The 2.20 median step-up and 0.98-year interval point the same way. Velocity above 1.0 means each dollar raised created more than a dollar of new valuation, a reversal from 2023, when financings diluted holders more than they built value. The 2.73 average against the 1.42 median carries the same skew as valuations: value creation concentrates in a few names, and the measure counts only companies that raised.</w:t>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new failures have nearly stopped: six down rounds in the first half of 2026 worth $3.85 billion, against a peak of 34 in 2024. Failures are severe when they occur, a median failing valuation of $524.5 million and a median decline of 67% from the prior peak, leaving the typical fallen company at about a third of its high, just below the billion-dollar line. The 2021 cohort's 15 companies that fell at exit are recorded as exits, so the reported failure count understates losses. A company is recognized as failing only when it raises at a lower valuation, and 47.6% of the universe has not raised in more than two years, so the count describes companies that raised, not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deal value, and 47.6% of all valuations have gone more than two years without a financing to confirm them. The valuations that are current, at the top, are the ones the secondary market prices most below the model, by 22% at Anthropic and 32% at SpaceX. The governing fact is artificial intelligence: it added more value in six months than the entire universe gained and now holds three-fifths of all private-technology value on two-fifths of the companies.</w:t>
      </w:r>
    </w:p>
    <w:p>
      <w:pPr>
        <w:spacing w:after="160" w:line="276"/>
        <w:jc w:val="left"/>
      </w:pPr>
      <w:r>
        <w:rPr>
          <w:rFonts w:ascii="Georgia" w:cs="Georgia" w:eastAsia="Georgia" w:hAnsi="Georgia"/>
          <w:color w:val="1F2733"/>
          <w:sz w:val="21"/>
          <w:szCs w:val="21"/>
        </w:rPr>
        <w:t xml:space="preserve">The figure to track is not the aggregate, which will keep climbing on a dozen AI valuations, but the share of value resting on recently tested valuations against dated ones, and the event that will move it is the next set of frontier financings. Should the next Anthropic or SpaceX round clear below its model rather than above it, the repricing will not stay contained to a single company: on the correlations this market carries, a 25% reduction in AI valuations is $1.27 trillion off the top of the universe.</w:t>
      </w:r>
    </w:p>
    <w:p>
      <w:pPr>
        <w:spacing w:after="160" w:line="276"/>
        <w:jc w:val="left"/>
      </w:pPr>
      <w:r>
        <w:rPr>
          <w:rFonts w:ascii="Georgia" w:cs="Georgia" w:eastAsia="Georgia" w:hAnsi="Georgia"/>
          <w:color w:val="1F2733"/>
          <w:sz w:val="21"/>
          <w:szCs w:val="21"/>
        </w:rPr>
        <w:t xml:space="preserve">Source: PitchBook deal-level unicorn tracker (Final Q2 2026 Quarterly Unicorn Tracker); Morningstar PitchBook Unicorn 20 Valuations and Pricing Data; Unicorn Monitor Data Q2 2026. As of June 30, 2026. Figures on the primary-tracker basis unless flagged; not blended across bases.</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2026-07-23T20:00:27.115Z</dcterms:created>
  <dcterms:modified xsi:type="dcterms:W3CDTF">2026-07-23T20:00:27.127Z</dcterms:modified>
</cp:coreProperties>
</file>

<file path=docProps/custom.xml><?xml version="1.0" encoding="utf-8"?>
<Properties xmlns="http://schemas.openxmlformats.org/officeDocument/2006/custom-properties" xmlns:vt="http://schemas.openxmlformats.org/officeDocument/2006/docPropsVTypes"/>
</file>