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cheapest model to run is the one with the highest sticker price.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225094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225094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most expensive model on the sheet becomes the cheapest to run, and the models winning the price-cut headlines become the most expensive way to get an agentic job done. The best model for the money is Claude Opus 4.8, and it is not close.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the most expensive frontier model on the market. At a fixed quality bar it finishes a representative enterprise agentic task for about $2.56, while the cheapest model finishes the same task for about $5.83. The priciest sticker delivers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tokens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so writing is expensive and serial while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price cut not paid for by better hardware or utilization comes out of gross margin, so a lower number means better economics or a subsidy, indistinguishable on a sheet. A long context is not free either, because conversation memory grows with the context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082203"/>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082203"/>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GPT-5.6 Sol</w:t>
            </w:r>
          </w:p>
        </w:tc>
        <w:tc>
          <w:tcPr>
            <w:tcW w:type="dxa" w:w="1298"/>
            <w:shd w:val="clear" w:fill="EAF0F8"/>
          </w:tcPr>
          <w:p>
            <w:pPr>
              <w:spacing w:after="0"/>
              <w:jc w:val="center"/>
            </w:pPr>
            <w:r/>
            <w:r>
              <w:rPr>
                <w:rFonts w:ascii="Calibri Light" w:hAnsi="Calibri Light"/>
                <w:b w:val="0"/>
                <w:color w:val="000000"/>
                <w:sz w:val="17"/>
              </w:rPr>
              <w:t>$5.00</w:t>
            </w:r>
          </w:p>
        </w:tc>
        <w:tc>
          <w:tcPr>
            <w:tcW w:type="dxa" w:w="1298"/>
            <w:shd w:val="clear" w:fill="EAF0F8"/>
          </w:tcPr>
          <w:p>
            <w:pPr>
              <w:spacing w:after="0"/>
              <w:jc w:val="center"/>
            </w:pPr>
            <w:r/>
            <w:r>
              <w:rPr>
                <w:rFonts w:ascii="Calibri Light" w:hAnsi="Calibri Light"/>
                <w:b w:val="0"/>
                <w:color w:val="000000"/>
                <w:sz w:val="17"/>
              </w:rPr>
              <w:t>$30.00</w:t>
            </w:r>
          </w:p>
        </w:tc>
        <w:tc>
          <w:tcPr>
            <w:tcW w:type="dxa" w:w="1298"/>
            <w:shd w:val="clear" w:fill="EAF0F8"/>
          </w:tcPr>
          <w:p>
            <w:pPr>
              <w:spacing w:after="0"/>
              <w:jc w:val="center"/>
            </w:pPr>
            <w:r/>
            <w:r>
              <w:rPr>
                <w:rFonts w:ascii="Calibri Light" w:hAnsi="Calibri Light"/>
                <w:b w:val="0"/>
                <w:color w:val="000000"/>
                <w:sz w:val="17"/>
              </w:rPr>
              <w:t>$0.66</w:t>
            </w:r>
          </w:p>
        </w:tc>
        <w:tc>
          <w:tcPr>
            <w:tcW w:type="dxa" w:w="1298"/>
            <w:shd w:val="clear" w:fill="EAF0F8"/>
          </w:tcPr>
          <w:p>
            <w:pPr>
              <w:spacing w:after="0"/>
              <w:jc w:val="center"/>
            </w:pPr>
            <w:r/>
            <w:r>
              <w:rPr>
                <w:rFonts w:ascii="Calibri Light" w:hAnsi="Calibri Light"/>
                <w:b w:val="0"/>
                <w:color w:val="000000"/>
                <w:sz w:val="17"/>
              </w:rPr>
              <w:t>$0.73</w:t>
            </w:r>
          </w:p>
        </w:tc>
        <w:tc>
          <w:tcPr>
            <w:tcW w:type="dxa" w:w="1298"/>
            <w:shd w:val="clear" w:fill="EAF0F8"/>
          </w:tcPr>
          <w:p>
            <w:pPr>
              <w:spacing w:after="0"/>
              <w:jc w:val="center"/>
            </w:pPr>
            <w:r/>
            <w:r>
              <w:rPr>
                <w:rFonts w:ascii="Calibri Light" w:hAnsi="Calibri Light"/>
                <w:b w:val="0"/>
                <w:color w:val="000000"/>
                <w:sz w:val="17"/>
              </w:rPr>
              <w:t>$0.88</w:t>
            </w:r>
          </w:p>
        </w:tc>
        <w:tc>
          <w:tcPr>
            <w:tcW w:type="dxa" w:w="1298"/>
            <w:shd w:val="clear" w:fill="EAF0F8"/>
          </w:tcPr>
          <w:p>
            <w:pPr>
              <w:spacing w:after="0"/>
              <w:jc w:val="center"/>
            </w:pPr>
            <w:r/>
            <w:r>
              <w:rPr>
                <w:rFonts w:ascii="Calibri Light" w:hAnsi="Calibri Light"/>
                <w:b w:val="0"/>
                <w:color w:val="000000"/>
                <w:sz w:val="17"/>
              </w:rPr>
              <w:t>$1.02</w:t>
            </w:r>
          </w:p>
        </w:tc>
      </w:tr>
      <w:tr>
        <w:trPr>
          <w:cantSplit/>
        </w:trPr>
        <w:tc>
          <w:tcPr>
            <w:tcW w:type="dxa" w:w="2050"/>
          </w:tcPr>
          <w:p>
            <w:pPr>
              <w:spacing w:after="0"/>
              <w:jc w:val="left"/>
            </w:pPr>
            <w:r/>
            <w:r>
              <w:rPr>
                <w:rFonts w:ascii="Calibri Light" w:hAnsi="Calibri Light"/>
                <w:b w:val="0"/>
                <w:color w:val="000000"/>
                <w:sz w:val="17"/>
              </w:rPr>
              <w:t>GPT-5.6 Luna</w:t>
            </w:r>
          </w:p>
        </w:tc>
        <w:tc>
          <w:tcPr>
            <w:tcW w:type="dxa" w:w="1298"/>
          </w:tcPr>
          <w:p>
            <w:pPr>
              <w:spacing w:after="0"/>
              <w:jc w:val="center"/>
            </w:pPr>
            <w:r/>
            <w:r>
              <w:rPr>
                <w:rFonts w:ascii="Calibri Light" w:hAnsi="Calibri Light"/>
                <w:b w:val="0"/>
                <w:color w:val="000000"/>
                <w:sz w:val="17"/>
              </w:rPr>
              <w:t>$1.00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$0.15</w:t>
            </w:r>
          </w:p>
        </w:tc>
        <w:tc>
          <w:tcPr>
            <w:tcW w:type="dxa" w:w="1298"/>
          </w:tcPr>
          <w:p>
            <w:pPr>
              <w:spacing w:after="0"/>
              <w:jc w:val="center"/>
            </w:pPr>
            <w:r/>
            <w:r>
              <w:rPr>
                <w:rFonts w:ascii="Calibri Light" w:hAnsi="Calibri Light"/>
                <w:b w:val="0"/>
                <w:color w:val="000000"/>
                <w:sz w:val="17"/>
              </w:rPr>
              <w:t>$0.18</w:t>
            </w:r>
          </w:p>
        </w:tc>
        <w:tc>
          <w:tcPr>
            <w:tcW w:type="dxa" w:w="1298"/>
          </w:tcPr>
          <w:p>
            <w:pPr>
              <w:spacing w:after="0"/>
              <w:jc w:val="center"/>
            </w:pPr>
            <w:r/>
            <w:r>
              <w:rPr>
                <w:rFonts w:ascii="Calibri Light" w:hAnsi="Calibri Light"/>
                <w:b w:val="0"/>
                <w:color w:val="000000"/>
                <w:sz w:val="17"/>
              </w:rPr>
              <w:t>$0.20</w:t>
            </w:r>
          </w:p>
        </w:tc>
      </w:tr>
      <w:tr>
        <w:trPr>
          <w:cantSplit/>
        </w:trPr>
        <w:tc>
          <w:tcPr>
            <w:tcW w:type="dxa" w:w="2050"/>
            <w:shd w:val="clear" w:fill="EAF0F8"/>
          </w:tcPr>
          <w:p>
            <w:pPr>
              <w:spacing w:after="0"/>
              <w:jc w:val="left"/>
            </w:pPr>
            <w:r/>
            <w:r>
              <w:rPr>
                <w:rFonts w:ascii="Calibri Light" w:hAnsi="Calibri Light"/>
                <w:b w:val="0"/>
                <w:color w:val="000000"/>
                <w:sz w:val="17"/>
              </w:rPr>
              <w:t>Grok 4.5</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$0.19</w:t>
            </w:r>
          </w:p>
        </w:tc>
        <w:tc>
          <w:tcPr>
            <w:tcW w:type="dxa" w:w="1298"/>
            <w:shd w:val="clear" w:fill="EAF0F8"/>
          </w:tcPr>
          <w:p>
            <w:pPr>
              <w:spacing w:after="0"/>
              <w:jc w:val="center"/>
            </w:pPr>
            <w:r/>
            <w:r>
              <w:rPr>
                <w:rFonts w:ascii="Calibri Light" w:hAnsi="Calibri Light"/>
                <w:b w:val="0"/>
                <w:color w:val="000000"/>
                <w:sz w:val="17"/>
              </w:rPr>
              <w:t>$0.21</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$0.30</w:t>
            </w:r>
          </w:p>
        </w:tc>
      </w:tr>
      <w:tr>
        <w:trPr>
          <w:cantSplit/>
        </w:trPr>
        <w:tc>
          <w:tcPr>
            <w:tcW w:type="dxa" w:w="2050"/>
          </w:tcPr>
          <w:p>
            <w:pPr>
              <w:spacing w:after="0"/>
              <w:jc w:val="left"/>
            </w:pPr>
            <w:r/>
            <w:r>
              <w:rPr>
                <w:rFonts w:ascii="Calibri Light" w:hAnsi="Calibri Light"/>
                <w:b w:val="0"/>
                <w:color w:val="000000"/>
                <w:sz w:val="17"/>
              </w:rPr>
              <w:t>Muse Spark 1.1</w:t>
            </w:r>
          </w:p>
        </w:tc>
        <w:tc>
          <w:tcPr>
            <w:tcW w:type="dxa" w:w="1298"/>
          </w:tcPr>
          <w:p>
            <w:pPr>
              <w:spacing w:after="0"/>
              <w:jc w:val="center"/>
            </w:pPr>
            <w:r/>
            <w:r>
              <w:rPr>
                <w:rFonts w:ascii="Calibri Light" w:hAnsi="Calibri Light"/>
                <w:b w:val="0"/>
                <w:color w:val="000000"/>
                <w:sz w:val="17"/>
              </w:rPr>
              <w:t>$1.25</w:t>
            </w:r>
          </w:p>
        </w:tc>
        <w:tc>
          <w:tcPr>
            <w:tcW w:type="dxa" w:w="1298"/>
          </w:tcPr>
          <w:p>
            <w:pPr>
              <w:spacing w:after="0"/>
              <w:jc w:val="center"/>
            </w:pPr>
            <w:r/>
            <w:r>
              <w:rPr>
                <w:rFonts w:ascii="Calibri Light" w:hAnsi="Calibri Light"/>
                <w:b w:val="0"/>
                <w:color w:val="000000"/>
                <w:sz w:val="17"/>
              </w:rPr>
              <w:t>$4.25</w:t>
            </w:r>
          </w:p>
        </w:tc>
        <w:tc>
          <w:tcPr>
            <w:tcW w:type="dxa" w:w="1298"/>
          </w:tcPr>
          <w:p>
            <w:pPr>
              <w:spacing w:after="0"/>
              <w:jc w:val="center"/>
            </w:pPr>
            <w:r/>
            <w:r>
              <w:rPr>
                <w:rFonts w:ascii="Calibri Light" w:hAnsi="Calibri Light"/>
                <w:b w:val="0"/>
                <w:color w:val="000000"/>
                <w:sz w:val="17"/>
              </w:rPr>
              <w:t>$0.13</w:t>
            </w:r>
          </w:p>
        </w:tc>
        <w:tc>
          <w:tcPr>
            <w:tcW w:type="dxa" w:w="1298"/>
          </w:tcPr>
          <w:p>
            <w:pPr>
              <w:spacing w:after="0"/>
              <w:jc w:val="center"/>
            </w:pPr>
            <w:r/>
            <w:r>
              <w:rPr>
                <w:rFonts w:ascii="Calibri Light" w:hAnsi="Calibri Light"/>
                <w:b w:val="0"/>
                <w:color w:val="000000"/>
                <w:sz w:val="17"/>
              </w:rPr>
              <w:t>$0.14</w:t>
            </w:r>
          </w:p>
        </w:tc>
        <w:tc>
          <w:tcPr>
            <w:tcW w:type="dxa" w:w="1298"/>
          </w:tcPr>
          <w:p>
            <w:pPr>
              <w:spacing w:after="0"/>
              <w:jc w:val="center"/>
            </w:pPr>
            <w:r/>
            <w:r>
              <w:rPr>
                <w:rFonts w:ascii="Calibri Light" w:hAnsi="Calibri Light"/>
                <w:b w:val="0"/>
                <w:color w:val="000000"/>
                <w:sz w:val="17"/>
              </w:rPr>
              <w:t>$0.17</w:t>
            </w:r>
          </w:p>
        </w:tc>
        <w:tc>
          <w:tcPr>
            <w:tcW w:type="dxa" w:w="1298"/>
          </w:tcPr>
          <w:p>
            <w:pPr>
              <w:spacing w:after="0"/>
              <w:jc w:val="center"/>
            </w:pPr>
            <w:r/>
            <w:r>
              <w:rPr>
                <w:rFonts w:ascii="Calibri Light" w:hAnsi="Calibri Light"/>
                <w:b w:val="0"/>
                <w:color w:val="000000"/>
                <w:sz w:val="17"/>
              </w:rPr>
              <w:t>$0.19</w:t>
            </w:r>
          </w:p>
        </w:tc>
      </w:tr>
      <w:tr>
        <w:trPr>
          <w:cantSplit/>
        </w:trPr>
        <w:tc>
          <w:tcPr>
            <w:tcW w:type="dxa" w:w="2050"/>
            <w:shd w:val="clear" w:fill="EAF0F8"/>
          </w:tcPr>
          <w:p>
            <w:pPr>
              <w:spacing w:after="0"/>
              <w:jc w:val="left"/>
            </w:pPr>
            <w:r/>
            <w:r>
              <w:rPr>
                <w:rFonts w:ascii="Calibri Light" w:hAnsi="Calibri Light"/>
                <w:b w:val="0"/>
                <w:color w:val="000000"/>
                <w:sz w:val="17"/>
              </w:rPr>
              <w:t>Claude Mythos 5</w:t>
            </w:r>
          </w:p>
        </w:tc>
        <w:tc>
          <w:tcPr>
            <w:tcW w:type="dxa" w:w="1298"/>
            <w:shd w:val="clear" w:fill="EAF0F8"/>
          </w:tcPr>
          <w:p>
            <w:pPr>
              <w:spacing w:after="0"/>
              <w:jc w:val="center"/>
            </w:pPr>
            <w:r/>
            <w:r>
              <w:rPr>
                <w:rFonts w:ascii="Calibri Light" w:hAnsi="Calibri Light"/>
                <w:b w:val="0"/>
                <w:color w:val="000000"/>
                <w:sz w:val="17"/>
              </w:rPr>
              <w:t>$10.00</w:t>
            </w:r>
          </w:p>
        </w:tc>
        <w:tc>
          <w:tcPr>
            <w:tcW w:type="dxa" w:w="1298"/>
            <w:shd w:val="clear" w:fill="EAF0F8"/>
          </w:tcPr>
          <w:p>
            <w:pPr>
              <w:spacing w:after="0"/>
              <w:jc w:val="center"/>
            </w:pPr>
            <w:r/>
            <w:r>
              <w:rPr>
                <w:rFonts w:ascii="Calibri Light" w:hAnsi="Calibri Light"/>
                <w:b w:val="0"/>
                <w:color w:val="000000"/>
                <w:sz w:val="17"/>
              </w:rPr>
              <w:t>$50.00</w:t>
            </w:r>
          </w:p>
        </w:tc>
        <w:tc>
          <w:tcPr>
            <w:tcW w:type="dxa" w:w="1298"/>
            <w:shd w:val="clear" w:fill="EAF0F8"/>
          </w:tcPr>
          <w:p>
            <w:pPr>
              <w:spacing w:after="0"/>
              <w:jc w:val="center"/>
            </w:pPr>
            <w:r/>
            <w:r>
              <w:rPr>
                <w:rFonts w:ascii="Calibri Light" w:hAnsi="Calibri Light"/>
                <w:b w:val="0"/>
                <w:color w:val="000000"/>
                <w:sz w:val="17"/>
              </w:rPr>
              <w:t>$1.20</w:t>
            </w:r>
          </w:p>
        </w:tc>
        <w:tc>
          <w:tcPr>
            <w:tcW w:type="dxa" w:w="1298"/>
            <w:shd w:val="clear" w:fill="EAF0F8"/>
          </w:tcPr>
          <w:p>
            <w:pPr>
              <w:spacing w:after="0"/>
              <w:jc w:val="center"/>
            </w:pPr>
            <w:r/>
            <w:r>
              <w:rPr>
                <w:rFonts w:ascii="Calibri Light" w:hAnsi="Calibri Light"/>
                <w:b w:val="0"/>
                <w:color w:val="000000"/>
                <w:sz w:val="17"/>
              </w:rPr>
              <w:t>$1.33</w:t>
            </w:r>
          </w:p>
        </w:tc>
        <w:tc>
          <w:tcPr>
            <w:tcW w:type="dxa" w:w="1298"/>
            <w:shd w:val="clear" w:fill="EAF0F8"/>
          </w:tcPr>
          <w:p>
            <w:pPr>
              <w:spacing w:after="0"/>
              <w:jc w:val="center"/>
            </w:pPr>
            <w:r/>
            <w:r>
              <w:rPr>
                <w:rFonts w:ascii="Calibri Light" w:hAnsi="Calibri Light"/>
                <w:b w:val="0"/>
                <w:color w:val="000000"/>
                <w:sz w:val="17"/>
              </w:rPr>
              <w:t>$1.60</w:t>
            </w:r>
          </w:p>
        </w:tc>
        <w:tc>
          <w:tcPr>
            <w:tcW w:type="dxa" w:w="1298"/>
            <w:shd w:val="clear" w:fill="EAF0F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Anthropic's limited-availability flagship at $10 and $50, exactly twice Opus.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deliberately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to say always,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in a narrow band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not efficiency, and who can pay it decides the war.</w:t>
      </w:r>
    </w:p>
    <w:p>
      <w:pPr>
        <w:spacing w:after="140"/>
      </w:pPr>
      <w:r>
        <w:rPr>
          <w:rFonts w:ascii="Calibri Light" w:hAnsi="Calibri Light"/>
          <w:b w:val="0"/>
          <w:i w:val="0"/>
          <w:color w:val="000000"/>
          <w:sz w:val="20"/>
        </w:rPr>
        <w:t>Meta is the one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earns about $3.2B against a FY25 operating loss north of six billion, and the subsidy runs through the SpaceX and Starlink cross-flow, a balance-sheet decision rather than a business model. A better cheap model does not close a six-billion-dollar loss.</w:t>
      </w:r>
    </w:p>
    <w:p>
      <w:pPr>
        <w:spacing w:after="140"/>
      </w:pPr>
      <w:r>
        <w:rPr>
          <w:rFonts w:ascii="Calibri Light" w:hAnsi="Calibri Light"/>
          <w:b w:val="0"/>
          <w:i w:val="0"/>
          <w:color w:val="000000"/>
          <w:sz w:val="20"/>
        </w:rPr>
        <w:t>OpenAI is running segmentation, not a race to zero, and the tell is that Sol lists above Opus on output. Luna harvests price-sensitive volume while Sol defends the premium, and with roughly twenty-five billion in net revenue, about nine hundred million weekly users, and Codex above one and a half million, OpenAI needs the premium tier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is three moves: hold list price, extend the premium upward, and prove that enterprises keep buying it.</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at a six-to-eight-dollar serving cost. Every output price below roughly eight dollars is gross-margin negative, so the floor tier is sold below cost.</w:t>
      </w:r>
    </w:p>
    <w:p>
      <w:pPr>
        <w:spacing w:before="40" w:after="120"/>
      </w:pPr>
      <w:r>
        <w:drawing>
          <wp:inline xmlns:a="http://schemas.openxmlformats.org/drawingml/2006/main" xmlns:pic="http://schemas.openxmlformats.org/drawingml/2006/picture">
            <wp:extent cx="6309360" cy="210246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10246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roughly fifty-five to sixty-five percent of enterprise agentic dollars flow to reliability-gated work where the premium is defensible, and the rest to failure-tolerant work that carries most of the volume. The two ends split volume and value in opposite directions, and the value end is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Cheaper inference is accretive to buyers and the application layer and dilutive to the model layer, because every dollar cut from output pricing lands with whoever owns the workflow, not the lab that cut it. That is the public-book read-through.</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Financing makes the war possible. The roughly three-and-a-half-trillion-dollar private-credit market is the marginal source of AI capital, and labs price below serving cost because debt funds the gap. Anthropic's roughly thirty-five-billion-dollar June chip-bond stack is the template; xAI's cross-subsidy is the same in a corporate wrapper. A war paid for by credit ends when the credit reprices, not when a margin breaks, so the covenant is the market's appetite for negative-margin token sales, which makes the price war and the coming IPO one question.</w:t>
      </w:r>
    </w:p>
    <w:p>
      <w:pPr>
        <w:spacing w:after="140"/>
      </w:pPr>
      <w:r>
        <w:rPr>
          <w:rFonts w:ascii="Calibri Light" w:hAnsi="Calibri Light"/>
          <w:b w:val="0"/>
          <w:i w:val="0"/>
          <w:color w:val="000000"/>
          <w:sz w:val="20"/>
        </w:rPr>
        <w:t>The IPO is the pressure test. The repricing lands about three months before Anthropic's October S-1, which forces open what private markets have never seen: model-layer gross margin, mix, and any enterprise attach. Filing at a $965B mark while a rival prices comparable-claim inference at a quarter of the rate is the hardest setup and the cleanest validation at once: hold price and attach through the window and the best-value thesis is proven under live fire. The gross-margin page, not any benchmark, is the most repriced disclosure in the filing.</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They pay a flat subscription, now roughly twenty dollars a month, or in attention and data on an ad-funded free tier, which is Meta's model, or invisibly through AI folded into a subscription they already hold. The token war reaches them indirectly but governs what they are offered.</w:t>
      </w:r>
    </w:p>
    <w:p>
      <w:pPr>
        <w:spacing w:after="140"/>
      </w:pPr>
      <w:r>
        <w:rPr>
          <w:rFonts w:ascii="Calibri Light" w:hAnsi="Calibri Light"/>
          <w:b w:val="0"/>
          <w:i w:val="0"/>
          <w:color w:val="000000"/>
          <w:sz w:val="20"/>
        </w:rPr>
        <w:t>The central consequence is that cheaper inference makes the free tier good enough. When serving a capable model costs a fraction of a year ago, the rational move is to give more away, so capability inflates at the free tier while willingness to pay compresses at the paid one. That is the mirror of the enterprise story: enterprises pay for reliability they can measure, consumers will not pay for quality they cannot perceive. The market splits along the same barbell, a free ad-funded tier where Meta is advantaged and a premium bundle sold as an agent that books, buys, and codes; a paid chatbot that only answers questions is the consumer squeezed middle. As prices fall the payment shifts toward data and attention, and distribution decides the consumer war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This is why Grok's refresh does not win: a better cheap model with a unique data feed is still only a model, and xAI owns no seat to route it through and no cash engine to outlast the incumbents. Cheap tokens win benchmarks and spot volume, which churn on the next price sheet; seat-level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Highest quality; Opus plus Mythos</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Meta</w:t>
            </w:r>
          </w:p>
        </w:tc>
        <w:tc>
          <w:tcPr>
            <w:tcW w:type="dxa" w:w="1558"/>
          </w:tcPr>
          <w:p>
            <w:pPr>
              <w:spacing w:after="0"/>
              <w:jc w:val="center"/>
            </w:pPr>
            <w:r/>
            <w:r>
              <w:rPr>
                <w:rFonts w:ascii="Calibri Light" w:hAnsi="Calibri Light"/>
                <w:b w:val="0"/>
                <w:color w:val="000000"/>
                <w:sz w:val="17"/>
              </w:rPr>
              <w:t>Cheapest sticker, dearest per completed task</w:t>
            </w:r>
          </w:p>
        </w:tc>
        <w:tc>
          <w:tcPr>
            <w:tcW w:type="dxa" w:w="1558"/>
          </w:tcPr>
          <w:p>
            <w:pPr>
              <w:spacing w:after="0"/>
              <w:jc w:val="center"/>
            </w:pPr>
            <w:r/>
            <w:r>
              <w:rPr>
                <w:rFonts w:ascii="Calibri Light" w:hAnsi="Calibri Light"/>
                <w:b w:val="0"/>
                <w:color w:val="000000"/>
                <w:sz w:val="17"/>
              </w:rPr>
              <w:t>Reported strong agent</w:t>
            </w:r>
          </w:p>
        </w:tc>
        <w:tc>
          <w:tcPr>
            <w:tcW w:type="dxa" w:w="1558"/>
          </w:tcPr>
          <w:p>
            <w:pPr>
              <w:spacing w:after="0"/>
              <w:jc w:val="center"/>
            </w:pPr>
            <w:r/>
            <w:r>
              <w:rPr>
                <w:rFonts w:ascii="Calibri Light" w:hAnsi="Calibri Light"/>
                <w:b w:val="0"/>
                <w:color w:val="000000"/>
                <w:sz w:val="17"/>
              </w:rPr>
              <w:t>Ad engine and owned surfaces</w:t>
            </w:r>
          </w:p>
        </w:tc>
        <w:tc>
          <w:tcPr>
            <w:tcW w:type="dxa" w:w="1558"/>
          </w:tcPr>
          <w:p>
            <w:pPr>
              <w:spacing w:after="0"/>
              <w:jc w:val="center"/>
            </w:pPr>
            <w:r/>
            <w:r>
              <w:rPr>
                <w:rFonts w:ascii="Calibri Light" w:hAnsi="Calibri Light"/>
                <w:b w:val="0"/>
                <w:color w:val="000000"/>
                <w:sz w:val="17"/>
              </w:rPr>
              <w:t>No model margin needed</w:t>
            </w:r>
          </w:p>
        </w:tc>
        <w:tc>
          <w:tcPr>
            <w:tcW w:type="dxa" w:w="1558"/>
          </w:tcPr>
          <w:p>
            <w:pPr>
              <w:spacing w:after="0"/>
              <w:jc w:val="center"/>
            </w:pPr>
            <w:r/>
            <w:r>
              <w:rPr>
                <w:rFonts w:ascii="Calibri Light" w:hAnsi="Calibri Light"/>
                <w:b w:val="0"/>
                <w:color w:val="000000"/>
                <w:sz w:val="17"/>
              </w:rPr>
              <w:t>Owns the floor</w:t>
            </w:r>
          </w:p>
        </w:tc>
      </w:tr>
      <w:tr>
        <w:trPr>
          <w:cantSplit/>
        </w:trPr>
        <w:tc>
          <w:tcPr>
            <w:tcW w:type="dxa" w:w="2050"/>
            <w:shd w:val="clear" w:fill="EAF0F8"/>
          </w:tcPr>
          <w:p>
            <w:pPr>
              <w:spacing w:after="0"/>
              <w:jc w:val="left"/>
            </w:pPr>
            <w:r/>
            <w:r>
              <w:rPr>
                <w:rFonts w:ascii="Calibri Light" w:hAnsi="Calibri Light"/>
                <w:b w:val="0"/>
                <w:color w:val="000000"/>
                <w:sz w:val="17"/>
              </w:rPr>
              <w:t>xAI</w:t>
            </w:r>
          </w:p>
        </w:tc>
        <w:tc>
          <w:tcPr>
            <w:tcW w:type="dxa" w:w="1558"/>
            <w:shd w:val="clear" w:fill="EAF0F8"/>
          </w:tcPr>
          <w:p>
            <w:pPr>
              <w:spacing w:after="0"/>
              <w:jc w:val="center"/>
            </w:pPr>
            <w:r/>
            <w:r>
              <w:rPr>
                <w:rFonts w:ascii="Calibri Light" w:hAnsi="Calibri Light"/>
                <w:b w:val="0"/>
                <w:color w:val="000000"/>
                <w:sz w:val="17"/>
              </w:rPr>
              <w:t>Value leader on paper only</w:t>
            </w:r>
          </w:p>
        </w:tc>
        <w:tc>
          <w:tcPr>
            <w:tcW w:type="dxa" w:w="1558"/>
            <w:shd w:val="clear" w:fill="EAF0F8"/>
          </w:tcPr>
          <w:p>
            <w:pPr>
              <w:spacing w:after="0"/>
              <w:jc w:val="center"/>
            </w:pPr>
            <w:r/>
            <w:r>
              <w:rPr>
                <w:rFonts w:ascii="Calibri Light" w:hAnsi="Calibri Light"/>
                <w:b w:val="0"/>
                <w:color w:val="000000"/>
                <w:sz w:val="17"/>
              </w:rPr>
              <w:t>Grok 4.5 refresh: agentic, real-time data</w:t>
            </w:r>
          </w:p>
        </w:tc>
        <w:tc>
          <w:tcPr>
            <w:tcW w:type="dxa" w:w="1558"/>
            <w:shd w:val="clear" w:fill="EAF0F8"/>
          </w:tcPr>
          <w:p>
            <w:pPr>
              <w:spacing w:after="0"/>
              <w:jc w:val="center"/>
            </w:pPr>
            <w:r/>
            <w:r>
              <w:rPr>
                <w:rFonts w:ascii="Calibri Light" w:hAnsi="Calibri Light"/>
                <w:b w:val="0"/>
                <w:color w:val="000000"/>
                <w:sz w:val="17"/>
              </w:rPr>
              <w:t>Real-time X and Starlink feed; no seat</w:t>
            </w:r>
          </w:p>
        </w:tc>
        <w:tc>
          <w:tcPr>
            <w:tcW w:type="dxa" w:w="1558"/>
            <w:shd w:val="clear" w:fill="EAF0F8"/>
          </w:tcPr>
          <w:p>
            <w:pPr>
              <w:spacing w:after="0"/>
              <w:jc w:val="center"/>
            </w:pPr>
            <w:r/>
            <w:r>
              <w:rPr>
                <w:rFonts w:ascii="Calibri Light" w:hAnsi="Calibri Light"/>
                <w:b w:val="0"/>
                <w:color w:val="000000"/>
                <w:sz w:val="17"/>
              </w:rPr>
              <w:t>Loss north of six billion a year</w:t>
            </w:r>
          </w:p>
        </w:tc>
        <w:tc>
          <w:tcPr>
            <w:tcW w:type="dxa" w:w="1558"/>
            <w:shd w:val="clear" w:fill="EAF0F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Either way, the company is Anthropic.</w:t>
      </w:r>
    </w:p>
    <w:p>
      <w:pPr>
        <w:spacing w:after="140"/>
      </w:pPr>
      <w:r>
        <w:rPr>
          <w:rFonts w:ascii="Calibri Light" w:hAnsi="Calibri Light"/>
          <w:b w:val="0"/>
          <w:i w:val="0"/>
          <w:color w:val="000000"/>
          <w:sz w:val="20"/>
        </w:rPr>
        <w:t>Is Opus really best, or an artifact of our reliability assumption? The verdict is sturdier than it looks. Against Sol it wins at every equal level of reliability, because Sol prices output at thirty dollars to Opus's twenty-five, so Sol can take the value crown only by being materially more reliable, which nothing in the quality data suggests. Against the cheap tier it wins the moment its reliability edge clears a few points, which the break-even math shows is a low bar. The one load-bearing assumption is the ordering, that Anthropic's models are the most reliable, and that is what the business-quality data supports: Anthropic outscores every other lab on our composite. The controversial part is not the pick but what it says about the market: the companies winning the price-cut headlines are selling the worst value in it, and the model the war was meant to kill is the cheapest way to get real work done.</w:t>
      </w:r>
    </w:p>
    <w:p>
      <w:pPr>
        <w:pStyle w:val="Heading2"/>
      </w:pPr>
      <w:r>
        <w:t>What would change the call</w:t>
      </w:r>
    </w:p>
    <w:p>
      <w:pPr>
        <w:spacing w:after="140"/>
      </w:pPr>
      <w:r>
        <w:rPr>
          <w:rFonts w:ascii="Calibri Light" w:hAnsi="Calibri Light"/>
          <w:b w:val="0"/>
          <w:i w:val="0"/>
          <w:color w:val="000000"/>
          <w:sz w:val="20"/>
        </w:rPr>
        <w:t>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We watch five dated markers: Anthropic's flagship pricing by August 31, the first enterprise-agent seat or attach metric by September 30, the first consumer free-tier or ARPU signal by November 30, chip-backed private-credit terms through 2027,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the Anthropic pricing page (platform.claude.com/docs/en/about-claude/pricing) for Claude Opus 4.8 at $5 and $25 and the limited-availability Claude Mythos 5 at $10 and $50; and the vendors' own price lists for GPT-5.6 Sol and Luna, Grok 4.5, and Meta Muse Spark 1.1.</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PitchBook company data: Anthropic at a $965B mark on $47B of gross run-rate revenue with a first quarterly operating profit near $559M; OpenAI at $852B on roughly $25B of net revenue with about 900M weekly users; xAI's AI segment near $3.2B of revenue against a FY25 operating loss above $6.36B inside a combined structure marked near $1.97T.</w:t>
      </w:r>
    </w:p>
    <w:p>
      <w:pPr>
        <w:pStyle w:val="ListNumber"/>
        <w:spacing w:after="80"/>
      </w:pPr>
      <w:r>
        <w:rPr>
          <w:rFonts w:ascii="Calibri Light" w:hAnsi="Calibri Light"/>
          <w:b w:val="0"/>
          <w:i w:val="0"/>
          <w:color w:val="000000"/>
          <w:sz w:val="20"/>
        </w:rPr>
        <w:t>Reporting on Anthropic's roughly $35B chip-bond financing from June 2026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