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Light" w:hAnsi="Calibri Light"/>
          <w:b/>
          <w:i w:val="0"/>
          <w:color w:val="000000"/>
          <w:sz w:val="28"/>
        </w:rPr>
        <w:t>Q3 2026  The Frontier AI Price Wars</w:t>
      </w:r>
    </w:p>
    <w:p>
      <w:pPr>
        <w:spacing w:after="160"/>
      </w:pPr>
      <w:r>
        <w:rPr>
          <w:rFonts w:ascii="Calibri Light" w:hAnsi="Calibri Light"/>
          <w:b/>
          <w:i w:val="0"/>
          <w:color w:val="2F5496"/>
          <w:sz w:val="24"/>
        </w:rPr>
        <w:t>The best model for the money is also the most expensive one: Claude Opus 4.8. The price war is a trap, and the buyers cheering the cuts are the ones paying for it.</w:t>
      </w:r>
    </w:p>
    <w:p>
      <w:pPr>
        <w:spacing w:after="20"/>
      </w:pPr>
      <w:r>
        <w:rPr>
          <w:rFonts w:ascii="Calibri Light" w:hAnsi="Calibri Light"/>
          <w:b/>
          <w:i w:val="0"/>
          <w:color w:val="000000"/>
          <w:sz w:val="20"/>
        </w:rPr>
        <w:t xml:space="preserve">Data filepath: </w:t>
      </w:r>
      <w:r>
        <w:rPr>
          <w:rFonts w:ascii="Calibri Light" w:hAnsi="Calibri Light"/>
          <w:b w:val="0"/>
          <w:i w:val="0"/>
          <w:color w:val="000000"/>
          <w:sz w:val="20"/>
        </w:rPr>
        <w:t>R&amp;E - Thematic Research\Frontier AI\Price Wars Jul2026</w:t>
      </w:r>
    </w:p>
    <w:p>
      <w:pPr>
        <w:spacing w:after="20"/>
      </w:pPr>
      <w:r>
        <w:rPr>
          <w:rFonts w:ascii="Calibri Light" w:hAnsi="Calibri Light"/>
          <w:b/>
          <w:i w:val="0"/>
          <w:color w:val="000000"/>
          <w:sz w:val="20"/>
        </w:rPr>
        <w:t xml:space="preserve">Chart as-of date: </w:t>
      </w:r>
      <w:r>
        <w:rPr>
          <w:rFonts w:ascii="Calibri Light" w:hAnsi="Calibri Light"/>
          <w:b w:val="0"/>
          <w:i w:val="0"/>
          <w:color w:val="000000"/>
          <w:sz w:val="20"/>
        </w:rPr>
        <w:t>July 10, 2026</w:t>
      </w:r>
    </w:p>
    <w:p>
      <w:pPr>
        <w:spacing w:after="20"/>
      </w:pPr>
      <w:r>
        <w:rPr>
          <w:rFonts w:ascii="Calibri Light" w:hAnsi="Calibri Light"/>
          <w:b/>
          <w:i w:val="0"/>
          <w:color w:val="000000"/>
          <w:sz w:val="20"/>
        </w:rPr>
        <w:t xml:space="preserve">Chart geography: </w:t>
      </w:r>
      <w:r>
        <w:rPr>
          <w:rFonts w:ascii="Calibri Light" w:hAnsi="Calibri Light"/>
          <w:b w:val="0"/>
          <w:i w:val="0"/>
          <w:color w:val="000000"/>
          <w:sz w:val="20"/>
        </w:rPr>
        <w:t>Global</w:t>
      </w:r>
    </w:p>
    <w:p>
      <w:pPr>
        <w:spacing w:after="20"/>
      </w:pPr>
      <w:r>
        <w:rPr>
          <w:rFonts w:ascii="Calibri Light" w:hAnsi="Calibri Light"/>
          <w:b/>
          <w:i w:val="0"/>
          <w:color w:val="000000"/>
          <w:sz w:val="20"/>
        </w:rPr>
        <w:t xml:space="preserve">Research type: </w:t>
      </w:r>
      <w:r>
        <w:rPr>
          <w:rFonts w:ascii="Calibri Light" w:hAnsi="Calibri Light"/>
          <w:b w:val="0"/>
          <w:i w:val="0"/>
          <w:color w:val="000000"/>
          <w:sz w:val="20"/>
        </w:rPr>
        <w:t>Emerging Tech</w:t>
      </w:r>
    </w:p>
    <w:p>
      <w:pPr>
        <w:spacing w:after="20"/>
      </w:pPr>
      <w:r>
        <w:rPr>
          <w:rFonts w:ascii="Calibri Light" w:hAnsi="Calibri Light"/>
          <w:b/>
          <w:i w:val="0"/>
          <w:color w:val="000000"/>
          <w:sz w:val="20"/>
        </w:rPr>
        <w:t xml:space="preserve">Access level: </w:t>
      </w:r>
      <w:r>
        <w:rPr>
          <w:rFonts w:ascii="Calibri Light" w:hAnsi="Calibri Light"/>
          <w:b w:val="0"/>
          <w:i w:val="0"/>
          <w:color w:val="000000"/>
          <w:sz w:val="20"/>
        </w:rPr>
        <w:t>Client only (Platform only, no preview on N&amp;A)</w:t>
      </w:r>
    </w:p>
    <w:p>
      <w:pPr>
        <w:spacing w:after="20"/>
      </w:pPr>
      <w:r>
        <w:rPr>
          <w:rFonts w:ascii="Calibri Light" w:hAnsi="Calibri Light"/>
          <w:b/>
          <w:i w:val="0"/>
          <w:color w:val="000000"/>
          <w:sz w:val="20"/>
        </w:rPr>
        <w:t xml:space="preserve">Chart count: </w:t>
      </w:r>
      <w:r>
        <w:rPr>
          <w:rFonts w:ascii="Calibri Light" w:hAnsi="Calibri Light"/>
          <w:b w:val="0"/>
          <w:i w:val="0"/>
          <w:color w:val="000000"/>
          <w:sz w:val="20"/>
        </w:rPr>
        <w:t>6</w:t>
      </w:r>
    </w:p>
    <w:p>
      <w:pPr>
        <w:spacing w:after="20"/>
      </w:pPr>
      <w:r>
        <w:rPr>
          <w:rFonts w:ascii="Calibri Light" w:hAnsi="Calibri Light"/>
          <w:b/>
          <w:i w:val="0"/>
          <w:color w:val="000000"/>
          <w:sz w:val="20"/>
        </w:rPr>
        <w:t xml:space="preserve">Table count: </w:t>
      </w:r>
      <w:r>
        <w:rPr>
          <w:rFonts w:ascii="Calibri Light" w:hAnsi="Calibri Light"/>
          <w:b w:val="0"/>
          <w:i w:val="0"/>
          <w:color w:val="000000"/>
          <w:sz w:val="20"/>
        </w:rPr>
        <w:t>2</w:t>
      </w:r>
    </w:p>
    <w:p>
      <w:pPr>
        <w:spacing w:after="40"/>
      </w:pPr>
      <w:r>
        <w:rPr>
          <w:rFonts w:ascii="Calibri Light" w:hAnsi="Calibri Light"/>
          <w:b/>
          <w:i w:val="0"/>
          <w:color w:val="000000"/>
          <w:sz w:val="24"/>
        </w:rPr>
        <w:t>Credits</w:t>
      </w:r>
    </w:p>
    <w:p>
      <w:pPr>
        <w:spacing w:after="20"/>
      </w:pPr>
      <w:r>
        <w:rPr>
          <w:rFonts w:ascii="Calibri Light" w:hAnsi="Calibri Light"/>
          <w:b w:val="0"/>
          <w:i w:val="0"/>
          <w:color w:val="000000"/>
          <w:sz w:val="20"/>
        </w:rPr>
        <w:t>Harrison Rolfes, Senior Research Director</w:t>
      </w:r>
    </w:p>
    <w:p>
      <w:pPr>
        <w:spacing w:after="160"/>
      </w:pPr>
      <w:r>
        <w:rPr>
          <w:rFonts w:ascii="Calibri Light" w:hAnsi="Calibri Light"/>
          <w:b w:val="0"/>
          <w:i w:val="0"/>
          <w:color w:val="000000"/>
          <w:sz w:val="20"/>
        </w:rPr>
        <w:t>Published on July 10, 2026</w:t>
      </w:r>
    </w:p>
    <w:p>
      <w:pPr>
        <w:spacing w:after="40"/>
      </w:pPr>
      <w:r>
        <w:rPr>
          <w:rFonts w:ascii="Calibri Light" w:hAnsi="Calibri Light"/>
          <w:b/>
          <w:i w:val="0"/>
          <w:color w:val="000000"/>
          <w:sz w:val="24"/>
        </w:rPr>
        <w:t>Contents</w:t>
      </w:r>
    </w:p>
    <w:p>
      <w:pPr>
        <w:spacing w:after="20"/>
      </w:pPr>
      <w:r>
        <w:rPr>
          <w:rFonts w:ascii="Calibri Light" w:hAnsi="Calibri Light"/>
          <w:b w:val="0"/>
          <w:i w:val="0"/>
          <w:color w:val="000000"/>
          <w:sz w:val="20"/>
        </w:rPr>
        <w:t>Key takeaways</w:t>
      </w:r>
    </w:p>
    <w:p>
      <w:pPr>
        <w:spacing w:after="20"/>
      </w:pPr>
      <w:r>
        <w:rPr>
          <w:rFonts w:ascii="Calibri Light" w:hAnsi="Calibri Light"/>
          <w:b w:val="0"/>
          <w:i w:val="0"/>
          <w:color w:val="000000"/>
          <w:sz w:val="20"/>
        </w:rPr>
        <w:t>1. What you are buying: the technology behind a token price</w:t>
      </w:r>
    </w:p>
    <w:p>
      <w:pPr>
        <w:spacing w:after="20"/>
      </w:pPr>
      <w:r>
        <w:rPr>
          <w:rFonts w:ascii="Calibri Light" w:hAnsi="Calibri Light"/>
          <w:b w:val="0"/>
          <w:i w:val="0"/>
          <w:color w:val="000000"/>
          <w:sz w:val="20"/>
        </w:rPr>
        <w:t>2. The unit of account: value per token</w:t>
      </w:r>
    </w:p>
    <w:p>
      <w:pPr>
        <w:spacing w:after="20"/>
      </w:pPr>
      <w:r>
        <w:rPr>
          <w:rFonts w:ascii="Calibri Light" w:hAnsi="Calibri Light"/>
          <w:b w:val="0"/>
          <w:i w:val="0"/>
          <w:color w:val="000000"/>
          <w:sz w:val="20"/>
        </w:rPr>
        <w:t>3. Margin mechanics: who can subsidize, and is this a war?</w:t>
      </w:r>
    </w:p>
    <w:p>
      <w:pPr>
        <w:spacing w:after="20"/>
      </w:pPr>
      <w:r>
        <w:rPr>
          <w:rFonts w:ascii="Calibri Light" w:hAnsi="Calibri Light"/>
          <w:b w:val="0"/>
          <w:i w:val="0"/>
          <w:color w:val="000000"/>
          <w:sz w:val="20"/>
        </w:rPr>
        <w:t>4. The barbell and the squeezed middle</w:t>
      </w:r>
    </w:p>
    <w:p>
      <w:pPr>
        <w:spacing w:after="20"/>
      </w:pPr>
      <w:r>
        <w:rPr>
          <w:rFonts w:ascii="Calibri Light" w:hAnsi="Calibri Light"/>
          <w:b w:val="0"/>
          <w:i w:val="0"/>
          <w:color w:val="000000"/>
          <w:sz w:val="20"/>
        </w:rPr>
        <w:t>5. Market implications</w:t>
      </w:r>
    </w:p>
    <w:p>
      <w:pPr>
        <w:spacing w:after="20"/>
      </w:pPr>
      <w:r>
        <w:rPr>
          <w:rFonts w:ascii="Calibri Light" w:hAnsi="Calibri Light"/>
          <w:b w:val="0"/>
          <w:i w:val="0"/>
          <w:color w:val="000000"/>
          <w:sz w:val="20"/>
        </w:rPr>
        <w:t>6. Consumer implications</w:t>
      </w:r>
    </w:p>
    <w:p>
      <w:pPr>
        <w:spacing w:after="20"/>
      </w:pPr>
      <w:r>
        <w:rPr>
          <w:rFonts w:ascii="Calibri Light" w:hAnsi="Calibri Light"/>
          <w:b w:val="0"/>
          <w:i w:val="0"/>
          <w:color w:val="000000"/>
          <w:sz w:val="20"/>
        </w:rPr>
        <w:t>7. The surface decides</w:t>
      </w:r>
    </w:p>
    <w:p>
      <w:pPr>
        <w:spacing w:after="20"/>
      </w:pPr>
      <w:r>
        <w:rPr>
          <w:rFonts w:ascii="Calibri Light" w:hAnsi="Calibri Light"/>
          <w:b w:val="0"/>
          <w:i w:val="0"/>
          <w:color w:val="000000"/>
          <w:sz w:val="20"/>
        </w:rPr>
        <w:t>8. The verdict: the best model for the money</w:t>
      </w:r>
    </w:p>
    <w:p>
      <w:pPr>
        <w:spacing w:after="20"/>
      </w:pPr>
      <w:r>
        <w:rPr>
          <w:rFonts w:ascii="Calibri Light" w:hAnsi="Calibri Light"/>
          <w:b w:val="0"/>
          <w:i w:val="0"/>
          <w:color w:val="000000"/>
          <w:sz w:val="20"/>
        </w:rPr>
        <w:t>What would change the call</w:t>
      </w:r>
    </w:p>
    <w:p>
      <w:pPr>
        <w:spacing w:after="20"/>
      </w:pPr>
      <w:r>
        <w:rPr>
          <w:rFonts w:ascii="Calibri Light" w:hAnsi="Calibri Light"/>
          <w:b w:val="0"/>
          <w:i w:val="0"/>
          <w:color w:val="000000"/>
          <w:sz w:val="20"/>
        </w:rPr>
        <w:t>References</w:t>
      </w:r>
    </w:p>
    <w:p>
      <w:pPr>
        <w:spacing w:after="120"/>
      </w:pPr>
    </w:p>
    <w:p>
      <w:pPr>
        <w:spacing w:after="80"/>
      </w:pPr>
      <w:r>
        <w:rPr>
          <w:rFonts w:ascii="Calibri Light" w:hAnsi="Calibri Light"/>
          <w:b/>
          <w:i w:val="0"/>
          <w:color w:val="000000"/>
          <w:sz w:val="24"/>
        </w:rPr>
        <w:t>Landing page</w:t>
      </w:r>
    </w:p>
    <w:p>
      <w:pPr>
        <w:spacing w:after="40"/>
      </w:pPr>
      <w:r>
        <w:rPr>
          <w:rFonts w:ascii="Calibri Light" w:hAnsi="Calibri Light"/>
          <w:b/>
          <w:i w:val="0"/>
          <w:color w:val="2F5496"/>
          <w:sz w:val="19"/>
        </w:rPr>
        <w:t xml:space="preserve">CHART: </w:t>
      </w:r>
      <w:r>
        <w:rPr>
          <w:rFonts w:ascii="Calibri Light" w:hAnsi="Calibri Light"/>
          <w:b w:val="0"/>
          <w:i/>
          <w:color w:val="595959"/>
          <w:sz w:val="19"/>
        </w:rPr>
        <w:t>The cheapest model to run is the one with the highest sticker price. Cost per completed enterprise task at a fixed quality bar: the near-top sticker finishes the work for less than half what the cheapest model on the sheet costs to run.</w:t>
      </w:r>
    </w:p>
    <w:p>
      <w:pPr>
        <w:spacing w:before="40" w:after="120"/>
      </w:pPr>
      <w:r>
        <w:drawing>
          <wp:inline xmlns:a="http://schemas.openxmlformats.org/drawingml/2006/main" xmlns:pic="http://schemas.openxmlformats.org/drawingml/2006/picture">
            <wp:extent cx="6309360" cy="2250949"/>
            <wp:docPr id="1" name="Picture 1"/>
            <wp:cNvGraphicFramePr>
              <a:graphicFrameLocks noChangeAspect="1"/>
            </wp:cNvGraphicFramePr>
            <a:graphic>
              <a:graphicData uri="http://schemas.openxmlformats.org/drawingml/2006/picture">
                <pic:pic>
                  <pic:nvPicPr>
                    <pic:cNvPr id="0" name="pw_true_cost.png"/>
                    <pic:cNvPicPr/>
                  </pic:nvPicPr>
                  <pic:blipFill>
                    <a:blip r:embed="rId9"/>
                    <a:stretch>
                      <a:fillRect/>
                    </a:stretch>
                  </pic:blipFill>
                  <pic:spPr>
                    <a:xfrm>
                      <a:off x="0" y="0"/>
                      <a:ext cx="6309360" cy="2250949"/>
                    </a:xfrm>
                    <a:prstGeom prst="rect"/>
                  </pic:spPr>
                </pic:pic>
              </a:graphicData>
            </a:graphic>
          </wp:inline>
        </w:drawing>
      </w:r>
    </w:p>
    <w:p>
      <w:pPr>
        <w:spacing w:after="160"/>
      </w:pPr>
      <w:r>
        <w:rPr>
          <w:rFonts w:ascii="Calibri Light" w:hAnsi="Calibri Light"/>
          <w:b w:val="0"/>
          <w:i w:val="0"/>
          <w:color w:val="000000"/>
          <w:sz w:val="20"/>
        </w:rPr>
        <w:t>Frontier token prices collapsed in July, and the coverage has the story backwards. Buyers do not purchase tokens; they purchase completed tasks, and once you price the work rather than the tokens, the ranking inverts. The most expensive model on the sheet becomes the cheapest to run, and the models winning the price-cut headlines become the most expensive way to get an agentic job done. The best model for the money is Claude Opus 4.8, and it is not close. This note shows why, and it argues that the price war is a trap that hands the buyer the appearance of savings and the real cost of failure.</w:t>
      </w:r>
    </w:p>
    <w:p>
      <w:pPr>
        <w:spacing w:after="40"/>
      </w:pPr>
      <w:r>
        <w:rPr>
          <w:rFonts w:ascii="Calibri Light" w:hAnsi="Calibri Light"/>
          <w:b/>
          <w:i w:val="0"/>
          <w:color w:val="000000"/>
          <w:sz w:val="24"/>
        </w:rPr>
        <w:t>Report picks</w:t>
      </w:r>
    </w:p>
    <w:p>
      <w:pPr>
        <w:spacing w:after="20"/>
      </w:pPr>
      <w:r>
        <w:rPr>
          <w:rFonts w:ascii="Calibri Light" w:hAnsi="Calibri Light"/>
          <w:b w:val="0"/>
          <w:i w:val="0"/>
          <w:color w:val="000000"/>
          <w:sz w:val="20"/>
        </w:rPr>
        <w:t>AI Compute and Power: The Buildout Is a Scarcity Trade (forthcoming)</w:t>
      </w:r>
    </w:p>
    <w:p>
      <w:pPr>
        <w:spacing w:after="160"/>
      </w:pPr>
      <w:r>
        <w:rPr>
          <w:rFonts w:ascii="Calibri Light" w:hAnsi="Calibri Light"/>
          <w:b w:val="0"/>
          <w:i w:val="0"/>
          <w:color w:val="000000"/>
          <w:sz w:val="20"/>
        </w:rPr>
        <w:t>Enterprise Agents: Who Owns the Seat (forthcoming)</w:t>
      </w:r>
    </w:p>
    <w:p>
      <w:pPr>
        <w:spacing w:after="200"/>
      </w:pPr>
      <w:r>
        <w:rPr>
          <w:rFonts w:ascii="Calibri Light" w:hAnsi="Calibri Light"/>
          <w:b w:val="0"/>
          <w:i/>
          <w:color w:val="595959"/>
          <w:sz w:val="17"/>
        </w:rPr>
        <w:t>Method: figures are drawn from published price lists and PitchBook company data. Vendor performance claims are treated skeptically, and where we introduce an estimate or an assumption we say so in the sentence.</w:t>
      </w:r>
    </w:p>
    <w:p>
      <w:r>
        <w:br w:type="page"/>
      </w:r>
    </w:p>
    <w:p>
      <w:pPr>
        <w:pStyle w:val="Heading2"/>
      </w:pPr>
      <w:r>
        <w:t>Key takeaways</w:t>
      </w:r>
    </w:p>
    <w:p>
      <w:pPr>
        <w:pStyle w:val="ListBullet"/>
        <w:spacing w:after="80"/>
      </w:pPr>
      <w:r>
        <w:rPr>
          <w:rFonts w:ascii="Calibri Light" w:hAnsi="Calibri Light"/>
          <w:b w:val="0"/>
          <w:i w:val="0"/>
          <w:color w:val="000000"/>
          <w:sz w:val="20"/>
        </w:rPr>
        <w:t>The best model for the money is Claude Opus 4.8, the most expensive frontier model on the sheet. At a fixed quality bar it finishes a representative enterprise agentic task for about $2.56, while the cheapest model finishes the same task for about $5.83. The priciest sticker delivers more than twice the completed work per dollar.</w:t>
      </w:r>
    </w:p>
    <w:p>
      <w:pPr>
        <w:pStyle w:val="ListBullet"/>
        <w:spacing w:after="80"/>
      </w:pPr>
      <w:r>
        <w:rPr>
          <w:rFonts w:ascii="Calibri Light" w:hAnsi="Calibri Light"/>
          <w:b w:val="0"/>
          <w:i w:val="0"/>
          <w:color w:val="000000"/>
          <w:sz w:val="20"/>
        </w:rPr>
        <w:t>The price war is a trap. Every lab that cut its sticker price raised the true cost of the work its model does, because a cheaper model that fails more often costs more per completed task once you count the human time each failure consumes. The buyers celebrating the cuts are the ones who pay for the failures.</w:t>
      </w:r>
    </w:p>
    <w:p>
      <w:pPr>
        <w:pStyle w:val="ListBullet"/>
        <w:spacing w:after="80"/>
      </w:pPr>
      <w:r>
        <w:rPr>
          <w:rFonts w:ascii="Calibri Light" w:hAnsi="Calibri Light"/>
          <w:b w:val="0"/>
          <w:i w:val="0"/>
          <w:color w:val="000000"/>
          <w:sz w:val="20"/>
        </w:rPr>
        <w:t>This is a segmentation event dressed as a price war. Meta prices Muse Spark near zero to commoditize a market it does not need to profit from, and only Meta can. OpenAI and Anthropic defend premium tiers, and xAI is a forced participant with the economics to match.</w:t>
      </w:r>
    </w:p>
    <w:p>
      <w:pPr>
        <w:pStyle w:val="ListBullet"/>
        <w:spacing w:after="80"/>
      </w:pPr>
      <w:r>
        <w:rPr>
          <w:rFonts w:ascii="Calibri Light" w:hAnsi="Calibri Light"/>
          <w:b w:val="0"/>
          <w:i w:val="0"/>
          <w:color w:val="000000"/>
          <w:sz w:val="20"/>
        </w:rPr>
        <w:t>Grok is the loudest capability story and the weakest position. xAI's mid-July Grok 4.5 refresh, which the company says adds native agentic tool use and a real-time X and Starlink feed no rival can match, makes Grok the best value on paper. It is still the worst place to build, on a segment losing more than six billion dollars a year with no enterprise surface to sell into.</w:t>
      </w:r>
    </w:p>
    <w:p>
      <w:pPr>
        <w:pStyle w:val="ListBullet"/>
        <w:spacing w:after="80"/>
      </w:pPr>
      <w:r>
        <w:rPr>
          <w:rFonts w:ascii="Calibri Light" w:hAnsi="Calibri Light"/>
          <w:b w:val="0"/>
          <w:i w:val="0"/>
          <w:color w:val="000000"/>
          <w:sz w:val="20"/>
        </w:rPr>
        <w:t>The war is subsidized, not won. Floor prices sit below serving cost, and the roughly three-and-a-half-trillion-dollar private-credit market funds the gap. It is a solvency question deferred, not a victory, and the deferral runs straight into Anthropic's October S-1.</w:t>
      </w:r>
    </w:p>
    <w:p>
      <w:pPr>
        <w:pStyle w:val="Heading2"/>
      </w:pPr>
      <w:r>
        <w:t>1. What you are buying: the technology behind a token price</w:t>
      </w:r>
    </w:p>
    <w:p>
      <w:pPr>
        <w:spacing w:after="140"/>
      </w:pPr>
      <w:r>
        <w:rPr>
          <w:rFonts w:ascii="Calibri Light" w:hAnsi="Calibri Light"/>
          <w:b w:val="0"/>
          <w:i w:val="0"/>
          <w:color w:val="000000"/>
          <w:sz w:val="20"/>
        </w:rPr>
        <w:t>Every claim in this note reduces to one unit. A model reads and writes in tokens, each roughly three to four characters, and a provider charges separately for the input tokens it reads and the output tokens it writes, quoted per million.</w:t>
      </w:r>
    </w:p>
    <w:p>
      <w:pPr>
        <w:spacing w:after="140"/>
      </w:pPr>
      <w:r>
        <w:rPr>
          <w:rFonts w:ascii="Calibri Light" w:hAnsi="Calibri Light"/>
          <w:b w:val="0"/>
          <w:i w:val="0"/>
          <w:color w:val="000000"/>
          <w:sz w:val="20"/>
        </w:rPr>
        <w:t>Output is priced far above input, and the gap is physics rather than a margin choice. Opus charges five times more to write than to read, Sol and Luna six. Reading a prompt happens in one parallel pass, the prefill; writing happens one token at a time, and each token demands a full forward pass that reads the entire model and the growing conversation memory out of high-bandwidth memory. Generation is therefore sequential and bound by memory bandwidth, so writing is expensive and serial while reading is cheap. The binding constraint on output cost is the same scarce high-bandwidth memory the buildout is fighting over, which is why the price sheet and the compute thesis are one story.</w:t>
      </w:r>
    </w:p>
    <w:p>
      <w:pPr>
        <w:spacing w:after="140"/>
      </w:pPr>
      <w:r>
        <w:rPr>
          <w:rFonts w:ascii="Calibri Light" w:hAnsi="Calibri Light"/>
          <w:b w:val="0"/>
          <w:i w:val="0"/>
          <w:color w:val="000000"/>
          <w:sz w:val="20"/>
        </w:rPr>
        <w:t>Two consequences follow. Utilization sets the real cost: providers batch requests so one expensive read of the weights serves many, and a price cut not paid for by better hardware or utilization comes out of gross margin, so a lower number means either better economics or a subsidy and the two are indistinguishable on a sheet. A long context is not free either, because conversation memory grows with the context in that same scarce memory, so Muse Spark's million-token window is costly to use at scale.</w:t>
      </w:r>
    </w:p>
    <w:p>
      <w:pPr>
        <w:spacing w:after="140"/>
      </w:pPr>
      <w:r>
        <w:rPr>
          <w:rFonts w:ascii="Calibri Light" w:hAnsi="Calibri Light"/>
          <w:b w:val="0"/>
          <w:i w:val="0"/>
          <w:color w:val="000000"/>
          <w:sz w:val="20"/>
        </w:rPr>
        <w:t>The step that reframes the competition is that enterprise work is agentic. An agent plans, calls a tool, reads the result, replans, and repeats, often dozens of times, each pass re-reading a growing context, and consumption multiplies every time the agent fails and retries. The per-token price therefore tells you almost nothing about what a task costs, because the loop and the failure rate inside it dominate the sticker.</w:t>
      </w:r>
    </w:p>
    <w:p>
      <w:pPr>
        <w:spacing w:after="40"/>
      </w:pPr>
      <w:r>
        <w:rPr>
          <w:rFonts w:ascii="Calibri Light" w:hAnsi="Calibri Light"/>
          <w:b/>
          <w:i w:val="0"/>
          <w:color w:val="2F5496"/>
          <w:sz w:val="19"/>
        </w:rPr>
        <w:t xml:space="preserve">CHART: </w:t>
      </w:r>
      <w:r>
        <w:rPr>
          <w:rFonts w:ascii="Calibri Light" w:hAnsi="Calibri Light"/>
          <w:b w:val="0"/>
          <w:i/>
          <w:color w:val="595959"/>
          <w:sz w:val="19"/>
        </w:rPr>
        <w:t>The pricing ladder, from the free consumer tier to the restricted premium anchor. The spread is more than thirty times, with two crowded ends and a hollow middle.</w:t>
      </w:r>
    </w:p>
    <w:p>
      <w:pPr>
        <w:spacing w:before="40" w:after="120"/>
      </w:pPr>
      <w:r>
        <w:drawing>
          <wp:inline xmlns:a="http://schemas.openxmlformats.org/drawingml/2006/main" xmlns:pic="http://schemas.openxmlformats.org/drawingml/2006/picture">
            <wp:extent cx="6309360" cy="2009526"/>
            <wp:docPr id="2" name="Picture 2"/>
            <wp:cNvGraphicFramePr>
              <a:graphicFrameLocks noChangeAspect="1"/>
            </wp:cNvGraphicFramePr>
            <a:graphic>
              <a:graphicData uri="http://schemas.openxmlformats.org/drawingml/2006/picture">
                <pic:pic>
                  <pic:nvPicPr>
                    <pic:cNvPr id="0" name="pw_pricing_ladder.png"/>
                    <pic:cNvPicPr/>
                  </pic:nvPicPr>
                  <pic:blipFill>
                    <a:blip r:embed="rId10"/>
                    <a:stretch>
                      <a:fillRect/>
                    </a:stretch>
                  </pic:blipFill>
                  <pic:spPr>
                    <a:xfrm>
                      <a:off x="0" y="0"/>
                      <a:ext cx="6309360" cy="2009526"/>
                    </a:xfrm>
                    <a:prstGeom prst="rect"/>
                  </pic:spPr>
                </pic:pic>
              </a:graphicData>
            </a:graphic>
          </wp:inline>
        </w:drawing>
      </w:r>
    </w:p>
    <w:p>
      <w:pPr>
        <w:pStyle w:val="Heading2"/>
      </w:pPr>
      <w:r>
        <w:t>2. The unit of account: value per token</w:t>
      </w:r>
    </w:p>
    <w:p>
      <w:pPr>
        <w:spacing w:after="140"/>
      </w:pPr>
      <w:r>
        <w:rPr>
          <w:rFonts w:ascii="Calibri Light" w:hAnsi="Calibri Light"/>
          <w:b w:val="0"/>
          <w:i w:val="0"/>
          <w:color w:val="000000"/>
          <w:sz w:val="20"/>
        </w:rPr>
        <w:t>Buyers do not want cheap tokens; they want the most completed work per dollar. The correct unit is the cost per completed task: the tokens an attempt consumes times their price, multiplied by the attempts it takes to succeed at a fixed quality bar. A model that succeeds with probability p needs on average one divided by p attempts, so a model at a quarter of the price that needs three tries is not cheaper. Take a representative enterprise agentic task of sixty thousand input and twelve thousand output tokens per attempt.</w:t>
      </w:r>
    </w:p>
    <w:p>
      <w:pPr>
        <w:spacing w:after="40"/>
      </w:pPr>
      <w:r>
        <w:rPr>
          <w:rFonts w:ascii="Calibri Light" w:hAnsi="Calibri Light"/>
          <w:b/>
          <w:i w:val="0"/>
          <w:color w:val="2F5496"/>
          <w:sz w:val="19"/>
        </w:rPr>
        <w:t xml:space="preserve">TABLE: </w:t>
      </w:r>
      <w:r>
        <w:rPr>
          <w:rFonts w:ascii="Calibri Light" w:hAnsi="Calibri Light"/>
          <w:b w:val="0"/>
          <w:i/>
          <w:color w:val="595959"/>
          <w:sz w:val="19"/>
        </w:rPr>
        <w:t>Cost per completed task at list prices, sixty thousand in and twelve thousand out per attempt. On raw token arithmetic the cheap tier wins almost mechanically; value per token is decided by reliability, not by the sticker.</w:t>
      </w:r>
    </w:p>
    <w:tbl>
      <w:tblPr>
        <w:tblW w:type="dxa" w:w="9840"/>
        <w:tblLook w:firstColumn="1" w:firstRow="1" w:lastColumn="0" w:lastRow="0" w:noHBand="0" w:noVBand="1" w:val="04A0"/>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CellMar>
          <w:top w:w="40" w:type="dxa"/>
          <w:left w:w="80" w:type="dxa"/>
          <w:bottom w:w="40" w:type="dxa"/>
          <w:right w:w="80" w:type="dxa"/>
        </w:tblCellMar>
      </w:tblPr>
      <w:tblGrid>
        <w:gridCol w:w="1440"/>
        <w:gridCol w:w="1440"/>
        <w:gridCol w:w="1440"/>
        <w:gridCol w:w="1440"/>
        <w:gridCol w:w="1440"/>
        <w:gridCol w:w="1440"/>
        <w:gridCol w:w="1440"/>
      </w:tblGrid>
      <w:tr>
        <w:trPr>
          <w:cantSplit/>
          <w:tblHeader w:val="true"/>
        </w:trPr>
        <w:tc>
          <w:tcPr>
            <w:tcW w:type="dxa" w:w="2050"/>
            <w:shd w:val="clear" w:fill="2F5496"/>
          </w:tcPr>
          <w:p>
            <w:pPr>
              <w:spacing w:after="0"/>
              <w:jc w:val="left"/>
            </w:pPr>
            <w:r/>
            <w:r>
              <w:rPr>
                <w:rFonts w:ascii="Calibri Light" w:hAnsi="Calibri Light"/>
                <w:b/>
                <w:color w:val="FFFFFF"/>
                <w:sz w:val="17"/>
              </w:rPr>
              <w:t>Model</w:t>
            </w:r>
          </w:p>
        </w:tc>
        <w:tc>
          <w:tcPr>
            <w:tcW w:type="dxa" w:w="1298"/>
            <w:shd w:val="clear" w:fill="2F5496"/>
          </w:tcPr>
          <w:p>
            <w:pPr>
              <w:spacing w:after="0"/>
              <w:jc w:val="center"/>
            </w:pPr>
            <w:r/>
            <w:r>
              <w:rPr>
                <w:rFonts w:ascii="Calibri Light" w:hAnsi="Calibri Light"/>
                <w:b/>
                <w:color w:val="FFFFFF"/>
                <w:sz w:val="17"/>
              </w:rPr>
              <w:t>$/Mtok in</w:t>
            </w:r>
          </w:p>
        </w:tc>
        <w:tc>
          <w:tcPr>
            <w:tcW w:type="dxa" w:w="1298"/>
            <w:shd w:val="clear" w:fill="2F5496"/>
          </w:tcPr>
          <w:p>
            <w:pPr>
              <w:spacing w:after="0"/>
              <w:jc w:val="center"/>
            </w:pPr>
            <w:r/>
            <w:r>
              <w:rPr>
                <w:rFonts w:ascii="Calibri Light" w:hAnsi="Calibri Light"/>
                <w:b/>
                <w:color w:val="FFFFFF"/>
                <w:sz w:val="17"/>
              </w:rPr>
              <w:t>$/Mtok out</w:t>
            </w:r>
          </w:p>
        </w:tc>
        <w:tc>
          <w:tcPr>
            <w:tcW w:type="dxa" w:w="1298"/>
            <w:shd w:val="clear" w:fill="2F5496"/>
          </w:tcPr>
          <w:p>
            <w:pPr>
              <w:spacing w:after="0"/>
              <w:jc w:val="center"/>
            </w:pPr>
            <w:r/>
            <w:r>
              <w:rPr>
                <w:rFonts w:ascii="Calibri Light" w:hAnsi="Calibri Light"/>
                <w:b/>
                <w:color w:val="FFFFFF"/>
                <w:sz w:val="17"/>
              </w:rPr>
              <w:t>Cost per attempt</w:t>
            </w:r>
          </w:p>
        </w:tc>
        <w:tc>
          <w:tcPr>
            <w:tcW w:type="dxa" w:w="1298"/>
            <w:shd w:val="clear" w:fill="2F5496"/>
          </w:tcPr>
          <w:p>
            <w:pPr>
              <w:spacing w:after="0"/>
              <w:jc w:val="center"/>
            </w:pPr>
            <w:r/>
            <w:r>
              <w:rPr>
                <w:rFonts w:ascii="Calibri Light" w:hAnsi="Calibri Light"/>
                <w:b/>
                <w:color w:val="FFFFFF"/>
                <w:sz w:val="17"/>
              </w:rPr>
              <w:t>Per task, p = 90%</w:t>
            </w:r>
          </w:p>
        </w:tc>
        <w:tc>
          <w:tcPr>
            <w:tcW w:type="dxa" w:w="1298"/>
            <w:shd w:val="clear" w:fill="2F5496"/>
          </w:tcPr>
          <w:p>
            <w:pPr>
              <w:spacing w:after="0"/>
              <w:jc w:val="center"/>
            </w:pPr>
            <w:r/>
            <w:r>
              <w:rPr>
                <w:rFonts w:ascii="Calibri Light" w:hAnsi="Calibri Light"/>
                <w:b/>
                <w:color w:val="FFFFFF"/>
                <w:sz w:val="17"/>
              </w:rPr>
              <w:t>Per task, p = 75%</w:t>
            </w:r>
          </w:p>
        </w:tc>
        <w:tc>
          <w:tcPr>
            <w:tcW w:type="dxa" w:w="1298"/>
            <w:shd w:val="clear" w:fill="2F5496"/>
          </w:tcPr>
          <w:p>
            <w:pPr>
              <w:spacing w:after="0"/>
              <w:jc w:val="center"/>
            </w:pPr>
            <w:r/>
            <w:r>
              <w:rPr>
                <w:rFonts w:ascii="Calibri Light" w:hAnsi="Calibri Light"/>
                <w:b/>
                <w:color w:val="FFFFFF"/>
                <w:sz w:val="17"/>
              </w:rPr>
              <w:t>Per task, p = 65%</w:t>
            </w:r>
          </w:p>
        </w:tc>
      </w:tr>
      <w:tr>
        <w:trPr>
          <w:cantSplit/>
        </w:trPr>
        <w:tc>
          <w:tcPr>
            <w:tcW w:type="dxa" w:w="2050"/>
          </w:tcPr>
          <w:p>
            <w:pPr>
              <w:spacing w:after="0"/>
              <w:jc w:val="left"/>
            </w:pPr>
            <w:r/>
            <w:r>
              <w:rPr>
                <w:rFonts w:ascii="Calibri Light" w:hAnsi="Calibri Light"/>
                <w:b w:val="0"/>
                <w:color w:val="000000"/>
                <w:sz w:val="17"/>
              </w:rPr>
              <w:t>Claude Opus 4.8</w:t>
            </w:r>
          </w:p>
        </w:tc>
        <w:tc>
          <w:tcPr>
            <w:tcW w:type="dxa" w:w="1298"/>
          </w:tcPr>
          <w:p>
            <w:pPr>
              <w:spacing w:after="0"/>
              <w:jc w:val="center"/>
            </w:pPr>
            <w:r/>
            <w:r>
              <w:rPr>
                <w:rFonts w:ascii="Calibri Light" w:hAnsi="Calibri Light"/>
                <w:b w:val="0"/>
                <w:color w:val="000000"/>
                <w:sz w:val="17"/>
              </w:rPr>
              <w:t>$5.00</w:t>
            </w:r>
          </w:p>
        </w:tc>
        <w:tc>
          <w:tcPr>
            <w:tcW w:type="dxa" w:w="1298"/>
          </w:tcPr>
          <w:p>
            <w:pPr>
              <w:spacing w:after="0"/>
              <w:jc w:val="center"/>
            </w:pPr>
            <w:r/>
            <w:r>
              <w:rPr>
                <w:rFonts w:ascii="Calibri Light" w:hAnsi="Calibri Light"/>
                <w:b w:val="0"/>
                <w:color w:val="000000"/>
                <w:sz w:val="17"/>
              </w:rPr>
              <w:t>$25.00</w:t>
            </w:r>
          </w:p>
        </w:tc>
        <w:tc>
          <w:tcPr>
            <w:tcW w:type="dxa" w:w="1298"/>
          </w:tcPr>
          <w:p>
            <w:pPr>
              <w:spacing w:after="0"/>
              <w:jc w:val="center"/>
            </w:pPr>
            <w:r/>
            <w:r>
              <w:rPr>
                <w:rFonts w:ascii="Calibri Light" w:hAnsi="Calibri Light"/>
                <w:b w:val="0"/>
                <w:color w:val="000000"/>
                <w:sz w:val="17"/>
              </w:rPr>
              <w:t>$0.60</w:t>
            </w:r>
          </w:p>
        </w:tc>
        <w:tc>
          <w:tcPr>
            <w:tcW w:type="dxa" w:w="1298"/>
          </w:tcPr>
          <w:p>
            <w:pPr>
              <w:spacing w:after="0"/>
              <w:jc w:val="center"/>
            </w:pPr>
            <w:r/>
            <w:r>
              <w:rPr>
                <w:rFonts w:ascii="Calibri Light" w:hAnsi="Calibri Light"/>
                <w:b w:val="0"/>
                <w:color w:val="000000"/>
                <w:sz w:val="17"/>
              </w:rPr>
              <w:t>$0.67</w:t>
            </w:r>
          </w:p>
        </w:tc>
        <w:tc>
          <w:tcPr>
            <w:tcW w:type="dxa" w:w="1298"/>
          </w:tcPr>
          <w:p>
            <w:pPr>
              <w:spacing w:after="0"/>
              <w:jc w:val="center"/>
            </w:pPr>
            <w:r/>
            <w:r>
              <w:rPr>
                <w:rFonts w:ascii="Calibri Light" w:hAnsi="Calibri Light"/>
                <w:b w:val="0"/>
                <w:color w:val="000000"/>
                <w:sz w:val="17"/>
              </w:rPr>
              <w:t>$0.80</w:t>
            </w:r>
          </w:p>
        </w:tc>
        <w:tc>
          <w:tcPr>
            <w:tcW w:type="dxa" w:w="1298"/>
          </w:tcPr>
          <w:p>
            <w:pPr>
              <w:spacing w:after="0"/>
              <w:jc w:val="center"/>
            </w:pPr>
            <w:r/>
            <w:r>
              <w:rPr>
                <w:rFonts w:ascii="Calibri Light" w:hAnsi="Calibri Light"/>
                <w:b w:val="0"/>
                <w:color w:val="000000"/>
                <w:sz w:val="17"/>
              </w:rPr>
              <w:t>$0.92</w:t>
            </w:r>
          </w:p>
        </w:tc>
      </w:tr>
      <w:tr>
        <w:trPr>
          <w:cantSplit/>
        </w:trPr>
        <w:tc>
          <w:tcPr>
            <w:tcW w:type="dxa" w:w="2050"/>
            <w:shd w:val="clear" w:fill="EAF0F8"/>
          </w:tcPr>
          <w:p>
            <w:pPr>
              <w:spacing w:after="0"/>
              <w:jc w:val="left"/>
            </w:pPr>
            <w:r/>
            <w:r>
              <w:rPr>
                <w:rFonts w:ascii="Calibri Light" w:hAnsi="Calibri Light"/>
                <w:b w:val="0"/>
                <w:color w:val="000000"/>
                <w:sz w:val="17"/>
              </w:rPr>
              <w:t>GPT-5.6 Sol</w:t>
            </w:r>
          </w:p>
        </w:tc>
        <w:tc>
          <w:tcPr>
            <w:tcW w:type="dxa" w:w="1298"/>
            <w:shd w:val="clear" w:fill="EAF0F8"/>
          </w:tcPr>
          <w:p>
            <w:pPr>
              <w:spacing w:after="0"/>
              <w:jc w:val="center"/>
            </w:pPr>
            <w:r/>
            <w:r>
              <w:rPr>
                <w:rFonts w:ascii="Calibri Light" w:hAnsi="Calibri Light"/>
                <w:b w:val="0"/>
                <w:color w:val="000000"/>
                <w:sz w:val="17"/>
              </w:rPr>
              <w:t>$5.00</w:t>
            </w:r>
          </w:p>
        </w:tc>
        <w:tc>
          <w:tcPr>
            <w:tcW w:type="dxa" w:w="1298"/>
            <w:shd w:val="clear" w:fill="EAF0F8"/>
          </w:tcPr>
          <w:p>
            <w:pPr>
              <w:spacing w:after="0"/>
              <w:jc w:val="center"/>
            </w:pPr>
            <w:r/>
            <w:r>
              <w:rPr>
                <w:rFonts w:ascii="Calibri Light" w:hAnsi="Calibri Light"/>
                <w:b w:val="0"/>
                <w:color w:val="000000"/>
                <w:sz w:val="17"/>
              </w:rPr>
              <w:t>$30.00</w:t>
            </w:r>
          </w:p>
        </w:tc>
        <w:tc>
          <w:tcPr>
            <w:tcW w:type="dxa" w:w="1298"/>
            <w:shd w:val="clear" w:fill="EAF0F8"/>
          </w:tcPr>
          <w:p>
            <w:pPr>
              <w:spacing w:after="0"/>
              <w:jc w:val="center"/>
            </w:pPr>
            <w:r/>
            <w:r>
              <w:rPr>
                <w:rFonts w:ascii="Calibri Light" w:hAnsi="Calibri Light"/>
                <w:b w:val="0"/>
                <w:color w:val="000000"/>
                <w:sz w:val="17"/>
              </w:rPr>
              <w:t>$0.66</w:t>
            </w:r>
          </w:p>
        </w:tc>
        <w:tc>
          <w:tcPr>
            <w:tcW w:type="dxa" w:w="1298"/>
            <w:shd w:val="clear" w:fill="EAF0F8"/>
          </w:tcPr>
          <w:p>
            <w:pPr>
              <w:spacing w:after="0"/>
              <w:jc w:val="center"/>
            </w:pPr>
            <w:r/>
            <w:r>
              <w:rPr>
                <w:rFonts w:ascii="Calibri Light" w:hAnsi="Calibri Light"/>
                <w:b w:val="0"/>
                <w:color w:val="000000"/>
                <w:sz w:val="17"/>
              </w:rPr>
              <w:t>$0.73</w:t>
            </w:r>
          </w:p>
        </w:tc>
        <w:tc>
          <w:tcPr>
            <w:tcW w:type="dxa" w:w="1298"/>
            <w:shd w:val="clear" w:fill="EAF0F8"/>
          </w:tcPr>
          <w:p>
            <w:pPr>
              <w:spacing w:after="0"/>
              <w:jc w:val="center"/>
            </w:pPr>
            <w:r/>
            <w:r>
              <w:rPr>
                <w:rFonts w:ascii="Calibri Light" w:hAnsi="Calibri Light"/>
                <w:b w:val="0"/>
                <w:color w:val="000000"/>
                <w:sz w:val="17"/>
              </w:rPr>
              <w:t>$0.88</w:t>
            </w:r>
          </w:p>
        </w:tc>
        <w:tc>
          <w:tcPr>
            <w:tcW w:type="dxa" w:w="1298"/>
            <w:shd w:val="clear" w:fill="EAF0F8"/>
          </w:tcPr>
          <w:p>
            <w:pPr>
              <w:spacing w:after="0"/>
              <w:jc w:val="center"/>
            </w:pPr>
            <w:r/>
            <w:r>
              <w:rPr>
                <w:rFonts w:ascii="Calibri Light" w:hAnsi="Calibri Light"/>
                <w:b w:val="0"/>
                <w:color w:val="000000"/>
                <w:sz w:val="17"/>
              </w:rPr>
              <w:t>$1.02</w:t>
            </w:r>
          </w:p>
        </w:tc>
      </w:tr>
      <w:tr>
        <w:trPr>
          <w:cantSplit/>
        </w:trPr>
        <w:tc>
          <w:tcPr>
            <w:tcW w:type="dxa" w:w="2050"/>
          </w:tcPr>
          <w:p>
            <w:pPr>
              <w:spacing w:after="0"/>
              <w:jc w:val="left"/>
            </w:pPr>
            <w:r/>
            <w:r>
              <w:rPr>
                <w:rFonts w:ascii="Calibri Light" w:hAnsi="Calibri Light"/>
                <w:b w:val="0"/>
                <w:color w:val="000000"/>
                <w:sz w:val="17"/>
              </w:rPr>
              <w:t>GPT-5.6 Luna</w:t>
            </w:r>
          </w:p>
        </w:tc>
        <w:tc>
          <w:tcPr>
            <w:tcW w:type="dxa" w:w="1298"/>
          </w:tcPr>
          <w:p>
            <w:pPr>
              <w:spacing w:after="0"/>
              <w:jc w:val="center"/>
            </w:pPr>
            <w:r/>
            <w:r>
              <w:rPr>
                <w:rFonts w:ascii="Calibri Light" w:hAnsi="Calibri Light"/>
                <w:b w:val="0"/>
                <w:color w:val="000000"/>
                <w:sz w:val="17"/>
              </w:rPr>
              <w:t>$1.00</w:t>
            </w:r>
          </w:p>
        </w:tc>
        <w:tc>
          <w:tcPr>
            <w:tcW w:type="dxa" w:w="1298"/>
          </w:tcPr>
          <w:p>
            <w:pPr>
              <w:spacing w:after="0"/>
              <w:jc w:val="center"/>
            </w:pPr>
            <w:r/>
            <w:r>
              <w:rPr>
                <w:rFonts w:ascii="Calibri Light" w:hAnsi="Calibri Light"/>
                <w:b w:val="0"/>
                <w:color w:val="000000"/>
                <w:sz w:val="17"/>
              </w:rPr>
              <w:t>$6.00</w:t>
            </w:r>
          </w:p>
        </w:tc>
        <w:tc>
          <w:tcPr>
            <w:tcW w:type="dxa" w:w="1298"/>
          </w:tcPr>
          <w:p>
            <w:pPr>
              <w:spacing w:after="0"/>
              <w:jc w:val="center"/>
            </w:pPr>
            <w:r/>
            <w:r>
              <w:rPr>
                <w:rFonts w:ascii="Calibri Light" w:hAnsi="Calibri Light"/>
                <w:b w:val="0"/>
                <w:color w:val="000000"/>
                <w:sz w:val="17"/>
              </w:rPr>
              <w:t>$0.13</w:t>
            </w:r>
          </w:p>
        </w:tc>
        <w:tc>
          <w:tcPr>
            <w:tcW w:type="dxa" w:w="1298"/>
          </w:tcPr>
          <w:p>
            <w:pPr>
              <w:spacing w:after="0"/>
              <w:jc w:val="center"/>
            </w:pPr>
            <w:r/>
            <w:r>
              <w:rPr>
                <w:rFonts w:ascii="Calibri Light" w:hAnsi="Calibri Light"/>
                <w:b w:val="0"/>
                <w:color w:val="000000"/>
                <w:sz w:val="17"/>
              </w:rPr>
              <w:t>$0.15</w:t>
            </w:r>
          </w:p>
        </w:tc>
        <w:tc>
          <w:tcPr>
            <w:tcW w:type="dxa" w:w="1298"/>
          </w:tcPr>
          <w:p>
            <w:pPr>
              <w:spacing w:after="0"/>
              <w:jc w:val="center"/>
            </w:pPr>
            <w:r/>
            <w:r>
              <w:rPr>
                <w:rFonts w:ascii="Calibri Light" w:hAnsi="Calibri Light"/>
                <w:b w:val="0"/>
                <w:color w:val="000000"/>
                <w:sz w:val="17"/>
              </w:rPr>
              <w:t>$0.18</w:t>
            </w:r>
          </w:p>
        </w:tc>
        <w:tc>
          <w:tcPr>
            <w:tcW w:type="dxa" w:w="1298"/>
          </w:tcPr>
          <w:p>
            <w:pPr>
              <w:spacing w:after="0"/>
              <w:jc w:val="center"/>
            </w:pPr>
            <w:r/>
            <w:r>
              <w:rPr>
                <w:rFonts w:ascii="Calibri Light" w:hAnsi="Calibri Light"/>
                <w:b w:val="0"/>
                <w:color w:val="000000"/>
                <w:sz w:val="17"/>
              </w:rPr>
              <w:t>$0.20</w:t>
            </w:r>
          </w:p>
        </w:tc>
      </w:tr>
      <w:tr>
        <w:trPr>
          <w:cantSplit/>
        </w:trPr>
        <w:tc>
          <w:tcPr>
            <w:tcW w:type="dxa" w:w="2050"/>
            <w:shd w:val="clear" w:fill="EAF0F8"/>
          </w:tcPr>
          <w:p>
            <w:pPr>
              <w:spacing w:after="0"/>
              <w:jc w:val="left"/>
            </w:pPr>
            <w:r/>
            <w:r>
              <w:rPr>
                <w:rFonts w:ascii="Calibri Light" w:hAnsi="Calibri Light"/>
                <w:b w:val="0"/>
                <w:color w:val="000000"/>
                <w:sz w:val="17"/>
              </w:rPr>
              <w:t>Grok 4.5</w:t>
            </w:r>
          </w:p>
        </w:tc>
        <w:tc>
          <w:tcPr>
            <w:tcW w:type="dxa" w:w="1298"/>
            <w:shd w:val="clear" w:fill="EAF0F8"/>
          </w:tcPr>
          <w:p>
            <w:pPr>
              <w:spacing w:after="0"/>
              <w:jc w:val="center"/>
            </w:pPr>
            <w:r/>
            <w:r>
              <w:rPr>
                <w:rFonts w:ascii="Calibri Light" w:hAnsi="Calibri Light"/>
                <w:b w:val="0"/>
                <w:color w:val="000000"/>
                <w:sz w:val="17"/>
              </w:rPr>
              <w:t>$2.00</w:t>
            </w:r>
          </w:p>
        </w:tc>
        <w:tc>
          <w:tcPr>
            <w:tcW w:type="dxa" w:w="1298"/>
            <w:shd w:val="clear" w:fill="EAF0F8"/>
          </w:tcPr>
          <w:p>
            <w:pPr>
              <w:spacing w:after="0"/>
              <w:jc w:val="center"/>
            </w:pPr>
            <w:r/>
            <w:r>
              <w:rPr>
                <w:rFonts w:ascii="Calibri Light" w:hAnsi="Calibri Light"/>
                <w:b w:val="0"/>
                <w:color w:val="000000"/>
                <w:sz w:val="17"/>
              </w:rPr>
              <w:t>$6.00</w:t>
            </w:r>
          </w:p>
        </w:tc>
        <w:tc>
          <w:tcPr>
            <w:tcW w:type="dxa" w:w="1298"/>
            <w:shd w:val="clear" w:fill="EAF0F8"/>
          </w:tcPr>
          <w:p>
            <w:pPr>
              <w:spacing w:after="0"/>
              <w:jc w:val="center"/>
            </w:pPr>
            <w:r/>
            <w:r>
              <w:rPr>
                <w:rFonts w:ascii="Calibri Light" w:hAnsi="Calibri Light"/>
                <w:b w:val="0"/>
                <w:color w:val="000000"/>
                <w:sz w:val="17"/>
              </w:rPr>
              <w:t>$0.19</w:t>
            </w:r>
          </w:p>
        </w:tc>
        <w:tc>
          <w:tcPr>
            <w:tcW w:type="dxa" w:w="1298"/>
            <w:shd w:val="clear" w:fill="EAF0F8"/>
          </w:tcPr>
          <w:p>
            <w:pPr>
              <w:spacing w:after="0"/>
              <w:jc w:val="center"/>
            </w:pPr>
            <w:r/>
            <w:r>
              <w:rPr>
                <w:rFonts w:ascii="Calibri Light" w:hAnsi="Calibri Light"/>
                <w:b w:val="0"/>
                <w:color w:val="000000"/>
                <w:sz w:val="17"/>
              </w:rPr>
              <w:t>$0.21</w:t>
            </w:r>
          </w:p>
        </w:tc>
        <w:tc>
          <w:tcPr>
            <w:tcW w:type="dxa" w:w="1298"/>
            <w:shd w:val="clear" w:fill="EAF0F8"/>
          </w:tcPr>
          <w:p>
            <w:pPr>
              <w:spacing w:after="0"/>
              <w:jc w:val="center"/>
            </w:pPr>
            <w:r/>
            <w:r>
              <w:rPr>
                <w:rFonts w:ascii="Calibri Light" w:hAnsi="Calibri Light"/>
                <w:b w:val="0"/>
                <w:color w:val="000000"/>
                <w:sz w:val="17"/>
              </w:rPr>
              <w:t>$0.26</w:t>
            </w:r>
          </w:p>
        </w:tc>
        <w:tc>
          <w:tcPr>
            <w:tcW w:type="dxa" w:w="1298"/>
            <w:shd w:val="clear" w:fill="EAF0F8"/>
          </w:tcPr>
          <w:p>
            <w:pPr>
              <w:spacing w:after="0"/>
              <w:jc w:val="center"/>
            </w:pPr>
            <w:r/>
            <w:r>
              <w:rPr>
                <w:rFonts w:ascii="Calibri Light" w:hAnsi="Calibri Light"/>
                <w:b w:val="0"/>
                <w:color w:val="000000"/>
                <w:sz w:val="17"/>
              </w:rPr>
              <w:t>$0.30</w:t>
            </w:r>
          </w:p>
        </w:tc>
      </w:tr>
      <w:tr>
        <w:trPr>
          <w:cantSplit/>
        </w:trPr>
        <w:tc>
          <w:tcPr>
            <w:tcW w:type="dxa" w:w="2050"/>
          </w:tcPr>
          <w:p>
            <w:pPr>
              <w:spacing w:after="0"/>
              <w:jc w:val="left"/>
            </w:pPr>
            <w:r/>
            <w:r>
              <w:rPr>
                <w:rFonts w:ascii="Calibri Light" w:hAnsi="Calibri Light"/>
                <w:b w:val="0"/>
                <w:color w:val="000000"/>
                <w:sz w:val="17"/>
              </w:rPr>
              <w:t>Muse Spark 1.1</w:t>
            </w:r>
          </w:p>
        </w:tc>
        <w:tc>
          <w:tcPr>
            <w:tcW w:type="dxa" w:w="1298"/>
          </w:tcPr>
          <w:p>
            <w:pPr>
              <w:spacing w:after="0"/>
              <w:jc w:val="center"/>
            </w:pPr>
            <w:r/>
            <w:r>
              <w:rPr>
                <w:rFonts w:ascii="Calibri Light" w:hAnsi="Calibri Light"/>
                <w:b w:val="0"/>
                <w:color w:val="000000"/>
                <w:sz w:val="17"/>
              </w:rPr>
              <w:t>$1.25</w:t>
            </w:r>
          </w:p>
        </w:tc>
        <w:tc>
          <w:tcPr>
            <w:tcW w:type="dxa" w:w="1298"/>
          </w:tcPr>
          <w:p>
            <w:pPr>
              <w:spacing w:after="0"/>
              <w:jc w:val="center"/>
            </w:pPr>
            <w:r/>
            <w:r>
              <w:rPr>
                <w:rFonts w:ascii="Calibri Light" w:hAnsi="Calibri Light"/>
                <w:b w:val="0"/>
                <w:color w:val="000000"/>
                <w:sz w:val="17"/>
              </w:rPr>
              <w:t>$4.25</w:t>
            </w:r>
          </w:p>
        </w:tc>
        <w:tc>
          <w:tcPr>
            <w:tcW w:type="dxa" w:w="1298"/>
          </w:tcPr>
          <w:p>
            <w:pPr>
              <w:spacing w:after="0"/>
              <w:jc w:val="center"/>
            </w:pPr>
            <w:r/>
            <w:r>
              <w:rPr>
                <w:rFonts w:ascii="Calibri Light" w:hAnsi="Calibri Light"/>
                <w:b w:val="0"/>
                <w:color w:val="000000"/>
                <w:sz w:val="17"/>
              </w:rPr>
              <w:t>$0.13</w:t>
            </w:r>
          </w:p>
        </w:tc>
        <w:tc>
          <w:tcPr>
            <w:tcW w:type="dxa" w:w="1298"/>
          </w:tcPr>
          <w:p>
            <w:pPr>
              <w:spacing w:after="0"/>
              <w:jc w:val="center"/>
            </w:pPr>
            <w:r/>
            <w:r>
              <w:rPr>
                <w:rFonts w:ascii="Calibri Light" w:hAnsi="Calibri Light"/>
                <w:b w:val="0"/>
                <w:color w:val="000000"/>
                <w:sz w:val="17"/>
              </w:rPr>
              <w:t>$0.14</w:t>
            </w:r>
          </w:p>
        </w:tc>
        <w:tc>
          <w:tcPr>
            <w:tcW w:type="dxa" w:w="1298"/>
          </w:tcPr>
          <w:p>
            <w:pPr>
              <w:spacing w:after="0"/>
              <w:jc w:val="center"/>
            </w:pPr>
            <w:r/>
            <w:r>
              <w:rPr>
                <w:rFonts w:ascii="Calibri Light" w:hAnsi="Calibri Light"/>
                <w:b w:val="0"/>
                <w:color w:val="000000"/>
                <w:sz w:val="17"/>
              </w:rPr>
              <w:t>$0.17</w:t>
            </w:r>
          </w:p>
        </w:tc>
        <w:tc>
          <w:tcPr>
            <w:tcW w:type="dxa" w:w="1298"/>
          </w:tcPr>
          <w:p>
            <w:pPr>
              <w:spacing w:after="0"/>
              <w:jc w:val="center"/>
            </w:pPr>
            <w:r/>
            <w:r>
              <w:rPr>
                <w:rFonts w:ascii="Calibri Light" w:hAnsi="Calibri Light"/>
                <w:b w:val="0"/>
                <w:color w:val="000000"/>
                <w:sz w:val="17"/>
              </w:rPr>
              <w:t>$0.19</w:t>
            </w:r>
          </w:p>
        </w:tc>
      </w:tr>
    </w:tbl>
    <w:p>
      <w:pPr>
        <w:spacing w:after="40"/>
      </w:pPr>
    </w:p>
    <w:p>
      <w:pPr>
        <w:spacing w:after="140"/>
      </w:pPr>
      <w:r>
        <w:rPr>
          <w:rFonts w:ascii="Calibri Light" w:hAnsi="Calibri Light"/>
          <w:b w:val="0"/>
          <w:i w:val="0"/>
          <w:color w:val="000000"/>
          <w:sz w:val="20"/>
        </w:rPr>
        <w:t>Prices are published; the per-task figures are our arithmetic. Mythos is left out because it is not openly priced.</w:t>
      </w:r>
    </w:p>
    <w:p>
      <w:pPr>
        <w:spacing w:after="140"/>
      </w:pPr>
      <w:r>
        <w:rPr>
          <w:rFonts w:ascii="Calibri Light" w:hAnsi="Calibri Light"/>
          <w:b w:val="0"/>
          <w:i w:val="0"/>
          <w:color w:val="000000"/>
          <w:sz w:val="20"/>
        </w:rPr>
        <w:t>On tokens alone the cheap tier wins almost mechanically, because Opus at sixty cents an attempt only beats Muse Spark at about thirteen cents if it succeeds nearly five times as often, and no frontier gap is that wide. That is exactly where the token-only view fails, because a failed agentic attempt is not free: it burns reviewer time, breaks the automation downstream, and erodes trust in the seat. Assign a deliberately conservative seventeen dollars to each failed attempt, about ten minutes of a fully loaded operator, and the ranking inverts. Opus succeeding nine times in ten finishes the task for about $2.56; Muse Spark succeeding three times in four finishes it for about $5.83, more than twice as much despite tokens at a quarter of the price. The cheapest model on the sheet is the most expensive to run, and the near-priciest is the cheapest. That inversion is the thesis of this note.</w:t>
      </w:r>
    </w:p>
    <w:p>
      <w:pPr>
        <w:spacing w:after="140"/>
      </w:pPr>
      <w:r>
        <w:rPr>
          <w:rFonts w:ascii="Calibri Light" w:hAnsi="Calibri Light"/>
          <w:b w:val="0"/>
          <w:i w:val="0"/>
          <w:color w:val="000000"/>
          <w:sz w:val="20"/>
        </w:rPr>
        <w:t>The conclusion does not rest on the seventeen-dollar figure, and a serious reader should attack it. Solve instead for the failure cost at which the premium breaks even: at a fifteen-point reliability edge it pays once a failure costs more than about $2.24, at a ten-point edge more than about $3.67, and at a five-point edge more than about $7.93. Only if failure is free does the cheap tier win, and failure in production is never free. The premium is defensible whenever enterprise mistakes are expensive, which is to say always, so value per token belongs to whoever pairs the highest reliability with a defensible price, not to whoever posts the lowest number.</w:t>
      </w:r>
    </w:p>
    <w:p>
      <w:pPr>
        <w:spacing w:after="40"/>
      </w:pPr>
      <w:r>
        <w:rPr>
          <w:rFonts w:ascii="Calibri Light" w:hAnsi="Calibri Light"/>
          <w:b/>
          <w:i w:val="0"/>
          <w:color w:val="2F5496"/>
          <w:sz w:val="19"/>
        </w:rPr>
        <w:t xml:space="preserve">CHART: </w:t>
      </w:r>
      <w:r>
        <w:rPr>
          <w:rFonts w:ascii="Calibri Light" w:hAnsi="Calibri Light"/>
          <w:b w:val="0"/>
          <w:i/>
          <w:color w:val="595959"/>
          <w:sz w:val="19"/>
        </w:rPr>
        <w:t>Fully loaded cost per completed task versus per-attempt success rate. The curves cross in a narrow band near eighty-five to ninety percent, below which the sticker dominates and above which reliability does.</w:t>
      </w:r>
    </w:p>
    <w:p>
      <w:pPr>
        <w:spacing w:before="40" w:after="120"/>
      </w:pPr>
      <w:r>
        <w:drawing>
          <wp:inline xmlns:a="http://schemas.openxmlformats.org/drawingml/2006/main" xmlns:pic="http://schemas.openxmlformats.org/drawingml/2006/picture">
            <wp:extent cx="6309360" cy="2339895"/>
            <wp:docPr id="3" name="Picture 3"/>
            <wp:cNvGraphicFramePr>
              <a:graphicFrameLocks noChangeAspect="1"/>
            </wp:cNvGraphicFramePr>
            <a:graphic>
              <a:graphicData uri="http://schemas.openxmlformats.org/drawingml/2006/picture">
                <pic:pic>
                  <pic:nvPicPr>
                    <pic:cNvPr id="0" name="pw_cost_curves.png"/>
                    <pic:cNvPicPr/>
                  </pic:nvPicPr>
                  <pic:blipFill>
                    <a:blip r:embed="rId11"/>
                    <a:stretch>
                      <a:fillRect/>
                    </a:stretch>
                  </pic:blipFill>
                  <pic:spPr>
                    <a:xfrm>
                      <a:off x="0" y="0"/>
                      <a:ext cx="6309360" cy="2339895"/>
                    </a:xfrm>
                    <a:prstGeom prst="rect"/>
                  </pic:spPr>
                </pic:pic>
              </a:graphicData>
            </a:graphic>
          </wp:inline>
        </w:drawing>
      </w:r>
    </w:p>
    <w:p>
      <w:pPr>
        <w:spacing w:after="40"/>
      </w:pPr>
      <w:r>
        <w:rPr>
          <w:rFonts w:ascii="Calibri Light" w:hAnsi="Calibri Light"/>
          <w:b/>
          <w:i w:val="0"/>
          <w:color w:val="2F5496"/>
          <w:sz w:val="19"/>
        </w:rPr>
        <w:t xml:space="preserve">CHART: </w:t>
      </w:r>
      <w:r>
        <w:rPr>
          <w:rFonts w:ascii="Calibri Light" w:hAnsi="Calibri Light"/>
          <w:b w:val="0"/>
          <w:i/>
          <w:color w:val="595959"/>
          <w:sz w:val="19"/>
        </w:rPr>
        <w:t>Break-even failure cost versus reliability edge. Above the curve the premium is cheaper, and the curve sits at a few dollars across the realistic range.</w:t>
      </w:r>
    </w:p>
    <w:p>
      <w:pPr>
        <w:spacing w:before="40" w:after="120"/>
      </w:pPr>
      <w:r>
        <w:drawing>
          <wp:inline xmlns:a="http://schemas.openxmlformats.org/drawingml/2006/main" xmlns:pic="http://schemas.openxmlformats.org/drawingml/2006/picture">
            <wp:extent cx="6309360" cy="1946675"/>
            <wp:docPr id="4" name="Picture 4"/>
            <wp:cNvGraphicFramePr>
              <a:graphicFrameLocks noChangeAspect="1"/>
            </wp:cNvGraphicFramePr>
            <a:graphic>
              <a:graphicData uri="http://schemas.openxmlformats.org/drawingml/2006/picture">
                <pic:pic>
                  <pic:nvPicPr>
                    <pic:cNvPr id="0" name="pw_sensitivity.png"/>
                    <pic:cNvPicPr/>
                  </pic:nvPicPr>
                  <pic:blipFill>
                    <a:blip r:embed="rId12"/>
                    <a:stretch>
                      <a:fillRect/>
                    </a:stretch>
                  </pic:blipFill>
                  <pic:spPr>
                    <a:xfrm>
                      <a:off x="0" y="0"/>
                      <a:ext cx="6309360" cy="1946675"/>
                    </a:xfrm>
                    <a:prstGeom prst="rect"/>
                  </pic:spPr>
                </pic:pic>
              </a:graphicData>
            </a:graphic>
          </wp:inline>
        </w:drawing>
      </w:r>
    </w:p>
    <w:p>
      <w:pPr>
        <w:spacing w:after="140"/>
      </w:pPr>
      <w:r>
        <w:rPr>
          <w:rFonts w:ascii="Calibri Light" w:hAnsi="Calibri Light"/>
          <w:b w:val="0"/>
          <w:i w:val="0"/>
          <w:color w:val="000000"/>
          <w:sz w:val="20"/>
        </w:rPr>
        <w:t>If independent, non-vendor evaluations that measure cost per completed task rather than price per token show the cheap tier matching premium success within two points at scale by September 30, 2026, the thesis of this note breaks.</w:t>
      </w:r>
    </w:p>
    <w:p>
      <w:pPr>
        <w:pStyle w:val="Heading2"/>
      </w:pPr>
      <w:r>
        <w:t>3. Margin mechanics: who can subsidize, and is this a war?</w:t>
      </w:r>
    </w:p>
    <w:p>
      <w:pPr>
        <w:spacing w:after="140"/>
      </w:pPr>
      <w:r>
        <w:rPr>
          <w:rFonts w:ascii="Calibri Light" w:hAnsi="Calibri Light"/>
          <w:b w:val="0"/>
          <w:i w:val="0"/>
          <w:color w:val="000000"/>
          <w:sz w:val="20"/>
        </w:rPr>
        <w:t>A four-to-five-times output cut destroys model-layer margin. We estimate a frontier model serves at roughly six to eight dollars per million output tokens, since no lab discloses the number. At twenty-five dollars that is about a seventy percent gross margin; at the four-to-six-dollar floor it is negative, roughly minus seventeen percent at six and minus sixty-five percent at four and a quarter. A four-times cut in a single generation outruns the two-to-three-times serving-cost decline each generation historically delivers, so the gap is not efficiency but subsidy, and who can pay it decides the war.</w:t>
      </w:r>
    </w:p>
    <w:p>
      <w:pPr>
        <w:spacing w:after="140"/>
      </w:pPr>
      <w:r>
        <w:rPr>
          <w:rFonts w:ascii="Calibri Light" w:hAnsi="Calibri Light"/>
          <w:b w:val="0"/>
          <w:i w:val="0"/>
          <w:color w:val="000000"/>
          <w:sz w:val="20"/>
        </w:rPr>
        <w:t>Meta is the one structural price warrior, because it does not need model margin at all. Pricing Muse Spark near or below cost drives the complement toward zero while Meta monetizes the surface, the ad load, and its own silicon, and that is durable because an advertising engine funds it rather than external capital. Commoditizing a market you do not need to profit from is not the same as winning it.</w:t>
      </w:r>
    </w:p>
    <w:p>
      <w:pPr>
        <w:spacing w:after="140"/>
      </w:pPr>
      <w:r>
        <w:rPr>
          <w:rFonts w:ascii="Calibri Light" w:hAnsi="Calibri Light"/>
          <w:b w:val="0"/>
          <w:i w:val="0"/>
          <w:color w:val="000000"/>
          <w:sz w:val="20"/>
        </w:rPr>
        <w:t>xAI is the capability story that does not fix the economics. The mid-July Grok 4.5 refresh, which the company says adds native computer use, multimodal input, and a real-time feed from X and Starlink that no rival can replicate, is a genuine jump that makes Grok the value leader on paper. It changes nothing, because the AI segment earns about $3.2B against a FY25 operating loss north of six billion, and the subsidy runs through the SpaceX and Starlink cross-flow, a balance-sheet decision rather than a business model. A better cheap model does not close a six-billion-dollar loss.</w:t>
      </w:r>
    </w:p>
    <w:p>
      <w:pPr>
        <w:spacing w:after="140"/>
      </w:pPr>
      <w:r>
        <w:rPr>
          <w:rFonts w:ascii="Calibri Light" w:hAnsi="Calibri Light"/>
          <w:b w:val="0"/>
          <w:i w:val="0"/>
          <w:color w:val="000000"/>
          <w:sz w:val="20"/>
        </w:rPr>
        <w:t>OpenAI is running segmentation, not a race to zero, and the tell is that Sol lists above Opus on output. Luna harvests price-sensitive volume at the floor while Sol defends the premium, and with roughly twenty-five billion in net revenue, about nine hundred million weekly users, and Codex above one and a half million, OpenAI needs the premium tier because its rich multiple and thin capital efficiency cannot ride six-dollar output.</w:t>
      </w:r>
    </w:p>
    <w:p>
      <w:pPr>
        <w:spacing w:after="140"/>
      </w:pPr>
      <w:r>
        <w:rPr>
          <w:rFonts w:ascii="Calibri Light" w:hAnsi="Calibri Light"/>
          <w:b w:val="0"/>
          <w:i w:val="0"/>
          <w:color w:val="000000"/>
          <w:sz w:val="20"/>
        </w:rPr>
        <w:t>Anthropic defends a two-tier premium and declines to chase. Opus holds at five and twenty-five, and Claude Mythos sits above it as a restricted flagship that is not openly priced, for which we assume an output premium of roughly one and a half to two times Opus. On PitchBook's marks Anthropic carries a $965B valuation on forty-seven billion of gross run-rate revenue, the best capital efficiency among the labs, and a first quarterly operating profit near $559M, though that figure excludes stock compensation and rides a ramp discount on its SpaceX compute deal and so flatters the steady state. The strategy is one sentence: hold price, deepen the premium, prove attach.</w:t>
      </w:r>
    </w:p>
    <w:p>
      <w:pPr>
        <w:spacing w:after="40"/>
      </w:pPr>
      <w:r>
        <w:rPr>
          <w:rFonts w:ascii="Calibri Light" w:hAnsi="Calibri Light"/>
          <w:b/>
          <w:i w:val="0"/>
          <w:color w:val="2F5496"/>
          <w:sz w:val="19"/>
        </w:rPr>
        <w:t xml:space="preserve">CHART: </w:t>
      </w:r>
      <w:r>
        <w:rPr>
          <w:rFonts w:ascii="Calibri Light" w:hAnsi="Calibri Light"/>
          <w:b w:val="0"/>
          <w:i/>
          <w:color w:val="595959"/>
          <w:sz w:val="19"/>
        </w:rPr>
        <w:t>Implied model-layer gross margin versus output list price at a six-to-eight-dollar serving cost. Every output price below roughly eight dollars is gross-margin negative, so the floor tier is sold below cost.</w:t>
      </w:r>
    </w:p>
    <w:p>
      <w:pPr>
        <w:spacing w:before="40" w:after="120"/>
      </w:pPr>
      <w:r>
        <w:drawing>
          <wp:inline xmlns:a="http://schemas.openxmlformats.org/drawingml/2006/main" xmlns:pic="http://schemas.openxmlformats.org/drawingml/2006/picture">
            <wp:extent cx="6309360" cy="2102464"/>
            <wp:docPr id="5" name="Picture 5"/>
            <wp:cNvGraphicFramePr>
              <a:graphicFrameLocks noChangeAspect="1"/>
            </wp:cNvGraphicFramePr>
            <a:graphic>
              <a:graphicData uri="http://schemas.openxmlformats.org/drawingml/2006/picture">
                <pic:pic>
                  <pic:nvPicPr>
                    <pic:cNvPr id="0" name="pw_margin_vs_price.png"/>
                    <pic:cNvPicPr/>
                  </pic:nvPicPr>
                  <pic:blipFill>
                    <a:blip r:embed="rId13"/>
                    <a:stretch>
                      <a:fillRect/>
                    </a:stretch>
                  </pic:blipFill>
                  <pic:spPr>
                    <a:xfrm>
                      <a:off x="0" y="0"/>
                      <a:ext cx="6309360" cy="2102464"/>
                    </a:xfrm>
                    <a:prstGeom prst="rect"/>
                  </pic:spPr>
                </pic:pic>
              </a:graphicData>
            </a:graphic>
          </wp:inline>
        </w:drawing>
      </w:r>
    </w:p>
    <w:p>
      <w:pPr>
        <w:spacing w:after="140"/>
      </w:pPr>
      <w:r>
        <w:rPr>
          <w:rFonts w:ascii="Calibri Light" w:hAnsi="Calibri Light"/>
          <w:b w:val="0"/>
          <w:i w:val="0"/>
          <w:color w:val="000000"/>
          <w:sz w:val="20"/>
        </w:rPr>
        <w:t>This is a segmentation play at the top and a real price war only at the floor. Two of the four defend premium tiers, Anthropic pushes the premium upward with Mythos, Meta commoditizes a complement, and xAI follows price without the economics. On our estimate, something like fifty-five to sixty-five percent of enterprise agentic dollars flow to reliability-gated, high-stakes work where the premium is defensible, and the rest to failure-tolerant work that carries most of the raw volume. The two ends split volume and value in opposite directions, and the value end is Anthropic's.</w:t>
      </w:r>
    </w:p>
    <w:p>
      <w:pPr>
        <w:spacing w:after="140"/>
      </w:pPr>
      <w:r>
        <w:rPr>
          <w:rFonts w:ascii="Calibri Light" w:hAnsi="Calibri Light"/>
          <w:b w:val="0"/>
          <w:i w:val="0"/>
          <w:color w:val="000000"/>
          <w:sz w:val="20"/>
        </w:rPr>
        <w:t>If Anthropic or OpenAI cuts flagship output pricing by fifteen percent or more before August 31, 2026, the segmentation read fails and this becomes a war note. We think Anthropic holds, and put the probability near seventy percent.</w:t>
      </w:r>
    </w:p>
    <w:p>
      <w:pPr>
        <w:pStyle w:val="Heading2"/>
      </w:pPr>
      <w:r>
        <w:t>4. The barbell and the squeezed middle</w:t>
      </w:r>
    </w:p>
    <w:p>
      <w:pPr>
        <w:spacing w:after="140"/>
      </w:pPr>
      <w:r>
        <w:rPr>
          <w:rFonts w:ascii="Calibri Light" w:hAnsi="Calibri Light"/>
          <w:b w:val="0"/>
          <w:i w:val="0"/>
          <w:color w:val="000000"/>
          <w:sz w:val="20"/>
        </w:rPr>
        <w:t>Repricing events rarely kill the top or bottom of a market; they hollow out the middle. Undifferentiated mid-tier access, neither cheapest useful inference nor most reliable premium surface, reprices to commodity within quarters, because Luna and Muse Spark set a new floor for good enough while the premium sets a reliability bar the middle cannot reach. Capital and revenue migrate to the ends.</w:t>
      </w:r>
    </w:p>
    <w:p>
      <w:pPr>
        <w:spacing w:after="140"/>
      </w:pPr>
      <w:r>
        <w:rPr>
          <w:rFonts w:ascii="Calibri Light" w:hAnsi="Calibri Light"/>
          <w:b w:val="0"/>
          <w:i w:val="0"/>
          <w:color w:val="000000"/>
          <w:sz w:val="20"/>
        </w:rPr>
        <w:t>The losers have names. Model resellers and gateways lived on the spread between list price and enterprise inertia, and that spread is now negative. Legacy vertical software priced its moat per seat, and that umbrella collapses from below the moment an agent that finishes a task for a few dollars can run the workflow directly. The mid-tier model and the seat-priced application middle are the same trade, which is undifferentiated capacity priced above the cost of replacing it.</w:t>
      </w:r>
    </w:p>
    <w:p>
      <w:pPr>
        <w:spacing w:after="140"/>
      </w:pPr>
      <w:r>
        <w:rPr>
          <w:rFonts w:ascii="Calibri Light" w:hAnsi="Calibri Light"/>
          <w:b w:val="0"/>
          <w:i w:val="0"/>
          <w:color w:val="000000"/>
          <w:sz w:val="20"/>
        </w:rPr>
        <w:t>If at least one well-known reseller or gateway reprices to a thin usage-based margin, exits, or sells below its last private mark by December 31, 2026, the squeeze is confirmed.</w:t>
      </w:r>
    </w:p>
    <w:p>
      <w:pPr>
        <w:pStyle w:val="Heading2"/>
      </w:pPr>
      <w:r>
        <w:t>5. Market implications</w:t>
      </w:r>
    </w:p>
    <w:p>
      <w:pPr>
        <w:spacing w:after="140"/>
      </w:pPr>
      <w:r>
        <w:rPr>
          <w:rFonts w:ascii="Calibri Light" w:hAnsi="Calibri Light"/>
          <w:b w:val="0"/>
          <w:i w:val="0"/>
          <w:color w:val="000000"/>
          <w:sz w:val="20"/>
        </w:rPr>
        <w:t>Cheaper inference is accretive to buyers and the application layer and dilutive to the model layer, because every dollar cut from output pricing lands with whoever owns the workflow, not the lab that cut it. That is the read-through for a public book, alongside the buildout trade.</w:t>
      </w:r>
    </w:p>
    <w:p>
      <w:pPr>
        <w:spacing w:after="140"/>
      </w:pPr>
      <w:r>
        <w:rPr>
          <w:rFonts w:ascii="Calibri Light" w:hAnsi="Calibri Light"/>
          <w:b w:val="0"/>
          <w:i w:val="0"/>
          <w:color w:val="000000"/>
          <w:sz w:val="20"/>
        </w:rPr>
        <w:t>The buildout is insulated. High-bandwidth memory, wafer fabrication equipment, data-center power, cooling, and permitted baseload generation are priced on capacity scarcity rather than model margin, which is the same memory-bandwidth wall that sets output pricing in the first place. A price war at the model layer does not cancel compute demand; at the volumes the cheap tier is chasing it raises it. The complex is exposed to a financing shock, not a pricing one.</w:t>
      </w:r>
    </w:p>
    <w:p>
      <w:pPr>
        <w:spacing w:after="40"/>
      </w:pPr>
      <w:r>
        <w:rPr>
          <w:rFonts w:ascii="Calibri Light" w:hAnsi="Calibri Light"/>
          <w:b/>
          <w:i w:val="0"/>
          <w:color w:val="2F5496"/>
          <w:sz w:val="19"/>
        </w:rPr>
        <w:t xml:space="preserve">CHART: </w:t>
      </w:r>
      <w:r>
        <w:rPr>
          <w:rFonts w:ascii="Calibri Light" w:hAnsi="Calibri Light"/>
          <w:b w:val="0"/>
          <w:i/>
          <w:color w:val="595959"/>
          <w:sz w:val="19"/>
        </w:rPr>
        <w:t>Model-layer economics versus buildout economics. The layer cutting prices is the one losing money, and the layer selling scarcity is not in the war.</w:t>
      </w:r>
    </w:p>
    <w:p>
      <w:pPr>
        <w:spacing w:before="40" w:after="120"/>
      </w:pPr>
      <w:r>
        <w:drawing>
          <wp:inline xmlns:a="http://schemas.openxmlformats.org/drawingml/2006/main" xmlns:pic="http://schemas.openxmlformats.org/drawingml/2006/picture">
            <wp:extent cx="6309360" cy="1929047"/>
            <wp:docPr id="6" name="Picture 6"/>
            <wp:cNvGraphicFramePr>
              <a:graphicFrameLocks noChangeAspect="1"/>
            </wp:cNvGraphicFramePr>
            <a:graphic>
              <a:graphicData uri="http://schemas.openxmlformats.org/drawingml/2006/picture">
                <pic:pic>
                  <pic:nvPicPr>
                    <pic:cNvPr id="0" name="pw_layer_economics.png"/>
                    <pic:cNvPicPr/>
                  </pic:nvPicPr>
                  <pic:blipFill>
                    <a:blip r:embed="rId14"/>
                    <a:stretch>
                      <a:fillRect/>
                    </a:stretch>
                  </pic:blipFill>
                  <pic:spPr>
                    <a:xfrm>
                      <a:off x="0" y="0"/>
                      <a:ext cx="6309360" cy="1929047"/>
                    </a:xfrm>
                    <a:prstGeom prst="rect"/>
                  </pic:spPr>
                </pic:pic>
              </a:graphicData>
            </a:graphic>
          </wp:inline>
        </w:drawing>
      </w:r>
    </w:p>
    <w:p>
      <w:pPr>
        <w:spacing w:after="140"/>
      </w:pPr>
      <w:r>
        <w:rPr>
          <w:rFonts w:ascii="Calibri Light" w:hAnsi="Calibri Light"/>
          <w:b w:val="0"/>
          <w:i w:val="0"/>
          <w:color w:val="000000"/>
          <w:sz w:val="20"/>
        </w:rPr>
        <w:t>Financing makes the war possible. The roughly three-and-a-half-trillion-dollar private-credit market is now the marginal source of AI capital, and labs price below serving cost because debt funds the gap. Anthropic's roughly thirty-five-billion-dollar June chip-bond stack is the template; xAI's cross-subsidy is the same mechanism in a corporate wrapper. A war paid for by credit ends when the credit reprices, not when a margin breaks, so the covenant is the market's willingness to keep funding negative-margin token sales, which is why the price war and the coming IPO are one question.</w:t>
      </w:r>
    </w:p>
    <w:p>
      <w:pPr>
        <w:spacing w:after="140"/>
      </w:pPr>
      <w:r>
        <w:rPr>
          <w:rFonts w:ascii="Calibri Light" w:hAnsi="Calibri Light"/>
          <w:b w:val="0"/>
          <w:i w:val="0"/>
          <w:color w:val="000000"/>
          <w:sz w:val="20"/>
        </w:rPr>
        <w:t>The IPO is the pressure test. The repricing lands about three months before Anthropic's expected October S-1, which forces open what private markets have never seen: model-layer gross margin, mix, and any enterprise attach. Filing at a $965B mark while a rival prices comparable-claim inference at a quarter of the rate is the hardest possible setup, and equally the cleanest validation: if Anthropic holds price and attach through the window, the best-value thesis is proven under live fire. The gross-margin page, not any benchmark, is the most repriced disclosure in the filing.</w:t>
      </w:r>
    </w:p>
    <w:p>
      <w:pPr>
        <w:spacing w:after="140"/>
      </w:pPr>
      <w:r>
        <w:rPr>
          <w:rFonts w:ascii="Calibri Light" w:hAnsi="Calibri Light"/>
          <w:b w:val="0"/>
          <w:i w:val="0"/>
          <w:color w:val="000000"/>
          <w:sz w:val="20"/>
        </w:rPr>
        <w:t>If an AI-exposed private-credit vehicle discloses markdowns or tighter terms on chip-backed paper by January 31, 2027, the financing-fragility read is confirmed; a second large chip-bond stack pricing at or inside June's terms would refute it.</w:t>
      </w:r>
    </w:p>
    <w:p>
      <w:pPr>
        <w:pStyle w:val="Heading2"/>
      </w:pPr>
      <w:r>
        <w:t>6. Consumer implications</w:t>
      </w:r>
    </w:p>
    <w:p>
      <w:pPr>
        <w:spacing w:after="140"/>
      </w:pPr>
      <w:r>
        <w:rPr>
          <w:rFonts w:ascii="Calibri Light" w:hAnsi="Calibri Light"/>
          <w:b w:val="0"/>
          <w:i w:val="0"/>
          <w:color w:val="000000"/>
          <w:sz w:val="20"/>
        </w:rPr>
        <w:t>Consumers almost never pay per token. They pay a flat subscription, now roughly twenty dollars a month, or in attention and data on an ad-funded free tier, which is Meta's model, or invisibly through AI folded into a subscription they already hold. The token war reaches them indirectly but governs what they are offered.</w:t>
      </w:r>
    </w:p>
    <w:p>
      <w:pPr>
        <w:spacing w:after="140"/>
      </w:pPr>
      <w:r>
        <w:rPr>
          <w:rFonts w:ascii="Calibri Light" w:hAnsi="Calibri Light"/>
          <w:b w:val="0"/>
          <w:i w:val="0"/>
          <w:color w:val="000000"/>
          <w:sz w:val="20"/>
        </w:rPr>
        <w:t>The central consequence is that cheaper inference makes the free tier good enough. When serving a capable model costs a fraction of a year ago, the rational move is to give more of it away, because the free tier is the funnel, so capability inflates there while willingness to pay compresses at the paid tier. That is the mirror of the enterprise story: enterprises pay for reliability they can measure, consumers will not pay for quality they cannot perceive. The consumer market splits along the same barbell, a free ad-funded tier where Meta is advantaged and a premium bundle sold as an agent that books, buys, and codes. A paid chatbot that only answers questions is the consumer squeezed middle. As prices fall the payment shifts from cash toward data and attention, raising the stakes on privacy, and distribution decides the consumer war because a user will not switch assistants over a difference they cannot feel.</w:t>
      </w:r>
    </w:p>
    <w:p>
      <w:pPr>
        <w:spacing w:after="140"/>
      </w:pPr>
      <w:r>
        <w:rPr>
          <w:rFonts w:ascii="Calibri Light" w:hAnsi="Calibri Light"/>
          <w:b w:val="0"/>
          <w:i w:val="0"/>
          <w:color w:val="000000"/>
          <w:sz w:val="20"/>
        </w:rPr>
        <w:t>If at least one consumer provider materially raises free-tier capability or discloses paid conversion or ARPU under pressure by November 30, 2026, the pass-through is visible. We expect free-tier expansion first.</w:t>
      </w:r>
    </w:p>
    <w:p>
      <w:pPr>
        <w:pStyle w:val="Heading2"/>
      </w:pPr>
      <w:r>
        <w:t>7. The surface decides</w:t>
      </w:r>
    </w:p>
    <w:p>
      <w:pPr>
        <w:spacing w:after="140"/>
      </w:pPr>
      <w:r>
        <w:rPr>
          <w:rFonts w:ascii="Calibri Light" w:hAnsi="Calibri Light"/>
          <w:b w:val="0"/>
          <w:i w:val="0"/>
          <w:color w:val="000000"/>
          <w:sz w:val="20"/>
        </w:rPr>
        <w:t>The war looks like a pricing table but is settled on the desktop and the phone. OpenAI's ChatGPT Work and Codex superapp and Anthropic's Claude Cowork compete for the enterprise-agent seat, the permissioned surface through which agents touch company systems, and whoever owns it owns task routing. That is where the best-value argument becomes a moat, because the surface owner routes silently, sending the high-stakes step to Opus or Mythos and the trivial one to the floor, capturing both ends of the barbell inside its own product. This is why Grok's refresh does not win: a better cheap model with a unique data feed is still only a model, and xAI owns no seat to route it through and no cash engine to outlast the incumbents. Cheap tokens win benchmarks and spot volume, which churn on the next price sheet; seat-level reliability, admin tooling, and audit trails are what an enterprise cannot re-procure quarterly. The seat, not the sticker, is the moat.</w:t>
      </w:r>
    </w:p>
    <w:p>
      <w:pPr>
        <w:spacing w:after="140"/>
      </w:pPr>
      <w:r>
        <w:rPr>
          <w:rFonts w:ascii="Calibri Light" w:hAnsi="Calibri Light"/>
          <w:b w:val="0"/>
          <w:i w:val="0"/>
          <w:color w:val="000000"/>
          <w:sz w:val="20"/>
        </w:rPr>
        <w:t>If the first disclosed enterprise-agent seat or attach metric arrives by September 30, 2026, the surface thesis becomes measurable. Trivial seat counts at both OpenAI and Anthropic would mean the surface war is earlier than we think.</w:t>
      </w:r>
    </w:p>
    <w:p>
      <w:pPr>
        <w:pStyle w:val="Heading2"/>
      </w:pPr>
      <w:r>
        <w:t>8. The verdict: the best model for the money</w:t>
      </w:r>
    </w:p>
    <w:p>
      <w:pPr>
        <w:spacing w:after="140"/>
      </w:pPr>
      <w:r>
        <w:rPr>
          <w:rFonts w:ascii="Calibri Light" w:hAnsi="Calibri Light"/>
          <w:b w:val="0"/>
          <w:i w:val="0"/>
          <w:color w:val="000000"/>
          <w:sz w:val="20"/>
        </w:rPr>
        <w:t>Judge the labs on the axes that compound, and the answer is not close.</w:t>
      </w:r>
    </w:p>
    <w:p>
      <w:pPr>
        <w:spacing w:after="40"/>
      </w:pPr>
      <w:r>
        <w:rPr>
          <w:rFonts w:ascii="Calibri Light" w:hAnsi="Calibri Light"/>
          <w:b/>
          <w:i w:val="0"/>
          <w:color w:val="2F5496"/>
          <w:sz w:val="19"/>
        </w:rPr>
        <w:t xml:space="preserve">TABLE: </w:t>
      </w:r>
      <w:r>
        <w:rPr>
          <w:rFonts w:ascii="Calibri Light" w:hAnsi="Calibri Light"/>
          <w:b w:val="0"/>
          <w:i/>
          <w:color w:val="595959"/>
          <w:sz w:val="19"/>
        </w:rPr>
        <w:t>Competitive scorecard on the four axes that decide the war. Anthropic leads on value pricing, model, and economics; OpenAI only on distribution; Meta owns the floor; xAI has capability without the economics to keep it.</w:t>
      </w:r>
    </w:p>
    <w:tbl>
      <w:tblPr>
        <w:tblW w:type="dxa" w:w="9840"/>
        <w:tblLook w:firstColumn="1" w:firstRow="1" w:lastColumn="0" w:lastRow="0" w:noHBand="0" w:noVBand="1" w:val="04A0"/>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CellMar>
          <w:top w:w="40" w:type="dxa"/>
          <w:left w:w="80" w:type="dxa"/>
          <w:bottom w:w="40" w:type="dxa"/>
          <w:right w:w="80" w:type="dxa"/>
        </w:tblCellMar>
      </w:tblPr>
      <w:tblGrid>
        <w:gridCol w:w="1680"/>
        <w:gridCol w:w="1680"/>
        <w:gridCol w:w="1680"/>
        <w:gridCol w:w="1680"/>
        <w:gridCol w:w="1680"/>
        <w:gridCol w:w="1680"/>
      </w:tblGrid>
      <w:tr>
        <w:trPr>
          <w:cantSplit/>
          <w:tblHeader w:val="true"/>
        </w:trPr>
        <w:tc>
          <w:tcPr>
            <w:tcW w:type="dxa" w:w="2050"/>
            <w:shd w:val="clear" w:fill="2F5496"/>
          </w:tcPr>
          <w:p>
            <w:pPr>
              <w:spacing w:after="0"/>
              <w:jc w:val="left"/>
            </w:pPr>
            <w:r/>
            <w:r>
              <w:rPr>
                <w:rFonts w:ascii="Calibri Light" w:hAnsi="Calibri Light"/>
                <w:b/>
                <w:color w:val="FFFFFF"/>
                <w:sz w:val="17"/>
              </w:rPr>
              <w:t>Lab</w:t>
            </w:r>
          </w:p>
        </w:tc>
        <w:tc>
          <w:tcPr>
            <w:tcW w:type="dxa" w:w="1558"/>
            <w:shd w:val="clear" w:fill="2F5496"/>
          </w:tcPr>
          <w:p>
            <w:pPr>
              <w:spacing w:after="0"/>
              <w:jc w:val="center"/>
            </w:pPr>
            <w:r/>
            <w:r>
              <w:rPr>
                <w:rFonts w:ascii="Calibri Light" w:hAnsi="Calibri Light"/>
                <w:b/>
                <w:color w:val="FFFFFF"/>
                <w:sz w:val="17"/>
              </w:rPr>
              <w:t>Pricing for value</w:t>
            </w:r>
          </w:p>
        </w:tc>
        <w:tc>
          <w:tcPr>
            <w:tcW w:type="dxa" w:w="1558"/>
            <w:shd w:val="clear" w:fill="2F5496"/>
          </w:tcPr>
          <w:p>
            <w:pPr>
              <w:spacing w:after="0"/>
              <w:jc w:val="center"/>
            </w:pPr>
            <w:r/>
            <w:r>
              <w:rPr>
                <w:rFonts w:ascii="Calibri Light" w:hAnsi="Calibri Light"/>
                <w:b/>
                <w:color w:val="FFFFFF"/>
                <w:sz w:val="17"/>
              </w:rPr>
              <w:t>Model</w:t>
            </w:r>
          </w:p>
        </w:tc>
        <w:tc>
          <w:tcPr>
            <w:tcW w:type="dxa" w:w="1558"/>
            <w:shd w:val="clear" w:fill="2F5496"/>
          </w:tcPr>
          <w:p>
            <w:pPr>
              <w:spacing w:after="0"/>
              <w:jc w:val="center"/>
            </w:pPr>
            <w:r/>
            <w:r>
              <w:rPr>
                <w:rFonts w:ascii="Calibri Light" w:hAnsi="Calibri Light"/>
                <w:b/>
                <w:color w:val="FFFFFF"/>
                <w:sz w:val="17"/>
              </w:rPr>
              <w:t>Moat</w:t>
            </w:r>
          </w:p>
        </w:tc>
        <w:tc>
          <w:tcPr>
            <w:tcW w:type="dxa" w:w="1558"/>
            <w:shd w:val="clear" w:fill="2F5496"/>
          </w:tcPr>
          <w:p>
            <w:pPr>
              <w:spacing w:after="0"/>
              <w:jc w:val="center"/>
            </w:pPr>
            <w:r/>
            <w:r>
              <w:rPr>
                <w:rFonts w:ascii="Calibri Light" w:hAnsi="Calibri Light"/>
                <w:b/>
                <w:color w:val="FFFFFF"/>
                <w:sz w:val="17"/>
              </w:rPr>
              <w:t>Unit economics</w:t>
            </w:r>
          </w:p>
        </w:tc>
        <w:tc>
          <w:tcPr>
            <w:tcW w:type="dxa" w:w="1558"/>
            <w:shd w:val="clear" w:fill="2F5496"/>
          </w:tcPr>
          <w:p>
            <w:pPr>
              <w:spacing w:after="0"/>
              <w:jc w:val="center"/>
            </w:pPr>
            <w:r/>
            <w:r>
              <w:rPr>
                <w:rFonts w:ascii="Calibri Light" w:hAnsi="Calibri Light"/>
                <w:b/>
                <w:color w:val="FFFFFF"/>
                <w:sz w:val="17"/>
              </w:rPr>
              <w:t>Verdict</w:t>
            </w:r>
          </w:p>
        </w:tc>
      </w:tr>
      <w:tr>
        <w:trPr>
          <w:cantSplit/>
        </w:trPr>
        <w:tc>
          <w:tcPr>
            <w:tcW w:type="dxa" w:w="2050"/>
          </w:tcPr>
          <w:p>
            <w:pPr>
              <w:spacing w:after="0"/>
              <w:jc w:val="left"/>
            </w:pPr>
            <w:r/>
            <w:r>
              <w:rPr>
                <w:rFonts w:ascii="Calibri Light" w:hAnsi="Calibri Light"/>
                <w:b w:val="0"/>
                <w:color w:val="000000"/>
                <w:sz w:val="17"/>
              </w:rPr>
              <w:t>Anthropic</w:t>
            </w:r>
          </w:p>
        </w:tc>
        <w:tc>
          <w:tcPr>
            <w:tcW w:type="dxa" w:w="1558"/>
          </w:tcPr>
          <w:p>
            <w:pPr>
              <w:spacing w:after="0"/>
              <w:jc w:val="center"/>
            </w:pPr>
            <w:r/>
            <w:r>
              <w:rPr>
                <w:rFonts w:ascii="Calibri Light" w:hAnsi="Calibri Light"/>
                <w:b w:val="0"/>
                <w:color w:val="000000"/>
                <w:sz w:val="17"/>
              </w:rPr>
              <w:t>Best value: cheapest per completed task</w:t>
            </w:r>
          </w:p>
        </w:tc>
        <w:tc>
          <w:tcPr>
            <w:tcW w:type="dxa" w:w="1558"/>
          </w:tcPr>
          <w:p>
            <w:pPr>
              <w:spacing w:after="0"/>
              <w:jc w:val="center"/>
            </w:pPr>
            <w:r/>
            <w:r>
              <w:rPr>
                <w:rFonts w:ascii="Calibri Light" w:hAnsi="Calibri Light"/>
                <w:b w:val="0"/>
                <w:color w:val="000000"/>
                <w:sz w:val="17"/>
              </w:rPr>
              <w:t>Highest quality; Opus plus Mythos</w:t>
            </w:r>
          </w:p>
        </w:tc>
        <w:tc>
          <w:tcPr>
            <w:tcW w:type="dxa" w:w="1558"/>
          </w:tcPr>
          <w:p>
            <w:pPr>
              <w:spacing w:after="0"/>
              <w:jc w:val="center"/>
            </w:pPr>
            <w:r/>
            <w:r>
              <w:rPr>
                <w:rFonts w:ascii="Calibri Light" w:hAnsi="Calibri Light"/>
                <w:b w:val="0"/>
                <w:color w:val="000000"/>
                <w:sz w:val="17"/>
              </w:rPr>
              <w:t>Reliability, the Cowork seat, a defended premium</w:t>
            </w:r>
          </w:p>
        </w:tc>
        <w:tc>
          <w:tcPr>
            <w:tcW w:type="dxa" w:w="1558"/>
          </w:tcPr>
          <w:p>
            <w:pPr>
              <w:spacing w:after="0"/>
              <w:jc w:val="center"/>
            </w:pPr>
            <w:r/>
            <w:r>
              <w:rPr>
                <w:rFonts w:ascii="Calibri Light" w:hAnsi="Calibri Light"/>
                <w:b w:val="0"/>
                <w:color w:val="000000"/>
                <w:sz w:val="17"/>
              </w:rPr>
              <w:t>Best capital efficiency; first quarterly profit</w:t>
            </w:r>
          </w:p>
        </w:tc>
        <w:tc>
          <w:tcPr>
            <w:tcW w:type="dxa" w:w="1558"/>
          </w:tcPr>
          <w:p>
            <w:pPr>
              <w:spacing w:after="0"/>
              <w:jc w:val="center"/>
            </w:pPr>
            <w:r/>
            <w:r>
              <w:rPr>
                <w:rFonts w:ascii="Calibri Light" w:hAnsi="Calibri Light"/>
                <w:b w:val="0"/>
                <w:color w:val="000000"/>
                <w:sz w:val="17"/>
              </w:rPr>
              <w:t>Winner</w:t>
            </w:r>
          </w:p>
        </w:tc>
      </w:tr>
      <w:tr>
        <w:trPr>
          <w:cantSplit/>
        </w:trPr>
        <w:tc>
          <w:tcPr>
            <w:tcW w:type="dxa" w:w="2050"/>
            <w:shd w:val="clear" w:fill="EAF0F8"/>
          </w:tcPr>
          <w:p>
            <w:pPr>
              <w:spacing w:after="0"/>
              <w:jc w:val="left"/>
            </w:pPr>
            <w:r/>
            <w:r>
              <w:rPr>
                <w:rFonts w:ascii="Calibri Light" w:hAnsi="Calibri Light"/>
                <w:b w:val="0"/>
                <w:color w:val="000000"/>
                <w:sz w:val="17"/>
              </w:rPr>
              <w:t>OpenAI</w:t>
            </w:r>
          </w:p>
        </w:tc>
        <w:tc>
          <w:tcPr>
            <w:tcW w:type="dxa" w:w="1558"/>
            <w:shd w:val="clear" w:fill="EAF0F8"/>
          </w:tcPr>
          <w:p>
            <w:pPr>
              <w:spacing w:after="0"/>
              <w:jc w:val="center"/>
            </w:pPr>
            <w:r/>
            <w:r>
              <w:rPr>
                <w:rFonts w:ascii="Calibri Light" w:hAnsi="Calibri Light"/>
                <w:b w:val="0"/>
                <w:color w:val="000000"/>
                <w:sz w:val="17"/>
              </w:rPr>
              <w:t>Split: Sol premium, Luna at the floor</w:t>
            </w:r>
          </w:p>
        </w:tc>
        <w:tc>
          <w:tcPr>
            <w:tcW w:type="dxa" w:w="1558"/>
            <w:shd w:val="clear" w:fill="EAF0F8"/>
          </w:tcPr>
          <w:p>
            <w:pPr>
              <w:spacing w:after="0"/>
              <w:jc w:val="center"/>
            </w:pPr>
            <w:r/>
            <w:r>
              <w:rPr>
                <w:rFonts w:ascii="Calibri Light" w:hAnsi="Calibri Light"/>
                <w:b w:val="0"/>
                <w:color w:val="000000"/>
                <w:sz w:val="17"/>
              </w:rPr>
              <w:t>Strong and broad</w:t>
            </w:r>
          </w:p>
        </w:tc>
        <w:tc>
          <w:tcPr>
            <w:tcW w:type="dxa" w:w="1558"/>
            <w:shd w:val="clear" w:fill="EAF0F8"/>
          </w:tcPr>
          <w:p>
            <w:pPr>
              <w:spacing w:after="0"/>
              <w:jc w:val="center"/>
            </w:pPr>
            <w:r/>
            <w:r>
              <w:rPr>
                <w:rFonts w:ascii="Calibri Light" w:hAnsi="Calibri Light"/>
                <w:b w:val="0"/>
                <w:color w:val="000000"/>
                <w:sz w:val="17"/>
              </w:rPr>
              <w:t>Distribution: roughly 900M weekly users</w:t>
            </w:r>
          </w:p>
        </w:tc>
        <w:tc>
          <w:tcPr>
            <w:tcW w:type="dxa" w:w="1558"/>
            <w:shd w:val="clear" w:fill="EAF0F8"/>
          </w:tcPr>
          <w:p>
            <w:pPr>
              <w:spacing w:after="0"/>
              <w:jc w:val="center"/>
            </w:pPr>
            <w:r/>
            <w:r>
              <w:rPr>
                <w:rFonts w:ascii="Calibri Light" w:hAnsi="Calibri Light"/>
                <w:b w:val="0"/>
                <w:color w:val="000000"/>
                <w:sz w:val="17"/>
              </w:rPr>
              <w:t>Rich multiple on thin efficiency</w:t>
            </w:r>
          </w:p>
        </w:tc>
        <w:tc>
          <w:tcPr>
            <w:tcW w:type="dxa" w:w="1558"/>
            <w:shd w:val="clear" w:fill="EAF0F8"/>
          </w:tcPr>
          <w:p>
            <w:pPr>
              <w:spacing w:after="0"/>
              <w:jc w:val="center"/>
            </w:pPr>
            <w:r/>
            <w:r>
              <w:rPr>
                <w:rFonts w:ascii="Calibri Light" w:hAnsi="Calibri Light"/>
                <w:b w:val="0"/>
                <w:color w:val="000000"/>
                <w:sz w:val="17"/>
              </w:rPr>
              <w:t>Closest rival</w:t>
            </w:r>
          </w:p>
        </w:tc>
      </w:tr>
      <w:tr>
        <w:trPr>
          <w:cantSplit/>
        </w:trPr>
        <w:tc>
          <w:tcPr>
            <w:tcW w:type="dxa" w:w="2050"/>
          </w:tcPr>
          <w:p>
            <w:pPr>
              <w:spacing w:after="0"/>
              <w:jc w:val="left"/>
            </w:pPr>
            <w:r/>
            <w:r>
              <w:rPr>
                <w:rFonts w:ascii="Calibri Light" w:hAnsi="Calibri Light"/>
                <w:b w:val="0"/>
                <w:color w:val="000000"/>
                <w:sz w:val="17"/>
              </w:rPr>
              <w:t>Meta</w:t>
            </w:r>
          </w:p>
        </w:tc>
        <w:tc>
          <w:tcPr>
            <w:tcW w:type="dxa" w:w="1558"/>
          </w:tcPr>
          <w:p>
            <w:pPr>
              <w:spacing w:after="0"/>
              <w:jc w:val="center"/>
            </w:pPr>
            <w:r/>
            <w:r>
              <w:rPr>
                <w:rFonts w:ascii="Calibri Light" w:hAnsi="Calibri Light"/>
                <w:b w:val="0"/>
                <w:color w:val="000000"/>
                <w:sz w:val="17"/>
              </w:rPr>
              <w:t>Cheapest sticker, dearest per completed task</w:t>
            </w:r>
          </w:p>
        </w:tc>
        <w:tc>
          <w:tcPr>
            <w:tcW w:type="dxa" w:w="1558"/>
          </w:tcPr>
          <w:p>
            <w:pPr>
              <w:spacing w:after="0"/>
              <w:jc w:val="center"/>
            </w:pPr>
            <w:r/>
            <w:r>
              <w:rPr>
                <w:rFonts w:ascii="Calibri Light" w:hAnsi="Calibri Light"/>
                <w:b w:val="0"/>
                <w:color w:val="000000"/>
                <w:sz w:val="17"/>
              </w:rPr>
              <w:t>Reported strong agent</w:t>
            </w:r>
          </w:p>
        </w:tc>
        <w:tc>
          <w:tcPr>
            <w:tcW w:type="dxa" w:w="1558"/>
          </w:tcPr>
          <w:p>
            <w:pPr>
              <w:spacing w:after="0"/>
              <w:jc w:val="center"/>
            </w:pPr>
            <w:r/>
            <w:r>
              <w:rPr>
                <w:rFonts w:ascii="Calibri Light" w:hAnsi="Calibri Light"/>
                <w:b w:val="0"/>
                <w:color w:val="000000"/>
                <w:sz w:val="17"/>
              </w:rPr>
              <w:t>Ad engine and owned surfaces</w:t>
            </w:r>
          </w:p>
        </w:tc>
        <w:tc>
          <w:tcPr>
            <w:tcW w:type="dxa" w:w="1558"/>
          </w:tcPr>
          <w:p>
            <w:pPr>
              <w:spacing w:after="0"/>
              <w:jc w:val="center"/>
            </w:pPr>
            <w:r/>
            <w:r>
              <w:rPr>
                <w:rFonts w:ascii="Calibri Light" w:hAnsi="Calibri Light"/>
                <w:b w:val="0"/>
                <w:color w:val="000000"/>
                <w:sz w:val="17"/>
              </w:rPr>
              <w:t>No model margin needed</w:t>
            </w:r>
          </w:p>
        </w:tc>
        <w:tc>
          <w:tcPr>
            <w:tcW w:type="dxa" w:w="1558"/>
          </w:tcPr>
          <w:p>
            <w:pPr>
              <w:spacing w:after="0"/>
              <w:jc w:val="center"/>
            </w:pPr>
            <w:r/>
            <w:r>
              <w:rPr>
                <w:rFonts w:ascii="Calibri Light" w:hAnsi="Calibri Light"/>
                <w:b w:val="0"/>
                <w:color w:val="000000"/>
                <w:sz w:val="17"/>
              </w:rPr>
              <w:t>Owns the floor</w:t>
            </w:r>
          </w:p>
        </w:tc>
      </w:tr>
      <w:tr>
        <w:trPr>
          <w:cantSplit/>
        </w:trPr>
        <w:tc>
          <w:tcPr>
            <w:tcW w:type="dxa" w:w="2050"/>
            <w:shd w:val="clear" w:fill="EAF0F8"/>
          </w:tcPr>
          <w:p>
            <w:pPr>
              <w:spacing w:after="0"/>
              <w:jc w:val="left"/>
            </w:pPr>
            <w:r/>
            <w:r>
              <w:rPr>
                <w:rFonts w:ascii="Calibri Light" w:hAnsi="Calibri Light"/>
                <w:b w:val="0"/>
                <w:color w:val="000000"/>
                <w:sz w:val="17"/>
              </w:rPr>
              <w:t>xAI</w:t>
            </w:r>
          </w:p>
        </w:tc>
        <w:tc>
          <w:tcPr>
            <w:tcW w:type="dxa" w:w="1558"/>
            <w:shd w:val="clear" w:fill="EAF0F8"/>
          </w:tcPr>
          <w:p>
            <w:pPr>
              <w:spacing w:after="0"/>
              <w:jc w:val="center"/>
            </w:pPr>
            <w:r/>
            <w:r>
              <w:rPr>
                <w:rFonts w:ascii="Calibri Light" w:hAnsi="Calibri Light"/>
                <w:b w:val="0"/>
                <w:color w:val="000000"/>
                <w:sz w:val="17"/>
              </w:rPr>
              <w:t>Value leader on paper only</w:t>
            </w:r>
          </w:p>
        </w:tc>
        <w:tc>
          <w:tcPr>
            <w:tcW w:type="dxa" w:w="1558"/>
            <w:shd w:val="clear" w:fill="EAF0F8"/>
          </w:tcPr>
          <w:p>
            <w:pPr>
              <w:spacing w:after="0"/>
              <w:jc w:val="center"/>
            </w:pPr>
            <w:r/>
            <w:r>
              <w:rPr>
                <w:rFonts w:ascii="Calibri Light" w:hAnsi="Calibri Light"/>
                <w:b w:val="0"/>
                <w:color w:val="000000"/>
                <w:sz w:val="17"/>
              </w:rPr>
              <w:t>Grok 4.5 refresh: agentic, real-time data</w:t>
            </w:r>
          </w:p>
        </w:tc>
        <w:tc>
          <w:tcPr>
            <w:tcW w:type="dxa" w:w="1558"/>
            <w:shd w:val="clear" w:fill="EAF0F8"/>
          </w:tcPr>
          <w:p>
            <w:pPr>
              <w:spacing w:after="0"/>
              <w:jc w:val="center"/>
            </w:pPr>
            <w:r/>
            <w:r>
              <w:rPr>
                <w:rFonts w:ascii="Calibri Light" w:hAnsi="Calibri Light"/>
                <w:b w:val="0"/>
                <w:color w:val="000000"/>
                <w:sz w:val="17"/>
              </w:rPr>
              <w:t>Real-time X and Starlink feed; no seat</w:t>
            </w:r>
          </w:p>
        </w:tc>
        <w:tc>
          <w:tcPr>
            <w:tcW w:type="dxa" w:w="1558"/>
            <w:shd w:val="clear" w:fill="EAF0F8"/>
          </w:tcPr>
          <w:p>
            <w:pPr>
              <w:spacing w:after="0"/>
              <w:jc w:val="center"/>
            </w:pPr>
            <w:r/>
            <w:r>
              <w:rPr>
                <w:rFonts w:ascii="Calibri Light" w:hAnsi="Calibri Light"/>
                <w:b w:val="0"/>
                <w:color w:val="000000"/>
                <w:sz w:val="17"/>
              </w:rPr>
              <w:t>Loss north of six billion a year</w:t>
            </w:r>
          </w:p>
        </w:tc>
        <w:tc>
          <w:tcPr>
            <w:tcW w:type="dxa" w:w="1558"/>
            <w:shd w:val="clear" w:fill="EAF0F8"/>
          </w:tcPr>
          <w:p>
            <w:pPr>
              <w:spacing w:after="0"/>
              <w:jc w:val="center"/>
            </w:pPr>
            <w:r/>
            <w:r>
              <w:rPr>
                <w:rFonts w:ascii="Calibri Light" w:hAnsi="Calibri Light"/>
                <w:b w:val="0"/>
                <w:color w:val="000000"/>
                <w:sz w:val="17"/>
              </w:rPr>
              <w:t>Broken economics</w:t>
            </w:r>
          </w:p>
        </w:tc>
      </w:tr>
    </w:tbl>
    <w:p>
      <w:pPr>
        <w:spacing w:after="40"/>
      </w:pPr>
    </w:p>
    <w:p>
      <w:pPr>
        <w:spacing w:after="140"/>
      </w:pPr>
      <w:r>
        <w:rPr>
          <w:rFonts w:ascii="Calibri Light" w:hAnsi="Calibri Light"/>
          <w:b w:val="0"/>
          <w:i w:val="0"/>
          <w:color w:val="000000"/>
          <w:sz w:val="20"/>
        </w:rPr>
        <w:t>The scorecard is our assessment; the model claims for Meta and xAI are the vendors' own.</w:t>
      </w:r>
    </w:p>
    <w:p>
      <w:pPr>
        <w:spacing w:after="140"/>
      </w:pPr>
      <w:r>
        <w:rPr>
          <w:rFonts w:ascii="Calibri Light" w:hAnsi="Calibri Light"/>
          <w:b w:val="0"/>
          <w:i w:val="0"/>
          <w:color w:val="000000"/>
          <w:sz w:val="20"/>
        </w:rPr>
        <w:t>The best model for the money is Claude Opus 4.8, and it wins by leading three axes and tying the fourth. On value it is the cheapest way to finish real work despite a near-top sticker, the inversion this note is built on. On model quality it fields the strongest franchise, Opus plus the restricted Mythos. On economics it posts the best capital efficiency among the labs and the first operating profit, while OpenAI carries a richer multiple on thinner efficiency and xAI a loss it funds from a rocket company. It does not win distribution, where OpenAI's user base makes it the only credible challenger, but distribution is a consumer advantage and this war is decided on the enterprise seat, where Anthropic converts model quality into switching cost. The controversial part is not the pick but what it says about the market: the companies winning the headlines are selling the worst value in it, and the company the price war was meant to kill is selling the best.</w:t>
      </w:r>
    </w:p>
    <w:p>
      <w:pPr>
        <w:pStyle w:val="Heading2"/>
      </w:pPr>
      <w:r>
        <w:t>What would change the call</w:t>
      </w:r>
    </w:p>
    <w:p>
      <w:pPr>
        <w:spacing w:after="140"/>
      </w:pPr>
      <w:r>
        <w:rPr>
          <w:rFonts w:ascii="Calibri Light" w:hAnsi="Calibri Light"/>
          <w:b w:val="0"/>
          <w:i w:val="0"/>
          <w:color w:val="000000"/>
          <w:sz w:val="20"/>
        </w:rPr>
        <w:t>The verdict breaks if OpenAI turns its distribution lead into the enterprise seat before Anthropic locks it, or if Anthropic is forced to cut flagship pricing and concedes the value argument it must sell. The segmentation read breaks if agents self-correct cheaply, collapsing the cost of failure toward zero and the premium with it, or if Meta or a capability-rich xAI builds a credible enterprise surface. We watch five dated markers: Anthropic's flagship pricing by August 31, the first enterprise-agent seat or attach metric by September 30, the first consumer free-tier or ARPU signal by November 30, the terms on chip-backed private credit through 2027, and above all Anthropic's October S-1, whose gross-margin page converts most of this note from argument into fact.</w:t>
      </w:r>
    </w:p>
    <w:p>
      <w:pPr>
        <w:pStyle w:val="Heading2"/>
      </w:pPr>
      <w:r>
        <w:t>References</w:t>
      </w:r>
    </w:p>
    <w:p>
      <w:pPr>
        <w:pStyle w:val="ListNumber"/>
        <w:spacing w:after="80"/>
      </w:pPr>
      <w:r>
        <w:rPr>
          <w:rFonts w:ascii="Calibri Light" w:hAnsi="Calibri Light"/>
          <w:b w:val="0"/>
          <w:i w:val="0"/>
          <w:color w:val="000000"/>
          <w:sz w:val="20"/>
        </w:rPr>
        <w:t>Published API price lists for Claude Opus 4.8, GPT-5.6 Sol and Luna, Grok 4.5, and Meta Muse Spark 1.1, accessed July 2026. Claude Mythos is a restricted tier with no public price, and its premium is our assumption.</w:t>
      </w:r>
    </w:p>
    <w:p>
      <w:pPr>
        <w:pStyle w:val="ListNumber"/>
        <w:spacing w:after="80"/>
      </w:pPr>
      <w:r>
        <w:rPr>
          <w:rFonts w:ascii="Calibri Light" w:hAnsi="Calibri Light"/>
          <w:b w:val="0"/>
          <w:i w:val="0"/>
          <w:color w:val="000000"/>
          <w:sz w:val="20"/>
        </w:rPr>
        <w:t>Meta's July 2026 announcement of Muse Spark 1.1, including the agent-reasoning and million-token-context claims, which are the vendor's own.</w:t>
      </w:r>
    </w:p>
    <w:p>
      <w:pPr>
        <w:pStyle w:val="ListNumber"/>
        <w:spacing w:after="80"/>
      </w:pPr>
      <w:r>
        <w:rPr>
          <w:rFonts w:ascii="Calibri Light" w:hAnsi="Calibri Light"/>
          <w:b w:val="0"/>
          <w:i w:val="0"/>
          <w:color w:val="000000"/>
          <w:sz w:val="20"/>
        </w:rPr>
        <w:t>xAI's mid-July Grok 4.5 capability refresh, including native computer use, multimodal input, a real-time X and Starlink data path, and a frontier-parity reasoning claim, which are the vendor's own.</w:t>
      </w:r>
    </w:p>
    <w:p>
      <w:pPr>
        <w:pStyle w:val="ListNumber"/>
        <w:spacing w:after="80"/>
      </w:pPr>
      <w:r>
        <w:rPr>
          <w:rFonts w:ascii="Calibri Light" w:hAnsi="Calibri Light"/>
          <w:b w:val="0"/>
          <w:i w:val="0"/>
          <w:color w:val="000000"/>
          <w:sz w:val="20"/>
        </w:rPr>
        <w:t>PitchBook company data: Anthropic at a $965B mark on $47B of gross run-rate revenue with a first quarterly operating profit near $559M; OpenAI at $852B on roughly $25B of net revenue with about 900M weekly users; xAI's AI segment near $3.2B of revenue against a FY25 operating loss above $6.36B inside a combined structure marked near $1.97T.</w:t>
      </w:r>
    </w:p>
    <w:p>
      <w:pPr>
        <w:pStyle w:val="ListNumber"/>
        <w:spacing w:after="80"/>
      </w:pPr>
      <w:r>
        <w:rPr>
          <w:rFonts w:ascii="Calibri Light" w:hAnsi="Calibri Light"/>
          <w:b w:val="0"/>
          <w:i w:val="0"/>
          <w:color w:val="000000"/>
          <w:sz w:val="20"/>
        </w:rPr>
        <w:t>Reporting on Anthropic's roughly $35B chip-bond financing from June 2026 and on the roughly $3.5T market in AI-linked private credit.</w:t>
      </w:r>
    </w:p>
    <w:p>
      <w:pPr>
        <w:pStyle w:val="ListNumber"/>
        <w:spacing w:after="80"/>
      </w:pPr>
      <w:r>
        <w:rPr>
          <w:rFonts w:ascii="Calibri Light" w:hAnsi="Calibri Light"/>
          <w:b w:val="0"/>
          <w:i w:val="0"/>
          <w:color w:val="000000"/>
          <w:sz w:val="20"/>
        </w:rPr>
        <w:t>Background on transformer inference economics: prefill versus decode, memory-bandwidth-bound generation, growing conversation memory, batching, and the pace of token-price deflation. Used as context, and no figure in this note rests on it.</w:t>
      </w:r>
    </w:p>
    <w:p>
      <w:pPr>
        <w:pStyle w:val="ListNumber"/>
        <w:spacing w:after="80"/>
      </w:pPr>
      <w:r>
        <w:rPr>
          <w:rFonts w:ascii="Calibri Light" w:hAnsi="Calibri Light"/>
          <w:b w:val="0"/>
          <w:i w:val="0"/>
          <w:color w:val="000000"/>
          <w:sz w:val="20"/>
        </w:rPr>
        <w:t>Company product disclosures for OpenAI ChatGPT Work and Codex and for Anthropic Claude Cowork. Consumer subscription price points are our reading of the prevailing market.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Light" w:hAnsi="Calibri Light"/>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Light" w:hAnsi="Calibri Light"/>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