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1A2744"/>
          <w:sz w:val="34"/>
          <w:szCs w:val="34"/>
        </w:rPr>
        <w:t xml:space="preserve">Global Unicorn Tracker - Q2 2026</w:t>
      </w:r>
    </w:p>
    <w:p>
      <w:pPr>
        <w:pBdr>
          <w:bottom w:val="single" w:color="1A2744" w:sz="12" w:space="8"/>
        </w:pBdr>
        <w:spacing w:after="200"/>
      </w:pPr>
      <w:r>
        <w:rPr>
          <w:rFonts w:ascii="Arial" w:cs="Arial" w:eastAsia="Arial" w:hAnsi="Arial"/>
          <w:caps w:val="false"/>
          <w:color w:val="55637A"/>
          <w:spacing w:val="6"/>
          <w:sz w:val="20"/>
          <w:szCs w:val="20"/>
        </w:rPr>
        <w:t xml:space="preserve">Late-Stage Company Research | As of June 30, 2026</w:t>
      </w:r>
    </w:p>
    <w:p>
      <w:pPr>
        <w:pBdr>
          <w:top w:val="single" w:color="C9D2E0" w:sz="2" w:space="6"/>
          <w:bottom w:val="single" w:color="C9D2E0" w:sz="2" w:space="6"/>
          <w:left w:val="single" w:color="C9D2E0" w:sz="2" w:space="8"/>
          <w:right w:val="single" w:color="C9D2E0" w:sz="2" w:space="8"/>
        </w:pBdr>
        <w:shd w:fill="F3F6FB" w:color="auto" w:val="clear"/>
        <w:spacing w:after="200" w:before="40" w:line="264"/>
      </w:pPr>
      <w:r>
        <w:rPr>
          <w:rFonts w:ascii="Georgia" w:cs="Georgia" w:eastAsia="Georgia" w:hAnsi="Georgia"/>
          <w:i/>
          <w:iCs/>
          <w:color w:val="55637A"/>
          <w:sz w:val="18"/>
          <w:szCs w:val="18"/>
        </w:rPr>
        <w:t xml:space="preserve">Primary basis: PitchBook deal-level unicorn tracker (1,743 active companies / $8.23 trillion aggregate post-money valuation). The Morningstar PitchBook Unicorn 20 daily valuations and the Unicorn Monitor are drawn on only where flagged, for the three-way valuation comparison of the largest companies and for the vertical index returns, and their figures are not combined with the primary-tracker totals.</w:t>
      </w:r>
    </w:p>
    <w:p>
      <w:pPr>
        <w:pStyle w:val="Heading1"/>
        <w:pBdr>
          <w:bottom w:val="single" w:color="C9D2E0" w:sz="6" w:space="6"/>
        </w:pBdr>
        <w:spacing w:after="140" w:before="320"/>
      </w:pPr>
      <w:r>
        <w:rPr>
          <w:rFonts w:ascii="Arial" w:cs="Arial" w:eastAsia="Arial" w:hAnsi="Arial"/>
          <w:b/>
          <w:bCs/>
          <w:color w:val="1A2744"/>
          <w:sz w:val="26"/>
          <w:szCs w:val="26"/>
        </w:rPr>
        <w:t xml:space="preserve">Summary</w:t>
      </w:r>
    </w:p>
    <w:p>
      <w:pPr>
        <w:spacing w:after="160" w:line="276"/>
        <w:jc w:val="left"/>
      </w:pPr>
      <w:r>
        <w:rPr>
          <w:rFonts w:ascii="Georgia" w:cs="Georgia" w:eastAsia="Georgia" w:hAnsi="Georgia"/>
          <w:color w:val="1F2733"/>
          <w:sz w:val="21"/>
          <w:szCs w:val="21"/>
        </w:rPr>
        <w:t xml:space="preserve">The private unicorn universe ended the second quarter of 2026 at an aggregate post-money valuation of $8.23 trillion across 1,743 companies, a gain of roughly 13% over the prior year. Read as a market barometer, that figure describes a broad and healthy late-stage ecosystem. Decomposed, it says something narrower and more consequential. Artificial-intelligence companies added $1.59 trillion of value in the first half of the year, while the universe as a whole gained $0.93 trillion. The arithmetic leaves no room for interpretation: every part of the market outside artificial intelligence contracted in aggregate, by roughly $0.66 trillion combined. What presents as a rising asset class is a single theme lifting the average while the remainder of the market gives ground. The sections that follow take that observation apart, because nearly every question an institutional allocator should ask about this market, how trustworthy the valuations are, where liquidity actually exists, what the concentration does to portfolio risk, and how today's cohort is likely to age, resolves into some version of it.</w:t>
      </w:r>
    </w:p>
    <w:p>
      <w:pPr>
        <w:pStyle w:val="Heading1"/>
        <w:pBdr>
          <w:bottom w:val="single" w:color="C9D2E0" w:sz="6" w:space="6"/>
        </w:pBdr>
        <w:spacing w:after="140" w:before="320"/>
      </w:pPr>
      <w:r>
        <w:rPr>
          <w:rFonts w:ascii="Arial" w:cs="Arial" w:eastAsia="Arial" w:hAnsi="Arial"/>
          <w:b/>
          <w:bCs/>
          <w:color w:val="1A2744"/>
          <w:sz w:val="26"/>
          <w:szCs w:val="26"/>
        </w:rPr>
        <w:t xml:space="preserve">Market overview</w:t>
      </w:r>
    </w:p>
    <w:p>
      <w:pPr>
        <w:pStyle w:val="Heading2"/>
        <w:spacing w:after="70" w:before="220"/>
      </w:pPr>
      <w:r>
        <w:rPr>
          <w:rFonts w:ascii="Arial" w:cs="Arial" w:eastAsia="Arial" w:hAnsi="Arial"/>
          <w:b/>
          <w:bCs/>
          <w:color w:val="1A2744"/>
          <w:sz w:val="21"/>
          <w:szCs w:val="21"/>
        </w:rPr>
        <w:t xml:space="preserve">Five financings defined the quarter's primary market</w:t>
      </w:r>
    </w:p>
    <w:p>
      <w:pPr>
        <w:spacing w:after="160" w:line="276"/>
        <w:jc w:val="left"/>
      </w:pPr>
      <w:r>
        <w:rPr>
          <w:rFonts w:ascii="Georgia" w:cs="Georgia" w:eastAsia="Georgia" w:hAnsi="Georgia"/>
          <w:color w:val="1F2733"/>
          <w:sz w:val="21"/>
          <w:szCs w:val="21"/>
        </w:rPr>
        <w:t xml:space="preserve">The five largest rounds of the quarter raised $87.1 billion between them, and a single company, Anthropic, accounted for $65 billion of that total, raising into a $965 billion post-money valuation. That one financing was 5.4 times the size of the next-largest round, Prometheus at $12 billion into a $41 billion valuation, and by itself represented 16.4% of all first-half unicorn financing. Anduril ($5 billion into $61 billion), ByteDance ($3 billion into $370 billion), and Isomorphic Labs ($2.1 billion) completed the five, four of them artificial-intelligence businesses.</w:t>
      </w:r>
    </w:p>
    <w:p>
      <w:pPr>
        <w:spacing w:after="160" w:line="276"/>
        <w:jc w:val="left"/>
      </w:pPr>
      <w:r>
        <w:rPr>
          <w:rFonts w:ascii="Georgia" w:cs="Georgia" w:eastAsia="Georgia" w:hAnsi="Georgia"/>
          <w:color w:val="1F2733"/>
          <w:sz w:val="21"/>
          <w:szCs w:val="21"/>
        </w:rPr>
        <w:t xml:space="preserve">The distribution beneath those five is what gives the quarter its character. Financing sizes fall below $2 billion by the sixth company and below $1 billion shortly after, so the ten largest rounds absorbed 68.9% of the quarter's sized financing value and the twenty-five largest absorbed 78.5%. Late-stage capital is not spreading across the ecosystem; it is concentrating into a small number of frontier laboratories that now set the reference valuations every other company raises against. For an institution, the operative consequence is that participating in the quarter's growth required access to five specific capitalization tables. An observer who reads "first-half financing was strong" as a statement about the market has in fact described the fundraising of five companies and generalized it to seventeen hundred.</w:t>
      </w:r>
    </w:p>
    <w:p>
      <w:pPr>
        <w:pStyle w:val="Heading2"/>
        <w:spacing w:after="70" w:before="220"/>
      </w:pPr>
      <w:r>
        <w:rPr>
          <w:rFonts w:ascii="Arial" w:cs="Arial" w:eastAsia="Arial" w:hAnsi="Arial"/>
          <w:b/>
          <w:bCs/>
          <w:color w:val="1A2744"/>
          <w:sz w:val="21"/>
          <w:szCs w:val="21"/>
        </w:rPr>
        <w:t xml:space="preserve">The largest valuations carry the widest gap to where shares actually trade</w:t>
      </w:r>
    </w:p>
    <w:p>
      <w:pPr>
        <w:spacing w:after="160" w:line="276"/>
        <w:jc w:val="left"/>
      </w:pPr>
      <w:r>
        <w:rPr>
          <w:rFonts w:ascii="Georgia" w:cs="Georgia" w:eastAsia="Georgia" w:hAnsi="Georgia"/>
          <w:color w:val="1F2733"/>
          <w:sz w:val="21"/>
          <w:szCs w:val="21"/>
        </w:rPr>
        <w:t xml:space="preserve">Each of the twenty most closely followed private companies can be valued three ways, and the disagreement among those three methods is the finding worth dwelling on. The first is a daily, model-derived valuation, published by Morningstar and updated continuously against public comparables and observed activity. The second is the post-money valuation of the last completed primary financing, a figure fixed on the day the round closes that does not move until the next one. The third is an implied valuation drawn from actual secondary-market transactions, the price at which existing shares genuinely change hands. In aggregate the model-derived valuations sit 15.2% above the last-round valuations for the eighteen companies with a priced round, which is the expected pattern when a continuously updated estimate leads a last financing that has grown several months stale.</w:t>
      </w:r>
    </w:p>
    <w:p>
      <w:pPr>
        <w:spacing w:after="160" w:line="276"/>
        <w:jc w:val="left"/>
      </w:pPr>
      <w:r>
        <w:rPr>
          <w:rFonts w:ascii="Georgia" w:cs="Georgia" w:eastAsia="Georgia" w:hAnsi="Georgia"/>
          <w:color w:val="1F2733"/>
          <w:sz w:val="21"/>
          <w:szCs w:val="21"/>
        </w:rPr>
        <w:t xml:space="preserve">The secondary market complicates that picture exactly where the capital is concentrated. For twelve of the twenty companies, shares trade below the model-derived valuation, and for the two largest the discount is severe. SpaceX changes hands 32% below its $2.03 trillion model valuation, a difference of roughly $650 billion, and Anthropic 22% below its $1.27 trillion valuation, about $282 billion. Both of those model valuations were struck on a recent event, SpaceX's June public listing and an Anthropic financing, and both moved ahead of a secondary market that had not yet repriced. Further down the list the relationship inverts: shares in Applied Intuition, Anysphere, Anduril, and Revolut trade 16% to 36% above their last primary round, meaning those companies carry valuations that understate them rather than flatter them. At the bottom of the group the three measures have reset lower in unison at Ripple, Epic Games, and Kraken, where model, last round, and secondary market all agree the valuation has fallen.</w:t>
      </w:r>
    </w:p>
    <w:p>
      <w:pPr>
        <w:spacing w:after="160" w:line="276"/>
        <w:jc w:val="left"/>
      </w:pPr>
      <w:r>
        <w:rPr>
          <w:rFonts w:ascii="Georgia" w:cs="Georgia" w:eastAsia="Georgia" w:hAnsi="Georgia"/>
          <w:color w:val="1F2733"/>
          <w:sz w:val="21"/>
          <w:szCs w:val="21"/>
        </w:rPr>
        <w:t xml:space="preserve">The conclusion an institutional holder should draw is an uncomfortable one. Valuation reliability, defined as the agreement among independent estimates, runs inversely to position size in this market. The companies most likely to dominate a late-stage portfolio are the ones whose valuations are least corroborated by trading, so a portfolio carried at model-derived values holds its largest positions 20% to 30% above the price a willing buyer is currently paying, and the overstatement widens as the position grows. This is not a claim that the largest companies are mispriced. It is a claim that the uncertainty around their valuations is greatest precisely where an allocator has the most money at stake, and that uncertainty, not the point estimate, is what should govern how those positions are sized and reported.</w:t>
      </w:r>
    </w:p>
    <w:p>
      <w:pPr>
        <w:pStyle w:val="Heading2"/>
        <w:spacing w:after="70" w:before="220"/>
      </w:pPr>
      <w:r>
        <w:rPr>
          <w:rFonts w:ascii="Arial" w:cs="Arial" w:eastAsia="Arial" w:hAnsi="Arial"/>
          <w:b/>
          <w:bCs/>
          <w:color w:val="1A2744"/>
          <w:sz w:val="21"/>
          <w:szCs w:val="21"/>
        </w:rPr>
        <w:t xml:space="preserve">The median and the average now describe two different markets</w:t>
      </w:r>
    </w:p>
    <w:p>
      <w:pPr>
        <w:spacing w:after="160" w:line="276"/>
        <w:jc w:val="left"/>
      </w:pPr>
      <w:r>
        <w:rPr>
          <w:rFonts w:ascii="Georgia" w:cs="Georgia" w:eastAsia="Georgia" w:hAnsi="Georgia"/>
          <w:color w:val="1F2733"/>
          <w:sz w:val="21"/>
          <w:szCs w:val="21"/>
        </w:rPr>
        <w:t xml:space="preserve">The distance between the typical unicorn and the average unicorn has become the clearest single measure of how concentrated this market is. The median company carries a post-money valuation of $2.0 billion; the average is $18.19 billion. That ratio of 9.1 to 1 stood at 3.1 to 1 in 2025 and 2.8 to 1 in 2024, so the distribution did not drift wider over the year, it split open. Financing sizes show the same signature, a $200 million median against a $1,143 million average, the widest separation in the eleven years of data. The interpretation is direct: the $8.23 trillion aggregate grew because roughly a dozen valuations were rewritten upward, while the company at the middle of the distribution did not move. An institution benchmarking a late-stage program to the aggregate is therefore tracking the twelve largest companies and crediting their revaluation to the asset class as a whole. Stripped of those twelve names, the median portfolio bears little resemblance to the index it is measured against, which has direct consequences for how manager performance in this asset class should be attributed and judged.</w:t>
      </w:r>
    </w:p>
    <w:p>
      <w:pPr>
        <w:pStyle w:val="Heading2"/>
        <w:spacing w:after="70" w:before="220"/>
      </w:pPr>
      <w:r>
        <w:rPr>
          <w:rFonts w:ascii="Arial" w:cs="Arial" w:eastAsia="Arial" w:hAnsi="Arial"/>
          <w:b/>
          <w:bCs/>
          <w:color w:val="1A2744"/>
          <w:sz w:val="21"/>
          <w:szCs w:val="21"/>
        </w:rPr>
        <w:t xml:space="preserve">Companies that raised were repriced upward, and repriced quickly</w:t>
      </w:r>
    </w:p>
    <w:p>
      <w:pPr>
        <w:spacing w:after="160" w:line="276"/>
        <w:jc w:val="left"/>
      </w:pPr>
      <w:r>
        <w:rPr>
          <w:rFonts w:ascii="Georgia" w:cs="Georgia" w:eastAsia="Georgia" w:hAnsi="Georgia"/>
          <w:color w:val="1F2733"/>
          <w:sz w:val="21"/>
          <w:szCs w:val="21"/>
        </w:rPr>
        <w:t xml:space="preserve">The behavior of the active financing market, meaning the subset of companies that actually raised during the period, was unambiguously strong, and it is worth isolating from the dormant majority before drawing conclusions. The median valuation step-up, the ratio of a new round's post-money valuation to the prior round's, reached 2.20 times in 2026, up from 2.05 times in 2025 and the highest reading since the 2.64 times of the 2021 peak. The median interval between financings compressed to 0.98 years from 1.21 in 2025 and 1.45 in 2024, so companies that raise are returning to market faster. Down rounds, financings priced below the prior round, have nearly vanished: six in the first half of 2026 worth $3.85 billion, against thirty-one in all of 2025 and thirty-four in 2024.</w:t>
      </w:r>
    </w:p>
    <w:p>
      <w:pPr>
        <w:spacing w:after="160" w:line="276"/>
        <w:jc w:val="left"/>
      </w:pPr>
      <w:r>
        <w:rPr>
          <w:rFonts w:ascii="Georgia" w:cs="Georgia" w:eastAsia="Georgia" w:hAnsi="Georgia"/>
          <w:color w:val="1F2733"/>
          <w:sz w:val="21"/>
          <w:szCs w:val="21"/>
        </w:rPr>
        <w:t xml:space="preserve">Two qualifications convert this from an encouraging headline into a useful one. The steepest revaluations came not from the leaders but from small companies, Hark at 151 times its prior round, Blitzy and SendCutSend at 30 times, each valued below $7 billion, while the giants rose in absolute dollars at modest multiples. The velocity of value creation lives at the small end of the market, where a single financing can revalue a company several times over, and the stock of value lives at the large end, where valuations are enormous but move slowly. The more important qualification is that every figure in this section describes only companies that raised, a group that is well under half the universe. A strong active market confirms that the businesses able to command a financing are being rewarded; it is silent on the larger population that has not tested its valuation at all, and it is that silence, examined later, that carries the market's real risk.</w:t>
      </w:r>
    </w:p>
    <w:p>
      <w:pPr>
        <w:pStyle w:val="Heading2"/>
        <w:spacing w:after="70" w:before="220"/>
      </w:pPr>
      <w:r>
        <w:rPr>
          <w:rFonts w:ascii="Arial" w:cs="Arial" w:eastAsia="Arial" w:hAnsi="Arial"/>
          <w:b/>
          <w:bCs/>
          <w:color w:val="1A2744"/>
          <w:sz w:val="21"/>
          <w:szCs w:val="21"/>
        </w:rPr>
        <w:t xml:space="preserve">AI now holds three-fifths of the universe's value on two-fifths of its companies</w:t>
      </w:r>
    </w:p>
    <w:p>
      <w:pPr>
        <w:spacing w:after="160" w:line="276"/>
        <w:jc w:val="left"/>
      </w:pPr>
      <w:r>
        <w:rPr>
          <w:rFonts w:ascii="Georgia" w:cs="Georgia" w:eastAsia="Georgia" w:hAnsi="Georgia"/>
          <w:color w:val="1F2733"/>
          <w:sz w:val="21"/>
          <w:szCs w:val="21"/>
        </w:rPr>
        <w:t xml:space="preserve">Artificial intelligence has passed a threshold that reframes the asset class. AI companies number 702 of the 1,743 unicorns, 40.3% by count, yet account for $5.08 trillion of the $8.23 trillion in value, 61.7% of the total. The twenty-one-point gap between those two shares measures how much larger the average AI company is than the average unicorn, and it is widening quickly: AI value rose from $3.49 trillion at the end of 2025 to $5.08 trillion by mid-2026, a 45.6% increase in six months, and AI accounted for 109 of the 178 companies that newly crossed the billion-dollar threshold in the first half. Because AI's weight in new capital and new company formation runs ahead of its weight in the standing universe, its share is still rising.</w:t>
      </w:r>
    </w:p>
    <w:p>
      <w:pPr>
        <w:spacing w:after="160" w:line="276"/>
        <w:jc w:val="left"/>
      </w:pPr>
      <w:r>
        <w:rPr>
          <w:rFonts w:ascii="Georgia" w:cs="Georgia" w:eastAsia="Georgia" w:hAnsi="Georgia"/>
          <w:color w:val="1F2733"/>
          <w:sz w:val="21"/>
          <w:szCs w:val="21"/>
        </w:rPr>
        <w:t xml:space="preserve">The implication for portfolio construction is the one many allocators have not fully internalized. With artificial intelligence at three-fifths of the asset class's value and two-thirds of its growth, an allocation to late-stage venture is a concentrated bet on one theme rather than a diversified position. A program built without an explicit view on AI is still long AI, at whatever weight the market's concentration sets, and that weight now exceeds what most diversified mandates would knowingly hold. (The data holds two narrower definitions of AI that should not be substituted here: a vertical tag of 865 companies, which counts one business under several categories at once, and the curated Monitor index of 430 companies at $4.14 trillion. The figures above use the deduplicated 702-company aggregate.)</w:t>
      </w:r>
    </w:p>
    <w:p>
      <w:pPr>
        <w:pStyle w:val="Heading1"/>
        <w:pBdr>
          <w:bottom w:val="single" w:color="C9D2E0" w:sz="6" w:space="6"/>
        </w:pBdr>
        <w:spacing w:after="140" w:before="320"/>
      </w:pPr>
      <w:r>
        <w:rPr>
          <w:rFonts w:ascii="Arial" w:cs="Arial" w:eastAsia="Arial" w:hAnsi="Arial"/>
          <w:b/>
          <w:bCs/>
          <w:color w:val="1A2744"/>
          <w:sz w:val="26"/>
          <w:szCs w:val="26"/>
        </w:rPr>
        <w:t xml:space="preserve">Verticals</w:t>
      </w:r>
    </w:p>
    <w:p>
      <w:pPr>
        <w:pStyle w:val="Heading2"/>
        <w:spacing w:after="70" w:before="220"/>
      </w:pPr>
      <w:r>
        <w:rPr>
          <w:rFonts w:ascii="Arial" w:cs="Arial" w:eastAsia="Arial" w:hAnsi="Arial"/>
          <w:b/>
          <w:bCs/>
          <w:color w:val="1A2744"/>
          <w:sz w:val="21"/>
          <w:szCs w:val="21"/>
        </w:rPr>
        <w:t xml:space="preserve">SaaS and AI tower over every other category</w:t>
      </w:r>
    </w:p>
    <w:p>
      <w:pPr>
        <w:spacing w:after="160" w:line="276"/>
        <w:jc w:val="left"/>
      </w:pPr>
      <w:r>
        <w:rPr>
          <w:rFonts w:ascii="Georgia" w:cs="Georgia" w:eastAsia="Georgia" w:hAnsi="Georgia"/>
          <w:color w:val="1F2733"/>
          <w:sz w:val="21"/>
          <w:szCs w:val="21"/>
        </w:rPr>
        <w:t xml:space="preserve">Ranked by tagged value, software-as-a-service leads at $6.44 trillion across 968 companies and artificial intelligence follows at $6.02 trillion across 865, with financial technology a distant third at $2.02 trillion across 436. The next tier is far smaller: space technology at $1.87 trillion, mobility at $0.83 trillion, cloud infrastructure at $0.74 trillion, health technology at $0.45 trillion. The two leading categories hold roughly $12.5 trillion of tagged value between them, and every category from the fourth down is minor by comparison. Because a company can carry several vertical tags at once, these category totals sum past the 1,743 companies and their values sum to about 1.5 times the universe, so they cannot be added into a total. Much of the apparent breadth on a vertical map is the same companies counted twice under software and artificial intelligence, which means the diversity implied by an eleven-category chart is largely an artifact of the classification rather than a property of the opportunity set.</w:t>
      </w:r>
    </w:p>
    <w:p>
      <w:pPr>
        <w:spacing w:after="160" w:line="276"/>
        <w:jc w:val="left"/>
      </w:pPr>
      <w:r>
        <w:rPr>
          <w:rFonts w:ascii="Georgia" w:cs="Georgia" w:eastAsia="Georgia" w:hAnsi="Georgia"/>
          <w:color w:val="1F2733"/>
          <w:sz w:val="21"/>
          <w:szCs w:val="21"/>
        </w:rPr>
        <w:t xml:space="preserve">Space technology illustrates how a category total can be a single company in disguise. Its $1.87 trillion across 34 companies averages roughly $55 billion each, but SpaceX is very nearly all of it; without SpaceX the category is unremarkable. The lesson generalizes: any vertical aggregate in this market should be checked for capture by one or two names before it is presented as evidence of a theme, because the concentration that defines the universe as a whole repeats inside its categories.</w:t>
      </w:r>
    </w:p>
    <w:p>
      <w:pPr>
        <w:pStyle w:val="Heading2"/>
        <w:spacing w:after="70" w:before="220"/>
      </w:pPr>
      <w:r>
        <w:rPr>
          <w:rFonts w:ascii="Arial" w:cs="Arial" w:eastAsia="Arial" w:hAnsi="Arial"/>
          <w:b/>
          <w:bCs/>
          <w:color w:val="1A2744"/>
          <w:sz w:val="21"/>
          <w:szCs w:val="21"/>
        </w:rPr>
        <w:t xml:space="preserve">The investable universe is far narrower than the company count implies</w:t>
      </w:r>
    </w:p>
    <w:p>
      <w:pPr>
        <w:spacing w:after="160" w:line="276"/>
        <w:jc w:val="left"/>
      </w:pPr>
      <w:r>
        <w:rPr>
          <w:rFonts w:ascii="Georgia" w:cs="Georgia" w:eastAsia="Georgia" w:hAnsi="Georgia"/>
          <w:color w:val="1F2733"/>
          <w:sz w:val="21"/>
          <w:szCs w:val="21"/>
        </w:rPr>
        <w:t xml:space="preserve">The count of 1,743 unicorns overstates the number of businesses an institution can actually own at scale. The filters that matter to an allocator, a recently tested valuation, meaningful size, and some secondary-market liquidity, reduce the list sharply. Value is concentrated at the top, where the ten largest companies carry a large share of the $8.23 trillion while the median company sits at $2.0 billion. Require a valuation set within the last twelve months, size above $5 billion, and a functioning secondary market in the shares, and the list contracts to a few dozen names. Diversifying across the unicorn universe is therefore closer to a slogan than a strategy: what remains after the filters is a concentrated, artificial-intelligence- heavy, United States-domiciled set, and any portfolio built from it without deliberate category limits becomes a software-and-AI portfolio whether or not that was the intent. The breadth exists on paper; the investable reality is a short list.</w:t>
      </w:r>
    </w:p>
    <w:p>
      <w:pPr>
        <w:pStyle w:val="Heading2"/>
        <w:spacing w:after="70" w:before="220"/>
      </w:pPr>
      <w:r>
        <w:rPr>
          <w:rFonts w:ascii="Arial" w:cs="Arial" w:eastAsia="Arial" w:hAnsi="Arial"/>
          <w:b/>
          <w:bCs/>
          <w:color w:val="1A2744"/>
          <w:sz w:val="21"/>
          <w:szCs w:val="21"/>
        </w:rPr>
        <w:t xml:space="preserve">The largest verticals are not where value is created fastest</w:t>
      </w:r>
    </w:p>
    <w:p>
      <w:pPr>
        <w:spacing w:after="160" w:line="276"/>
        <w:jc w:val="left"/>
      </w:pPr>
      <w:r>
        <w:rPr>
          <w:rFonts w:ascii="Georgia" w:cs="Georgia" w:eastAsia="Georgia" w:hAnsi="Georgia"/>
          <w:color w:val="1F2733"/>
          <w:sz w:val="21"/>
          <w:szCs w:val="21"/>
        </w:rPr>
        <w:t xml:space="preserve">Size and the rate of value creation point in different directions, which is one of the more useful findings for a manager deciding where new capital earns the most. On 2026 medians, artificial intelligence produced a relative velocity of value creation, the ratio of new valuation created to capital invested, of 1.84 times alongside a 2.35 times step-up across 249 financings, and software 1.42 times and 2.18 times across 176. Both are healthy, and both sit in the middle of the pack on velocity. The highest velocity belongs to smaller categories, robotics and drones at 2.03 times, clean technology at 3.30 times with a 2.77 times step-up. Crypto cooled sharply, its median velocity falling from 2.62 times to 1.11 times. Cybersecurity at 0.66 times and e-commerce at 0.38 times sit at the bottom, raising capital at higher valuations while generating less than a dollar of new value for each dollar invested, a combination that flatters headline valuations without building value beneath them.</w:t>
      </w:r>
    </w:p>
    <w:p>
      <w:pPr>
        <w:spacing w:after="160" w:line="276"/>
        <w:jc w:val="left"/>
      </w:pPr>
      <w:r>
        <w:rPr>
          <w:rFonts w:ascii="Georgia" w:cs="Georgia" w:eastAsia="Georgia" w:hAnsi="Georgia"/>
          <w:color w:val="1F2733"/>
          <w:sz w:val="21"/>
          <w:szCs w:val="21"/>
        </w:rPr>
        <w:t xml:space="preserve">The three-year record of realized index performance confirms the same order and adds the dimension that size alone conceals. On the Monitor vertical indexes, stated as annualized returns, artificial intelligence returned 58.1% a year, a cumulative 302.6%, and enterprise software 34.2% and cybersecurity 22.2% were the only other categories to beat the public benchmark, the Global TME index, at 19.6% a year, or 72.4% cumulative. Artificial intelligence compounded at roughly three times the public rate. Financial technology, third by value, returned 12.9% and trailed the benchmark, which places it in the least attractive quadrant a manager can occupy: large enough to matter, slow enough to drag. One caution governs any risk-adjusted use of these figures. They are built on valuations that update infrequently, which mechanically suppresses measured volatility and inflates any Sharpe ratio derived from them, so the smoothness of the private return series is a feature of the data, not of the asset.</w:t>
      </w:r>
    </w:p>
    <w:p>
      <w:pPr>
        <w:pStyle w:val="Heading2"/>
        <w:spacing w:after="70" w:before="220"/>
      </w:pPr>
      <w:r>
        <w:rPr>
          <w:rFonts w:ascii="Arial" w:cs="Arial" w:eastAsia="Arial" w:hAnsi="Arial"/>
          <w:b/>
          <w:bCs/>
          <w:color w:val="1A2744"/>
          <w:sz w:val="21"/>
          <w:szCs w:val="21"/>
        </w:rPr>
        <w:t xml:space="preserve">AI is the source of both the return and the concentration of the risk</w:t>
      </w:r>
    </w:p>
    <w:p>
      <w:pPr>
        <w:spacing w:after="160" w:line="276"/>
        <w:jc w:val="left"/>
      </w:pPr>
      <w:r>
        <w:rPr>
          <w:rFonts w:ascii="Georgia" w:cs="Georgia" w:eastAsia="Georgia" w:hAnsi="Georgia"/>
          <w:color w:val="1F2733"/>
          <w:sz w:val="21"/>
          <w:szCs w:val="21"/>
        </w:rPr>
        <w:t xml:space="preserve">Artificial intelligence is the market's growth engine and its largest single exposure at the same time, and critically, in the same companies. It produced $1.59 trillion of a $0.93 trillion universe gain, so the rest of the market contracted around it, and it now represents 62% of value, four of the five largest rounds, and 61% of new company formation. Because AI valuations move together and dominate the index, a repricing in a handful of frontier names moves the entire aggregate. The sensitivity can be sized: a 25% reduction in AI valuations would remove roughly $1.27 trillion from the universe, 15.4% of all private-technology value, from one theme repricing. This produces a genuine dilemma rather than a preference. Underweighting artificial intelligence means betting against nearly two-thirds of the market; overweighting it concentrates a portfolio in companies the secondary market already values well below their model valuations. The exposure cannot be hedged inside the asset class, because the return and the risk are the same holdings, and that inseparability is the central problem an allocator to late-stage venture now has to solve.</w:t>
      </w:r>
    </w:p>
    <w:p>
      <w:pPr>
        <w:pStyle w:val="Heading2"/>
        <w:spacing w:after="70" w:before="220"/>
      </w:pPr>
      <w:r>
        <w:rPr>
          <w:rFonts w:ascii="Arial" w:cs="Arial" w:eastAsia="Arial" w:hAnsi="Arial"/>
          <w:b/>
          <w:bCs/>
          <w:color w:val="1A2744"/>
          <w:sz w:val="21"/>
          <w:szCs w:val="21"/>
        </w:rPr>
        <w:t xml:space="preserve">The 2021 cohort is the base rate for today's AI class</w:t>
      </w:r>
    </w:p>
    <w:p>
      <w:pPr>
        <w:spacing w:after="160" w:line="276"/>
        <w:jc w:val="left"/>
      </w:pPr>
      <w:r>
        <w:rPr>
          <w:rFonts w:ascii="Georgia" w:cs="Georgia" w:eastAsia="Georgia" w:hAnsi="Georgia"/>
          <w:color w:val="1F2733"/>
          <w:sz w:val="21"/>
          <w:szCs w:val="21"/>
        </w:rPr>
        <w:t xml:space="preserve">The most disciplined way to forecast how today's cohort will age is to study the last one that formed under similar conditions, and the 2021 vintage supplies it. Of 635 unicorns minted in 2021, five years on, 470 remain active, or 74%; 102 have exited, 16%; and 62 have failed, comprising 34 that fell below the billion-dollar threshold while still private, 15 that fell at exit through a public listing or sale below unicorn status, and 13 that went bankrupt. Two features of this record matter for the present. Three-quarters of the cohort remain illiquid four and a half years after formation, which follows directly from a median time to exit of 8.47 years. And the 15 companies that fell at exit are the least visible failures in the data, recorded as exits in the headline figures while their investors absorbed losses.</w:t>
      </w:r>
    </w:p>
    <w:p>
      <w:pPr>
        <w:spacing w:after="160" w:line="276"/>
        <w:jc w:val="left"/>
      </w:pPr>
      <w:r>
        <w:rPr>
          <w:rFonts w:ascii="Georgia" w:cs="Georgia" w:eastAsia="Georgia" w:hAnsi="Georgia"/>
          <w:color w:val="1F2733"/>
          <w:sz w:val="21"/>
          <w:szCs w:val="21"/>
        </w:rPr>
        <w:t xml:space="preserve">Applied to today's 702 artificial-intelligence unicorns, the 2021 experience implies a base case of roughly a quarter impairing and three-quarters remaining illiquid into the next decade, with an important adjustment: AI valuations are more correlated and more concentrated than the 2021 cohort's were, which fattens the tail on both sides. The ten-year funds that financed the 2021 vintage mature between 2028 and 2031, which sets a fixed timetable on which those untested valuations must resolve, through markdown, sale, or wind-down. The cohort's 74% survival rate reads as reassuring, but survival is not the same as validation, and the validation is now scheduled.</w:t>
      </w:r>
    </w:p>
    <w:p>
      <w:pPr>
        <w:pStyle w:val="Heading1"/>
        <w:pBdr>
          <w:bottom w:val="single" w:color="C9D2E0" w:sz="6" w:space="6"/>
        </w:pBdr>
        <w:spacing w:after="140" w:before="320"/>
      </w:pPr>
      <w:r>
        <w:rPr>
          <w:rFonts w:ascii="Arial" w:cs="Arial" w:eastAsia="Arial" w:hAnsi="Arial"/>
          <w:b/>
          <w:bCs/>
          <w:color w:val="1A2744"/>
          <w:sz w:val="26"/>
          <w:szCs w:val="26"/>
        </w:rPr>
        <w:t xml:space="preserve">Deal dynamics, capital, and exits</w:t>
      </w:r>
    </w:p>
    <w:p>
      <w:pPr>
        <w:pStyle w:val="Heading2"/>
        <w:spacing w:after="70" w:before="220"/>
      </w:pPr>
      <w:r>
        <w:rPr>
          <w:rFonts w:ascii="Arial" w:cs="Arial" w:eastAsia="Arial" w:hAnsi="Arial"/>
          <w:b/>
          <w:bCs/>
          <w:color w:val="1A2744"/>
          <w:sz w:val="21"/>
          <w:szCs w:val="21"/>
        </w:rPr>
        <w:t xml:space="preserve">Financing has grown less frequent, larger, and more crowded</w:t>
      </w:r>
    </w:p>
    <w:p>
      <w:pPr>
        <w:spacing w:after="160" w:line="276"/>
        <w:jc w:val="left"/>
      </w:pPr>
      <w:r>
        <w:rPr>
          <w:rFonts w:ascii="Georgia" w:cs="Georgia" w:eastAsia="Georgia" w:hAnsi="Georgia"/>
          <w:color w:val="1F2733"/>
          <w:sz w:val="21"/>
          <w:szCs w:val="21"/>
        </w:rPr>
        <w:t xml:space="preserve">The structure of financing tightened even as the number of rounds fell. Syndicates of six or more investors made up 60.9% of 2026 rounds with disclosed participation, close to the 2021 peak of 64%, so the rounds that do occur are more crowded than before. Investor participation by count, however, has not recovered alongside the dollars: it peaked at 2,892 in the third quarter of 2021, bottomed at 895 in the fourth quarter of 2023, recovered to 1,415 in the first quarter of 2026, then fell back to 995 in the second quarter even as financing value stayed high. A short list of firms writes most of the capital, led by Sequoia Capital at 491 unicorn financings since 2016, Tiger Global at 472, Andreessen Horowitz at 454, Accel at 382, and Coatue at 344. Investor concentration mirrors company concentration: a narrow set of funds backs a narrow set of companies, which means the same handful of decision-makers now sets the valuations that anchor the entire late-stage market.</w:t>
      </w:r>
    </w:p>
    <w:p>
      <w:pPr>
        <w:pStyle w:val="Heading2"/>
        <w:spacing w:after="70" w:before="220"/>
      </w:pPr>
      <w:r>
        <w:rPr>
          <w:rFonts w:ascii="Arial" w:cs="Arial" w:eastAsia="Arial" w:hAnsi="Arial"/>
          <w:b/>
          <w:bCs/>
          <w:color w:val="1A2744"/>
          <w:sz w:val="21"/>
          <w:szCs w:val="21"/>
        </w:rPr>
        <w:t xml:space="preserve">The public-listing window reopened, but one company is most of it</w:t>
      </w:r>
    </w:p>
    <w:p>
      <w:pPr>
        <w:spacing w:after="160" w:line="276"/>
        <w:jc w:val="left"/>
      </w:pPr>
      <w:r>
        <w:rPr>
          <w:rFonts w:ascii="Georgia" w:cs="Georgia" w:eastAsia="Georgia" w:hAnsi="Georgia"/>
          <w:color w:val="1F2733"/>
          <w:sz w:val="21"/>
          <w:szCs w:val="21"/>
        </w:rPr>
        <w:t xml:space="preserve">Exit value in 2026 reached $2,110.9 billion across 50 exits, the highest in the data, and a single event accounts for four-fifths of it. SpaceX's public listing was $1,690 billion on its own; excluding it, exit value was $420.7 billion, still the strongest year since 2021 but a fraction of the headline, and both figures belong in any honest account of the year. Public listings drove 85% of exit value, and the market that was effectively closed for three years is open again, with SpaceX, Cerebras at $34 billion, and Quantinuum at $14 billion all listing in the quarter. Duration works against a simple reading of the recovery: the median time to exit rose to 8.47 years, near the 9.17-year peak of 2025, so the companies reaching liquidity now are older vintages clearing a backlog rather than recent 2023 and 2024 formations. The distinction matters because the constraint that will define the next two years is liquidity for the 2021-vintage funds now approaching maturity. Those funds must return capital into a market that can currently provide it only through a slow-draining backlog, and once that backlog empties, exit value settles well below the 2026 figure.</w:t>
      </w:r>
    </w:p>
    <w:p>
      <w:pPr>
        <w:pStyle w:val="Heading1"/>
        <w:pBdr>
          <w:bottom w:val="single" w:color="C9D2E0" w:sz="6" w:space="6"/>
        </w:pBdr>
        <w:spacing w:after="140" w:before="320"/>
      </w:pPr>
      <w:r>
        <w:rPr>
          <w:rFonts w:ascii="Arial" w:cs="Arial" w:eastAsia="Arial" w:hAnsi="Arial"/>
          <w:b/>
          <w:bCs/>
          <w:color w:val="1A2744"/>
          <w:sz w:val="26"/>
          <w:szCs w:val="26"/>
        </w:rPr>
        <w:t xml:space="preserve">Business quality and valuations</w:t>
      </w:r>
    </w:p>
    <w:p>
      <w:pPr>
        <w:pStyle w:val="Heading2"/>
        <w:spacing w:after="70" w:before="220"/>
      </w:pPr>
      <w:r>
        <w:rPr>
          <w:rFonts w:ascii="Arial" w:cs="Arial" w:eastAsia="Arial" w:hAnsi="Arial"/>
          <w:b/>
          <w:bCs/>
          <w:color w:val="1A2744"/>
          <w:sz w:val="21"/>
          <w:szCs w:val="21"/>
        </w:rPr>
        <w:t xml:space="preserve">The valuation ranking measures price, not quality</w:t>
      </w:r>
    </w:p>
    <w:p>
      <w:pPr>
        <w:spacing w:after="160" w:line="276"/>
        <w:jc w:val="left"/>
      </w:pPr>
      <w:r>
        <w:rPr>
          <w:rFonts w:ascii="Georgia" w:cs="Georgia" w:eastAsia="Georgia" w:hAnsi="Georgia"/>
          <w:color w:val="1F2733"/>
          <w:sz w:val="21"/>
          <w:szCs w:val="21"/>
        </w:rPr>
        <w:t xml:space="preserve">Sorted by post-money valuation, the largest companies read Anthropic, OpenAI, ByteDance, Stripe, Databricks, Waymo. That order reflects expense, and expense depends on capital raised as much as on value created, so two companies at the same valuation can differ by an order of magnitude in capital efficiency. Part of the ranking is stale as well, with two of the ten largest companies still carrying valuations more than a year old that a fresh financing could move in either direction. A quality-adjusted ranking would reorder the list substantially, which is the reason a business-quality score has to sit beside the valuation rather than beneath it: the two answer different questions, and conflating them is how expensive companies come to be mistaken for good ones.</w:t>
      </w:r>
    </w:p>
    <w:p>
      <w:pPr>
        <w:pStyle w:val="Heading2"/>
        <w:spacing w:after="70" w:before="220"/>
      </w:pPr>
      <w:r>
        <w:rPr>
          <w:rFonts w:ascii="Arial" w:cs="Arial" w:eastAsia="Arial" w:hAnsi="Arial"/>
          <w:b/>
          <w:bCs/>
          <w:color w:val="1A2744"/>
          <w:sz w:val="21"/>
          <w:szCs w:val="21"/>
        </w:rPr>
        <w:t xml:space="preserve">The data scores one dimension of quality; the rest requires disclosure</w:t>
      </w:r>
    </w:p>
    <w:p>
      <w:pPr>
        <w:spacing w:after="160" w:line="276"/>
        <w:jc w:val="left"/>
      </w:pPr>
      <w:r>
        <w:rPr>
          <w:rFonts w:ascii="Georgia" w:cs="Georgia" w:eastAsia="Georgia" w:hAnsi="Georgia"/>
          <w:color w:val="1F2733"/>
          <w:sz w:val="21"/>
          <w:szCs w:val="21"/>
        </w:rPr>
        <w:t xml:space="preserve">A complete PitchBook or AI business-quality composite requires operating inputs, revenue quality, margins, customer concentration, compute independence, governance, and competitive moat, that none of the three source files contain. Composites exist for only six frontier companies, carried from the prior edition rather than derived from these files: Databricks at 8.7, Anthropic at 7.7, SpaceX at 7.5, OpenAI at 4.2, xAI at 3.8, and SSI at 2.3. The range among them makes the case for the framework on its own, since OpenAI, the second most valuable company in this universe, scores below the midpoint, a divergence between price and quality that a valuation ranking cannot express. The one quality dimension the current data does measure is estimate integrity, the agreement among a company's three valuations. Canva, Stripe, and Rippling cluster tightly and therefore carry corroborated valuations; Neuralink, whose model valuation sits 441% above its last round, along with Ripple and Kraken, diverge widely and carry low valuation reliability, which is itself a governance signal worth scoring. Extending the composite to all twenty companies, and building the quality-per-dollar ranking that would invert the price order, depends on analyst inputs this data does not supply, and should be scoped as pending rather than estimated.</w:t>
      </w:r>
    </w:p>
    <w:p>
      <w:pPr>
        <w:pStyle w:val="Heading1"/>
        <w:pBdr>
          <w:bottom w:val="single" w:color="C9D2E0" w:sz="6" w:space="6"/>
        </w:pBdr>
        <w:spacing w:after="140" w:before="320"/>
      </w:pPr>
      <w:r>
        <w:rPr>
          <w:rFonts w:ascii="Arial" w:cs="Arial" w:eastAsia="Arial" w:hAnsi="Arial"/>
          <w:b/>
          <w:bCs/>
          <w:color w:val="1A2744"/>
          <w:sz w:val="26"/>
          <w:szCs w:val="26"/>
        </w:rPr>
        <w:t xml:space="preserve">Valuations and dormant companies</w:t>
      </w:r>
    </w:p>
    <w:p>
      <w:pPr>
        <w:pStyle w:val="Heading2"/>
        <w:spacing w:after="70" w:before="220"/>
      </w:pPr>
      <w:r>
        <w:rPr>
          <w:rFonts w:ascii="Arial" w:cs="Arial" w:eastAsia="Arial" w:hAnsi="Arial"/>
          <w:b/>
          <w:bCs/>
          <w:color w:val="1A2744"/>
          <w:sz w:val="21"/>
          <w:szCs w:val="21"/>
        </w:rPr>
        <w:t xml:space="preserve">Two companies account for a fifth of the market's value</w:t>
      </w:r>
    </w:p>
    <w:p>
      <w:pPr>
        <w:spacing w:after="160" w:line="276"/>
        <w:jc w:val="left"/>
      </w:pPr>
      <w:r>
        <w:rPr>
          <w:rFonts w:ascii="Georgia" w:cs="Georgia" w:eastAsia="Georgia" w:hAnsi="Georgia"/>
          <w:color w:val="1F2733"/>
          <w:sz w:val="21"/>
          <w:szCs w:val="21"/>
        </w:rPr>
        <w:t xml:space="preserve">Anthropic at $965 billion and OpenAI at $852 billion together hold $1.82 trillion, 22% of the $8.23 trillion universe, and the ten largest companies hold about $2.9 trillion, 35% of it, against a median company of $2.0 billion. At this degree of concentration the index and the median move independently: the aggregate can rise on a dozen revaluations while the typical unicorn stands still. The two should be read as separate instruments, one tracking a handful of frontier companies and the other the remaining seventeen hundred, and an institution that treats a move in the aggregate as information about its median holding will misjudge both the direction and the size of what is happening in its portfolio.</w:t>
      </w:r>
    </w:p>
    <w:p>
      <w:pPr>
        <w:pStyle w:val="Heading2"/>
        <w:spacing w:after="70" w:before="220"/>
      </w:pPr>
      <w:r>
        <w:rPr>
          <w:rFonts w:ascii="Arial" w:cs="Arial" w:eastAsia="Arial" w:hAnsi="Arial"/>
          <w:b/>
          <w:bCs/>
          <w:color w:val="1A2744"/>
          <w:sz w:val="21"/>
          <w:szCs w:val="21"/>
        </w:rPr>
        <w:t xml:space="preserve">Valuations are current at the very top and grow stale quickly below it</w:t>
      </w:r>
    </w:p>
    <w:p>
      <w:pPr>
        <w:spacing w:after="160" w:line="276"/>
        <w:jc w:val="left"/>
      </w:pPr>
      <w:r>
        <w:rPr>
          <w:rFonts w:ascii="Georgia" w:cs="Georgia" w:eastAsia="Georgia" w:hAnsi="Georgia"/>
          <w:color w:val="1F2733"/>
          <w:sz w:val="21"/>
          <w:szCs w:val="21"/>
        </w:rPr>
        <w:t xml:space="preserve">Anthropic, whose valuation was set in May 2026, ByteDance in May 2026, and OpenAI in March 2026 carry recent valuations. Below the leaders the valuations age fast: Ant Group, seventh by value, still carries a financing from August 2020, and SHEIN one from January 2024. Measured from actual latest-financing dates across the active universe, 47.6% of unicorns have not raised in more than 24 months and 37.1% in more than 36 months. That figure is the credibility test behind the $8.23 trillion headline: close to half of the total rests on valuations that no financing has retested in two years or more. The universe divides into a small frontier of recently priced companies and a large interior of dated valuations whose repricing risk does not appear in the aggregate, and the total should be separated into recently tested and untested dollars before it is quoted as a market level. Treating the $8.23 trillion as a single current number blends roughly forty companies priced this year with hundreds priced years ago, and conceals the difference that matters most. (The 47.6% figure derives from latest-financing dates and replaces an earlier qualifying-date proxy of 78.5%, which overstated staleness.)</w:t>
      </w:r>
    </w:p>
    <w:p>
      <w:pPr>
        <w:pStyle w:val="Heading2"/>
        <w:spacing w:after="70" w:before="220"/>
      </w:pPr>
      <w:r>
        <w:rPr>
          <w:rFonts w:ascii="Arial" w:cs="Arial" w:eastAsia="Arial" w:hAnsi="Arial"/>
          <w:b/>
          <w:bCs/>
          <w:color w:val="1A2744"/>
          <w:sz w:val="21"/>
          <w:szCs w:val="21"/>
        </w:rPr>
        <w:t xml:space="preserve">Value created per dollar invested has recovered above its pre-boom level</w:t>
      </w:r>
    </w:p>
    <w:p>
      <w:pPr>
        <w:spacing w:after="160" w:line="276"/>
        <w:jc w:val="left"/>
      </w:pPr>
      <w:r>
        <w:rPr>
          <w:rFonts w:ascii="Georgia" w:cs="Georgia" w:eastAsia="Georgia" w:hAnsi="Georgia"/>
          <w:color w:val="1F2733"/>
          <w:sz w:val="21"/>
          <w:szCs w:val="21"/>
        </w:rPr>
        <w:t xml:space="preserve">The median relative velocity of value creation rose to 1.42 times in 2026 from 0.93 times in 2025 and a low of 0.23 times in 2023, returning above its pre-boom baseline of roughly 0.73 times. The 2.20 times median step-up and 0.98-year interval between financings point the same way. A velocity above 1.0 means each dollar raised created more than a dollar of new valuation, a reversal from 2023, when financings diluted existing holders more than they built value. The average velocity of 2.73 times against the 1.42 times median carries the same skew as the valuations themselves: value creation, like value, concentrates in a few names, and the measure counts only companies that raised, so it describes the health of the active market rather than the universe.</w:t>
      </w:r>
    </w:p>
    <w:p>
      <w:pPr>
        <w:pStyle w:val="Heading2"/>
        <w:spacing w:after="70" w:before="220"/>
      </w:pPr>
      <w:r>
        <w:rPr>
          <w:rFonts w:ascii="Arial" w:cs="Arial" w:eastAsia="Arial" w:hAnsi="Arial"/>
          <w:b/>
          <w:bCs/>
          <w:color w:val="1A2744"/>
          <w:sz w:val="21"/>
          <w:szCs w:val="21"/>
        </w:rPr>
        <w:t xml:space="preserve">The rate of new failures has fallen while the population of untested companies has grown</w:t>
      </w:r>
    </w:p>
    <w:p>
      <w:pPr>
        <w:spacing w:after="160" w:line="276"/>
        <w:jc w:val="left"/>
      </w:pPr>
      <w:r>
        <w:rPr>
          <w:rFonts w:ascii="Georgia" w:cs="Georgia" w:eastAsia="Georgia" w:hAnsi="Georgia"/>
          <w:color w:val="1F2733"/>
          <w:sz w:val="21"/>
          <w:szCs w:val="21"/>
        </w:rPr>
        <w:t xml:space="preserve">A total of 245 unicorns have fallen below the billion-dollar threshold to date, and the flow of new failures has nearly stopped: six down rounds in the first half of 2026, worth $3.85 billion, against a peak of 34 failures in 2024. When companies do fail, they fall hard, with a median failing valuation of $524.5 million and a median decline of 67% from the prior peak, leaving the typical fallen company at roughly a third of its high valuation and just below the billion-dollar line. The 2021 cohort contains the least-visible category of loss, 15 companies that fell at exit, recorded as exits in the headline figures while their backers lost money. A low current failure rate deserves skepticism rather than comfort, because failures are recognized when a company raises a lower valuation, and companies that do not raise cannot be marked down. With 47.6% of the universe carrying untested valuations, the low failure count is more plausibly a symptom of widespread dormancy than of underlying health, and the dormant interior is the reservoir from which the next wave of markdowns will come.</w:t>
      </w:r>
    </w:p>
    <w:p>
      <w:pPr>
        <w:pStyle w:val="Heading1"/>
        <w:pBdr>
          <w:bottom w:val="single" w:color="C9D2E0" w:sz="6" w:space="6"/>
        </w:pBdr>
        <w:spacing w:after="140" w:before="320"/>
      </w:pPr>
      <w:r>
        <w:rPr>
          <w:rFonts w:ascii="Arial" w:cs="Arial" w:eastAsia="Arial" w:hAnsi="Arial"/>
          <w:b/>
          <w:bCs/>
          <w:color w:val="1A2744"/>
          <w:sz w:val="26"/>
          <w:szCs w:val="26"/>
        </w:rPr>
        <w:t xml:space="preserve">What to watch</w:t>
      </w:r>
    </w:p>
    <w:p>
      <w:pPr>
        <w:spacing w:after="160" w:line="276"/>
        <w:jc w:val="left"/>
      </w:pPr>
      <w:r>
        <w:rPr>
          <w:rFonts w:ascii="Georgia" w:cs="Georgia" w:eastAsia="Georgia" w:hAnsi="Georgia"/>
          <w:color w:val="1F2733"/>
          <w:sz w:val="21"/>
          <w:szCs w:val="21"/>
        </w:rPr>
        <w:t xml:space="preserve">The $8.23 trillion is real, heavily concentrated, and largely untested. Two companies hold 22% of it, the five largest financings took 62% of the quarter's deal value, and 47.6% of all valuations have gone more than two years without a financing to confirm them. The valuations that are current, at the very top, are the ones the secondary market prices most below the model, by 22% at Anthropic and 32% at SpaceX. The governing fact of the quarter is artificial intelligence: it added more value in six months than the entire universe gained, and it now holds three-fifths of all private-technology value on two-fifths of the companies. The active financing market functions again, the public-listing window has reopened on the strength of a single SpaceX listing, and failures have slowed, but the 2021 vintage shows what follows a boom of this shape, roughly a quarter of the cohort impaired and three-quarters still illiquid five years on, resolving against a fund timetable that runs from 2028 to 2031.</w:t>
      </w:r>
    </w:p>
    <w:p>
      <w:pPr>
        <w:spacing w:after="160" w:line="276"/>
        <w:jc w:val="left"/>
      </w:pPr>
      <w:r>
        <w:rPr>
          <w:rFonts w:ascii="Georgia" w:cs="Georgia" w:eastAsia="Georgia" w:hAnsi="Georgia"/>
          <w:color w:val="1F2733"/>
          <w:sz w:val="21"/>
          <w:szCs w:val="21"/>
        </w:rPr>
        <w:t xml:space="preserve">The figure to track is not the aggregate, which will keep climbing on a dozen artificial-intelligence valuations. It is the share of value resting on recently tested valuations against dated ones, and the event that will move it is the next set of frontier financings. The secondary market already values the largest AI companies well below their model valuations. Should the next Anthropic or SpaceX round clear below its model rather than above it, the repricing will not stay contained to a single company, because on the correlations this market now carries, a 25% reduction in AI valuations is $1.27 trillion off the top of the universe, and the same concentration that produced the quarter's gains would carry the losses just as efficiently.</w:t>
      </w:r>
    </w:p>
    <w:p>
      <w:pPr>
        <w:pBdr>
          <w:top w:val="single" w:color="C9D2E0" w:sz="4" w:space="8"/>
        </w:pBdr>
        <w:spacing w:after="0" w:before="360"/>
      </w:pPr>
      <w:r>
        <w:rPr>
          <w:rFonts w:ascii="Georgia" w:cs="Georgia" w:eastAsia="Georgia" w:hAnsi="Georgia"/>
          <w:i/>
          <w:iCs/>
          <w:color w:val="55637A"/>
          <w:sz w:val="16"/>
          <w:szCs w:val="16"/>
        </w:rPr>
        <w:t xml:space="preserve">Source: PitchBook deal-level unicorn tracker (Final Q2 2026 Quarterly Unicorn Tracker); Morningstar PitchBook Unicorn 20 Valuations and Pricing Data; Unicorn Monitor Data Q2 2026. As of June 30, 2026. Figures on the primary-tracker basis unless flagged; Monitor and Unicorn 20 figures are used only for the three-mark secondary validation and the vertical index returns, and are not blended.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2E0" w:sz="4" w:space="6"/>
      </w:pBdr>
      <w:tabs>
        <w:tab w:val="right" w:pos="9360"/>
      </w:tabs>
    </w:pPr>
    <w:r>
      <w:rPr>
        <w:rFonts w:ascii="Arial" w:cs="Arial" w:eastAsia="Arial" w:hAnsi="Arial"/>
        <w:color w:val="55637A"/>
        <w:sz w:val="16"/>
        <w:szCs w:val="16"/>
      </w:rPr>
      <w:t xml:space="preserve">Global Unicorn Tracker  |  Q2 2026</w:t>
    </w:r>
    <w:r>
      <w:rPr>
        <w:sz w:val="16"/>
        <w:szCs w:val="16"/>
      </w:rPr>
      <w:t xml:space="preserve">	</w:t>
    </w:r>
    <w:r>
      <w:rPr>
        <w:rFonts w:ascii="Arial" w:cs="Arial" w:eastAsia="Arial" w:hAnsi="Arial"/>
        <w:color w:val="55637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F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color w:val="1A2744"/>
      <w:sz w:val="26"/>
      <w:szCs w:val="26"/>
    </w:rPr>
  </w:style>
  <w:style w:type="paragraph" w:styleId="Heading2">
    <w:name w:val="Heading 2"/>
    <w:basedOn w:val="Normal"/>
    <w:next w:val="Normal"/>
    <w:qFormat/>
    <w:rPr>
      <w:rFonts w:ascii="Arial" w:cs="Arial" w:eastAsia="Arial" w:hAnsi="Arial"/>
      <w:b/>
      <w:bCs/>
      <w:color w:val="1A2744"/>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Global Unicorn Tracker - Q2 2026</dc:title>
  <dc:creator>Late-Stage Company Research</dc:creator>
  <cp:lastModifiedBy>Un-named</cp:lastModifiedBy>
  <cp:revision>1</cp:revision>
  <dcterms:created xsi:type="dcterms:W3CDTF">2026-07-23T17:16:44.441Z</dcterms:created>
  <dcterms:modified xsi:type="dcterms:W3CDTF">2026-07-23T17:16:44.458Z</dcterms:modified>
</cp:coreProperties>
</file>

<file path=docProps/custom.xml><?xml version="1.0" encoding="utf-8"?>
<Properties xmlns="http://schemas.openxmlformats.org/officeDocument/2006/custom-properties" xmlns:vt="http://schemas.openxmlformats.org/officeDocument/2006/docPropsVTypes"/>
</file>