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Georgia" w:hAnsi="Georgia"/>
          <w:b/>
          <w:color w:val="1F2A44"/>
          <w:sz w:val="44"/>
        </w:rPr>
        <w:t>The Frontier AI Price Wars</w:t>
      </w:r>
    </w:p>
    <w:p>
      <w:r>
        <w:rPr>
          <w:rFonts w:ascii="Georgia" w:hAnsi="Georgia"/>
          <w:b w:val="0"/>
          <w:color w:val="35506E"/>
          <w:sz w:val="20"/>
        </w:rPr>
        <w:t>PitchBook Institutional Research Group | Late-Stage Company Research</w:t>
      </w:r>
    </w:p>
    <w:p>
      <w:r>
        <w:rPr>
          <w:rFonts w:ascii="Georgia" w:hAnsi="Georgia"/>
          <w:b w:val="0"/>
          <w:color w:val="35506E"/>
          <w:sz w:val="20"/>
        </w:rPr>
        <w:t>Analyst: Harrison Rolfes, Senior Research Director   |   July 10, 2026</w:t>
      </w:r>
    </w:p>
    <w:p>
      <w:r>
        <w:rPr>
          <w:rFonts w:ascii="Georgia" w:hAnsi="Georgia"/>
          <w:i/>
          <w:color w:val="6B7280"/>
          <w:sz w:val="17"/>
        </w:rPr>
        <w:t>Evidence tiers: T1, primary or SEC-grade disclosure. T2, PitchBook data, priced financings, direct company statements. T3, vendor claims and trade press. Vendor-reported benchmarks and pricing claims are discounted one tier on receipt. Figures not in our canonical dataset are flagged as our estimates or assumptions and tiered.</w:t>
      </w:r>
    </w:p>
    <w:p>
      <w:pPr>
        <w:pStyle w:val="Heading1"/>
      </w:pPr>
      <w:r>
        <w:t>Key takeaways</w:t>
      </w:r>
    </w:p>
    <w:p>
      <w:pPr>
        <w:pStyle w:val="ListBullet"/>
        <w:spacing w:after="80"/>
      </w:pPr>
      <w:r>
        <w:rPr>
          <w:rFonts w:ascii="Georgia" w:hAnsi="Georgia"/>
          <w:b w:val="0"/>
          <w:color w:val="262B35"/>
          <w:sz w:val="21"/>
        </w:rPr>
        <w:t>The July 2026 repricing looks like a price war and is mostly a segmentation event. Meta's Muse Spark 1.1 at $1.25 input / $4.25 output per million tokens (T1) prices frontier-adjacent inference at roughly one quarter of the premium anchor, but only Meta is structurally built to price a model near zero. xAI is a forced participant; OpenAI and Anthropic are defending premium tiers, not chasing the floor.</w:t>
      </w:r>
    </w:p>
    <w:p>
      <w:pPr>
        <w:pStyle w:val="ListBullet"/>
        <w:spacing w:after="80"/>
      </w:pPr>
      <w:r>
        <w:rPr>
          <w:rFonts w:ascii="Georgia" w:hAnsi="Georgia"/>
          <w:b w:val="0"/>
          <w:color w:val="262B35"/>
          <w:sz w:val="21"/>
        </w:rPr>
        <w:t>Headline token price is the wrong unit of account. Enterprises and, increasingly, agents buy completed tasks, not tokens. On cost per completed task, with a modest failure-remediation cost, a task-success gap of roughly two to three percentage points fully funds Claude Opus 4.8's 4.8x per-attempt token premium over the cheapest tier. Reliability, not sticker price, is what sophisticated buyers are pricing.</w:t>
      </w:r>
    </w:p>
    <w:p>
      <w:pPr>
        <w:pStyle w:val="ListBullet"/>
        <w:spacing w:after="80"/>
      </w:pPr>
      <w:r>
        <w:rPr>
          <w:rFonts w:ascii="Georgia" w:hAnsi="Georgia"/>
          <w:b w:val="0"/>
          <w:color w:val="262B35"/>
          <w:sz w:val="21"/>
        </w:rPr>
        <w:t>The premium end is deeper than it looks. Above Opus sits Claude Mythos, Anthropic's restricted-access flagship, not openly list-priced. Anthropic is defending a two-tier premium (Opus for broad enterprise, Mythos for the highest-stakes and access-controlled deployments) while the floor commoditizes beneath it. The market is a barbell with a hollow middle.</w:t>
      </w:r>
    </w:p>
    <w:p>
      <w:pPr>
        <w:pStyle w:val="ListBullet"/>
        <w:spacing w:after="80"/>
      </w:pPr>
      <w:r>
        <w:rPr>
          <w:rFonts w:ascii="Georgia" w:hAnsi="Georgia"/>
          <w:b w:val="0"/>
          <w:color w:val="262B35"/>
          <w:sz w:val="21"/>
        </w:rPr>
        <w:t>Pricing is a physics problem before it is a strategy problem. Output tokens cost more than input tokens because generation is sequential and memory-bandwidth-bound on the same scarce high-bandwidth memory (HBM) the buildout is short of. A 4x output-price cut in one model generation outruns the cost curve, so someone is funding the gap. The funder is the ~$3.5T private-credit market. The price war is a solvency question deferred, not resolved.</w:t>
      </w:r>
    </w:p>
    <w:p>
      <w:pPr>
        <w:pStyle w:val="ListBullet"/>
        <w:spacing w:after="80"/>
      </w:pPr>
      <w:r>
        <w:rPr>
          <w:rFonts w:ascii="Georgia" w:hAnsi="Georgia"/>
          <w:b w:val="0"/>
          <w:color w:val="262B35"/>
          <w:sz w:val="21"/>
        </w:rPr>
        <w:t>Inference-cost deflation is margin-accretive to the application layer and to enterprise and consumer buyers, and margin-dilutive to undifferentiated model vendors. The picks-and-shovels complex (HBM and memory, wafer fab equipment, data-center power and cooling) is insulated: the buildout is priced on capacity scarcity, not on model-layer margin.</w:t>
      </w:r>
    </w:p>
    <w:p>
      <w:pPr>
        <w:pStyle w:val="ListBullet"/>
        <w:spacing w:after="80"/>
      </w:pPr>
      <w:r>
        <w:rPr>
          <w:rFonts w:ascii="Georgia" w:hAnsi="Georgia"/>
          <w:b w:val="0"/>
          <w:color w:val="262B35"/>
          <w:sz w:val="21"/>
        </w:rPr>
        <w:t>For consumers the price war is nearly invisible and entirely consequential. Cheaper inference makes free tiers good enough for most tasks, compressing willingness to pay even as capability rises. Consumers do not pay per token; they pay in subscription, attention, and data.</w:t>
      </w:r>
    </w:p>
    <w:p>
      <w:pPr>
        <w:pStyle w:val="ListBullet"/>
        <w:spacing w:after="80"/>
      </w:pPr>
      <w:r>
        <w:rPr>
          <w:rFonts w:ascii="Georgia" w:hAnsi="Georgia"/>
          <w:b w:val="0"/>
          <w:color w:val="262B35"/>
          <w:sz w:val="21"/>
        </w:rPr>
        <w:t>The repricing lands roughly three months before Anthropic's expected October S-1, the single largest test of whether a premium model franchise can defend price and enterprise attach in the most hostile tape available. It is the largest tax on the $965B bull case, and the cleanest possible validation of it if Anthropic holds both.</w:t>
      </w:r>
    </w:p>
    <w:p>
      <w:pPr>
        <w:pStyle w:val="Heading1"/>
      </w:pPr>
      <w:r>
        <w:t>1. What you are actually buying: the technology behind a token price</w:t>
      </w:r>
    </w:p>
    <w:p>
      <w:r>
        <w:rPr>
          <w:rFonts w:ascii="Georgia" w:hAnsi="Georgia"/>
          <w:b w:val="0"/>
          <w:color w:val="262B35"/>
          <w:sz w:val="21"/>
        </w:rPr>
        <w:t>Start with the unit, because every strategic claim in this note reduces to it. A large language model reads and writes text in tokens, roughly three to four characters each. A provider charges separately for two things: input tokens (the prompt, the retrieved documents, the conversation so far) and output tokens (the text the model generates). Published prices are quoted per million tokens, split input / output.</w:t>
      </w:r>
    </w:p>
    <w:p>
      <w:r>
        <w:rPr>
          <w:rFonts w:ascii="Georgia" w:hAnsi="Georgia"/>
          <w:b w:val="0"/>
          <w:color w:val="262B35"/>
          <w:sz w:val="21"/>
        </w:rPr>
        <w:t>The first thing to notice is that output is priced far above input: Opus 4.8 at $5 / $25 charges 5x more to write than to read, Sol and Luna 6x. This is not a margin gimmick, it is physics. Reading a prompt processes all the tokens in parallel in a single pass (the prefill). Writing generates one token at a time, and each new token requires a full forward pass that reads the entire set of model weights plus the growing memory of the conversation so far (the KV cache) out of high-bandwidth memory. Generation is therefore sequential and bound by memory bandwidth, not by raw arithmetic: reading is cheap and parallel, writing is expensive and serial. That asymmetry connects the price sheet directly to the hardware, because the binding constraint on output cost is HBM bandwidth, the same scarce component the data-center buildout is competing for.</w:t>
      </w:r>
    </w:p>
    <w:p>
      <w:r>
        <w:rPr>
          <w:rFonts w:ascii="Georgia" w:hAnsi="Georgia"/>
          <w:b w:val="0"/>
          <w:color w:val="262B35"/>
          <w:sz w:val="21"/>
        </w:rPr>
        <w:t>Two consequences follow. First, utilization sets the true cost. Providers batch many users' requests so that one expensive read of the weights serves many at once, and the higher the utilization, the lower the cost per token. A price cut not matched by a hardware gain (custom silicon, better batching, distillation to a smaller model) or a utilization gain comes straight out of gross margin. There is no free lunch in a token price: a lower number means better economics or a subsidy, and the two look identical on a price sheet. Second, context is not free even when input is cheap. Meta advertises a 1M-token context window for Muse Spark at low input pricing, but the KV cache grows with the context and lives in that same scarce memory, so actually using a million tokens is expensive to serve regardless of the list price.</w:t>
      </w:r>
    </w:p>
    <w:p>
      <w:r>
        <w:rPr>
          <w:rFonts w:ascii="Georgia" w:hAnsi="Georgia"/>
          <w:b w:val="0"/>
          <w:color w:val="262B35"/>
          <w:sz w:val="21"/>
        </w:rPr>
        <w:t>Now the step that reframes everything. Modern enterprise use is agentic: the model is not asked one question once. An agent plans, calls a tool, reads the result, re-plans, and repeats, often dozens of times, each step re-reading a growing context. Token consumption per task scales super-linearly with complexity, and multiplies again every time the agent fails and retries. This is why the per-token price tells you almost nothing about what a task costs: the loop, and the failure rate inside it, dominate. That is the bridge to Section 2.</w:t>
      </w: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9360"/>
      </w:tblGrid>
      <w:tr>
        <w:trPr>
          <w:cantSplit/>
        </w:trPr>
        <w:tc>
          <w:tcPr>
            <w:tcW w:type="dxa" w:w="9360"/>
            <w:shd w:val="clear" w:fill="F2F5F9"/>
          </w:tcPr>
          <w:p>
            <w:pPr>
              <w:spacing w:after="0"/>
            </w:pPr>
            <w:r/>
            <w:r>
              <w:rPr>
                <w:rFonts w:ascii="Georgia" w:hAnsi="Georgia"/>
                <w:b/>
                <w:color w:val="1F2A44"/>
                <w:sz w:val="18"/>
              </w:rPr>
              <w:t xml:space="preserve">CHART: </w:t>
            </w:r>
            <w:r>
              <w:rPr>
                <w:rFonts w:ascii="Georgia" w:hAnsi="Georgia"/>
                <w:i/>
                <w:color w:val="262B35"/>
                <w:sz w:val="18"/>
              </w:rPr>
              <w:t>The pricing ladder from the free consumer tier to the restricted premium anchor. Takeaway: one market, a spread past 30x, with two crowded ends and a hollow middle. Data: output list price per Mtok for Muse Spark, Luna, Grok, Opus, Sol, plus the Mythos estimate and the $0-per-token consumer tier.</w:t>
            </w:r>
          </w:p>
        </w:tc>
      </w:tr>
    </w:tbl>
    <w:p>
      <w:pPr>
        <w:spacing w:before="80" w:after="40"/>
      </w:pPr>
      <w:r>
        <w:drawing>
          <wp:inline xmlns:a="http://schemas.openxmlformats.org/drawingml/2006/main" xmlns:pic="http://schemas.openxmlformats.org/drawingml/2006/picture">
            <wp:extent cx="5943600" cy="1893031"/>
            <wp:docPr id="1" name="Picture 1"/>
            <wp:cNvGraphicFramePr>
              <a:graphicFrameLocks noChangeAspect="1"/>
            </wp:cNvGraphicFramePr>
            <a:graphic>
              <a:graphicData uri="http://schemas.openxmlformats.org/drawingml/2006/picture">
                <pic:pic>
                  <pic:nvPicPr>
                    <pic:cNvPr id="0" name="pw_pricing_ladder.png"/>
                    <pic:cNvPicPr/>
                  </pic:nvPicPr>
                  <pic:blipFill>
                    <a:blip r:embed="rId9"/>
                    <a:stretch>
                      <a:fillRect/>
                    </a:stretch>
                  </pic:blipFill>
                  <pic:spPr>
                    <a:xfrm>
                      <a:off x="0" y="0"/>
                      <a:ext cx="5943600" cy="1893031"/>
                    </a:xfrm>
                    <a:prstGeom prst="rect"/>
                  </pic:spPr>
                </pic:pic>
              </a:graphicData>
            </a:graphic>
          </wp:inline>
        </w:drawing>
      </w:r>
    </w:p>
    <w:p>
      <w:pPr>
        <w:spacing w:after="40"/>
      </w:pPr>
    </w:p>
    <w:p>
      <w:pPr>
        <w:pStyle w:val="Heading1"/>
      </w:pPr>
      <w:r>
        <w:t>2. The unit of account: cost per completed task</w:t>
      </w:r>
    </w:p>
    <w:p>
      <w:r>
        <w:rPr>
          <w:rFonts w:ascii="Georgia" w:hAnsi="Georgia"/>
          <w:b w:val="0"/>
          <w:color w:val="262B35"/>
          <w:sz w:val="21"/>
        </w:rPr>
        <w:t>Enterprises do not buy tokens; they buy completed tasks. The correct unit is:</w:t>
      </w:r>
    </w:p>
    <w:p>
      <w:r>
        <w:rPr>
          <w:rFonts w:ascii="Georgia" w:hAnsi="Georgia"/>
          <w:b w:val="0"/>
          <w:color w:val="262B35"/>
          <w:sz w:val="21"/>
        </w:rPr>
        <w:t>cost per completed task = (tokens_in x price_in + tokens_out x price_out) x expected attempts to success, at a fixed quality bar.</w:t>
      </w:r>
    </w:p>
    <w:p>
      <w:r>
        <w:rPr>
          <w:rFonts w:ascii="Georgia" w:hAnsi="Georgia"/>
          <w:b w:val="0"/>
          <w:color w:val="262B35"/>
          <w:sz w:val="21"/>
        </w:rPr>
        <w:t>A model at one quarter of the price that needs three attempts at an agentic workflow is not cheaper. Take a representative enterprise agentic task of 60,000 input and 12,000 output tokens per attempt (our assumption, T2, sized to a mid-complexity multi-step agent workflow). Expected attempts equal 1/p, where p is per-attempt task-success probability at the fixed quality bar.</w:t>
      </w: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9360"/>
      </w:tblGrid>
      <w:tr>
        <w:trPr>
          <w:cantSplit/>
        </w:trPr>
        <w:tc>
          <w:tcPr>
            <w:tcW w:type="dxa" w:w="9360"/>
            <w:shd w:val="clear" w:fill="F2F5F9"/>
          </w:tcPr>
          <w:p>
            <w:pPr>
              <w:spacing w:after="0"/>
            </w:pPr>
            <w:r/>
            <w:r>
              <w:rPr>
                <w:rFonts w:ascii="Georgia" w:hAnsi="Georgia"/>
                <w:b/>
                <w:color w:val="1F2A44"/>
                <w:sz w:val="18"/>
              </w:rPr>
              <w:t xml:space="preserve">TABLE: </w:t>
            </w:r>
            <w:r>
              <w:rPr>
                <w:rFonts w:ascii="Georgia" w:hAnsi="Georgia"/>
                <w:i/>
                <w:color w:val="262B35"/>
                <w:sz w:val="18"/>
              </w:rPr>
              <w:t>Cost per completed task at list prices, reference workload of 60k in / 12k out per attempt. Takeaway: the cheap tier wins on raw token arithmetic almost mechanically; the premium is funded elsewhere.</w:t>
            </w:r>
          </w:p>
        </w:tc>
      </w:tr>
    </w:tbl>
    <w:p>
      <w:pPr>
        <w:spacing w:after="40"/>
      </w:pP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1337"/>
        <w:gridCol w:w="1337"/>
        <w:gridCol w:w="1337"/>
        <w:gridCol w:w="1337"/>
        <w:gridCol w:w="1337"/>
        <w:gridCol w:w="1337"/>
        <w:gridCol w:w="1337"/>
      </w:tblGrid>
      <w:tr>
        <w:trPr>
          <w:cantSplit/>
          <w:tblHeader w:val="true"/>
        </w:trPr>
        <w:tc>
          <w:tcPr>
            <w:tcW w:type="dxa" w:w="1900"/>
            <w:shd w:val="clear" w:fill="1F2A44"/>
          </w:tcPr>
          <w:p>
            <w:pPr>
              <w:spacing w:after="0"/>
              <w:jc w:val="left"/>
            </w:pPr>
            <w:r/>
            <w:r>
              <w:rPr>
                <w:rFonts w:ascii="Georgia" w:hAnsi="Georgia"/>
                <w:b/>
                <w:i w:val="0"/>
                <w:color w:val="FFFFFF"/>
                <w:sz w:val="17"/>
              </w:rPr>
              <w:t>Model</w:t>
            </w:r>
          </w:p>
        </w:tc>
        <w:tc>
          <w:tcPr>
            <w:tcW w:type="dxa" w:w="1243"/>
            <w:shd w:val="clear" w:fill="1F2A44"/>
          </w:tcPr>
          <w:p>
            <w:pPr>
              <w:spacing w:after="0"/>
              <w:jc w:val="center"/>
            </w:pPr>
            <w:r/>
            <w:r>
              <w:rPr>
                <w:rFonts w:ascii="Georgia" w:hAnsi="Georgia"/>
                <w:b/>
                <w:i w:val="0"/>
                <w:color w:val="FFFFFF"/>
                <w:sz w:val="17"/>
              </w:rPr>
              <w:t>$/Mtok in</w:t>
            </w:r>
          </w:p>
        </w:tc>
        <w:tc>
          <w:tcPr>
            <w:tcW w:type="dxa" w:w="1243"/>
            <w:shd w:val="clear" w:fill="1F2A44"/>
          </w:tcPr>
          <w:p>
            <w:pPr>
              <w:spacing w:after="0"/>
              <w:jc w:val="center"/>
            </w:pPr>
            <w:r/>
            <w:r>
              <w:rPr>
                <w:rFonts w:ascii="Georgia" w:hAnsi="Georgia"/>
                <w:b/>
                <w:i w:val="0"/>
                <w:color w:val="FFFFFF"/>
                <w:sz w:val="17"/>
              </w:rPr>
              <w:t>$/Mtok out</w:t>
            </w:r>
          </w:p>
        </w:tc>
        <w:tc>
          <w:tcPr>
            <w:tcW w:type="dxa" w:w="1243"/>
            <w:shd w:val="clear" w:fill="1F2A44"/>
          </w:tcPr>
          <w:p>
            <w:pPr>
              <w:spacing w:after="0"/>
              <w:jc w:val="center"/>
            </w:pPr>
            <w:r/>
            <w:r>
              <w:rPr>
                <w:rFonts w:ascii="Georgia" w:hAnsi="Georgia"/>
                <w:b/>
                <w:i w:val="0"/>
                <w:color w:val="FFFFFF"/>
                <w:sz w:val="17"/>
              </w:rPr>
              <w:t>Cost per attempt</w:t>
            </w:r>
          </w:p>
        </w:tc>
        <w:tc>
          <w:tcPr>
            <w:tcW w:type="dxa" w:w="1243"/>
            <w:shd w:val="clear" w:fill="1F2A44"/>
          </w:tcPr>
          <w:p>
            <w:pPr>
              <w:spacing w:after="0"/>
              <w:jc w:val="center"/>
            </w:pPr>
            <w:r/>
            <w:r>
              <w:rPr>
                <w:rFonts w:ascii="Georgia" w:hAnsi="Georgia"/>
                <w:b/>
                <w:i w:val="0"/>
                <w:color w:val="FFFFFF"/>
                <w:sz w:val="17"/>
              </w:rPr>
              <w:t>Per task, p = 90%</w:t>
            </w:r>
          </w:p>
        </w:tc>
        <w:tc>
          <w:tcPr>
            <w:tcW w:type="dxa" w:w="1243"/>
            <w:shd w:val="clear" w:fill="1F2A44"/>
          </w:tcPr>
          <w:p>
            <w:pPr>
              <w:spacing w:after="0"/>
              <w:jc w:val="center"/>
            </w:pPr>
            <w:r/>
            <w:r>
              <w:rPr>
                <w:rFonts w:ascii="Georgia" w:hAnsi="Georgia"/>
                <w:b/>
                <w:i w:val="0"/>
                <w:color w:val="FFFFFF"/>
                <w:sz w:val="17"/>
              </w:rPr>
              <w:t>Per task, p = 75%</w:t>
            </w:r>
          </w:p>
        </w:tc>
        <w:tc>
          <w:tcPr>
            <w:tcW w:type="dxa" w:w="1243"/>
            <w:shd w:val="clear" w:fill="1F2A44"/>
          </w:tcPr>
          <w:p>
            <w:pPr>
              <w:spacing w:after="0"/>
              <w:jc w:val="center"/>
            </w:pPr>
            <w:r/>
            <w:r>
              <w:rPr>
                <w:rFonts w:ascii="Georgia" w:hAnsi="Georgia"/>
                <w:b/>
                <w:i w:val="0"/>
                <w:color w:val="FFFFFF"/>
                <w:sz w:val="17"/>
              </w:rPr>
              <w:t>Per task, p = 65%</w:t>
            </w:r>
          </w:p>
        </w:tc>
      </w:tr>
      <w:tr>
        <w:trPr>
          <w:cantSplit/>
        </w:trPr>
        <w:tc>
          <w:tcPr>
            <w:tcW w:type="dxa" w:w="1900"/>
          </w:tcPr>
          <w:p>
            <w:pPr>
              <w:spacing w:after="0"/>
              <w:jc w:val="left"/>
            </w:pPr>
            <w:r/>
            <w:r>
              <w:rPr>
                <w:rFonts w:ascii="Georgia" w:hAnsi="Georgia"/>
                <w:b w:val="0"/>
                <w:i w:val="0"/>
                <w:color w:val="262B35"/>
                <w:sz w:val="17"/>
              </w:rPr>
              <w:t>Claude Opus 4.8</w:t>
            </w:r>
          </w:p>
        </w:tc>
        <w:tc>
          <w:tcPr>
            <w:tcW w:type="dxa" w:w="1243"/>
          </w:tcPr>
          <w:p>
            <w:pPr>
              <w:spacing w:after="0"/>
              <w:jc w:val="center"/>
            </w:pPr>
            <w:r/>
            <w:r>
              <w:rPr>
                <w:rFonts w:ascii="Georgia" w:hAnsi="Georgia"/>
                <w:b w:val="0"/>
                <w:i w:val="0"/>
                <w:color w:val="262B35"/>
                <w:sz w:val="17"/>
              </w:rPr>
              <w:t>$5.00</w:t>
            </w:r>
          </w:p>
        </w:tc>
        <w:tc>
          <w:tcPr>
            <w:tcW w:type="dxa" w:w="1243"/>
          </w:tcPr>
          <w:p>
            <w:pPr>
              <w:spacing w:after="0"/>
              <w:jc w:val="center"/>
            </w:pPr>
            <w:r/>
            <w:r>
              <w:rPr>
                <w:rFonts w:ascii="Georgia" w:hAnsi="Georgia"/>
                <w:b w:val="0"/>
                <w:i w:val="0"/>
                <w:color w:val="262B35"/>
                <w:sz w:val="17"/>
              </w:rPr>
              <w:t>$25.00</w:t>
            </w:r>
          </w:p>
        </w:tc>
        <w:tc>
          <w:tcPr>
            <w:tcW w:type="dxa" w:w="1243"/>
          </w:tcPr>
          <w:p>
            <w:pPr>
              <w:spacing w:after="0"/>
              <w:jc w:val="center"/>
            </w:pPr>
            <w:r/>
            <w:r>
              <w:rPr>
                <w:rFonts w:ascii="Georgia" w:hAnsi="Georgia"/>
                <w:b w:val="0"/>
                <w:i w:val="0"/>
                <w:color w:val="262B35"/>
                <w:sz w:val="17"/>
              </w:rPr>
              <w:t>$0.60</w:t>
            </w:r>
          </w:p>
        </w:tc>
        <w:tc>
          <w:tcPr>
            <w:tcW w:type="dxa" w:w="1243"/>
          </w:tcPr>
          <w:p>
            <w:pPr>
              <w:spacing w:after="0"/>
              <w:jc w:val="center"/>
            </w:pPr>
            <w:r/>
            <w:r>
              <w:rPr>
                <w:rFonts w:ascii="Georgia" w:hAnsi="Georgia"/>
                <w:b w:val="0"/>
                <w:i w:val="0"/>
                <w:color w:val="262B35"/>
                <w:sz w:val="17"/>
              </w:rPr>
              <w:t>$0.67</w:t>
            </w:r>
          </w:p>
        </w:tc>
        <w:tc>
          <w:tcPr>
            <w:tcW w:type="dxa" w:w="1243"/>
          </w:tcPr>
          <w:p>
            <w:pPr>
              <w:spacing w:after="0"/>
              <w:jc w:val="center"/>
            </w:pPr>
            <w:r/>
            <w:r>
              <w:rPr>
                <w:rFonts w:ascii="Georgia" w:hAnsi="Georgia"/>
                <w:b w:val="0"/>
                <w:i w:val="0"/>
                <w:color w:val="262B35"/>
                <w:sz w:val="17"/>
              </w:rPr>
              <w:t>$0.80</w:t>
            </w:r>
          </w:p>
        </w:tc>
        <w:tc>
          <w:tcPr>
            <w:tcW w:type="dxa" w:w="1243"/>
          </w:tcPr>
          <w:p>
            <w:pPr>
              <w:spacing w:after="0"/>
              <w:jc w:val="center"/>
            </w:pPr>
            <w:r/>
            <w:r>
              <w:rPr>
                <w:rFonts w:ascii="Georgia" w:hAnsi="Georgia"/>
                <w:b w:val="0"/>
                <w:i w:val="0"/>
                <w:color w:val="262B35"/>
                <w:sz w:val="17"/>
              </w:rPr>
              <w:t>$0.92</w:t>
            </w:r>
          </w:p>
        </w:tc>
      </w:tr>
      <w:tr>
        <w:trPr>
          <w:cantSplit/>
        </w:trPr>
        <w:tc>
          <w:tcPr>
            <w:tcW w:type="dxa" w:w="1900"/>
            <w:shd w:val="clear" w:fill="F2F5F9"/>
          </w:tcPr>
          <w:p>
            <w:pPr>
              <w:spacing w:after="0"/>
              <w:jc w:val="left"/>
            </w:pPr>
            <w:r/>
            <w:r>
              <w:rPr>
                <w:rFonts w:ascii="Georgia" w:hAnsi="Georgia"/>
                <w:b w:val="0"/>
                <w:i w:val="0"/>
                <w:color w:val="262B35"/>
                <w:sz w:val="17"/>
              </w:rPr>
              <w:t>GPT-5.6 Sol</w:t>
            </w:r>
          </w:p>
        </w:tc>
        <w:tc>
          <w:tcPr>
            <w:tcW w:type="dxa" w:w="1243"/>
            <w:shd w:val="clear" w:fill="F2F5F9"/>
          </w:tcPr>
          <w:p>
            <w:pPr>
              <w:spacing w:after="0"/>
              <w:jc w:val="center"/>
            </w:pPr>
            <w:r/>
            <w:r>
              <w:rPr>
                <w:rFonts w:ascii="Georgia" w:hAnsi="Georgia"/>
                <w:b w:val="0"/>
                <w:i w:val="0"/>
                <w:color w:val="262B35"/>
                <w:sz w:val="17"/>
              </w:rPr>
              <w:t>$5.00</w:t>
            </w:r>
          </w:p>
        </w:tc>
        <w:tc>
          <w:tcPr>
            <w:tcW w:type="dxa" w:w="1243"/>
            <w:shd w:val="clear" w:fill="F2F5F9"/>
          </w:tcPr>
          <w:p>
            <w:pPr>
              <w:spacing w:after="0"/>
              <w:jc w:val="center"/>
            </w:pPr>
            <w:r/>
            <w:r>
              <w:rPr>
                <w:rFonts w:ascii="Georgia" w:hAnsi="Georgia"/>
                <w:b w:val="0"/>
                <w:i w:val="0"/>
                <w:color w:val="262B35"/>
                <w:sz w:val="17"/>
              </w:rPr>
              <w:t>$30.00</w:t>
            </w:r>
          </w:p>
        </w:tc>
        <w:tc>
          <w:tcPr>
            <w:tcW w:type="dxa" w:w="1243"/>
            <w:shd w:val="clear" w:fill="F2F5F9"/>
          </w:tcPr>
          <w:p>
            <w:pPr>
              <w:spacing w:after="0"/>
              <w:jc w:val="center"/>
            </w:pPr>
            <w:r/>
            <w:r>
              <w:rPr>
                <w:rFonts w:ascii="Georgia" w:hAnsi="Georgia"/>
                <w:b w:val="0"/>
                <w:i w:val="0"/>
                <w:color w:val="262B35"/>
                <w:sz w:val="17"/>
              </w:rPr>
              <w:t>$0.66</w:t>
            </w:r>
          </w:p>
        </w:tc>
        <w:tc>
          <w:tcPr>
            <w:tcW w:type="dxa" w:w="1243"/>
            <w:shd w:val="clear" w:fill="F2F5F9"/>
          </w:tcPr>
          <w:p>
            <w:pPr>
              <w:spacing w:after="0"/>
              <w:jc w:val="center"/>
            </w:pPr>
            <w:r/>
            <w:r>
              <w:rPr>
                <w:rFonts w:ascii="Georgia" w:hAnsi="Georgia"/>
                <w:b w:val="0"/>
                <w:i w:val="0"/>
                <w:color w:val="262B35"/>
                <w:sz w:val="17"/>
              </w:rPr>
              <w:t>$0.73</w:t>
            </w:r>
          </w:p>
        </w:tc>
        <w:tc>
          <w:tcPr>
            <w:tcW w:type="dxa" w:w="1243"/>
            <w:shd w:val="clear" w:fill="F2F5F9"/>
          </w:tcPr>
          <w:p>
            <w:pPr>
              <w:spacing w:after="0"/>
              <w:jc w:val="center"/>
            </w:pPr>
            <w:r/>
            <w:r>
              <w:rPr>
                <w:rFonts w:ascii="Georgia" w:hAnsi="Georgia"/>
                <w:b w:val="0"/>
                <w:i w:val="0"/>
                <w:color w:val="262B35"/>
                <w:sz w:val="17"/>
              </w:rPr>
              <w:t>$0.88</w:t>
            </w:r>
          </w:p>
        </w:tc>
        <w:tc>
          <w:tcPr>
            <w:tcW w:type="dxa" w:w="1243"/>
            <w:shd w:val="clear" w:fill="F2F5F9"/>
          </w:tcPr>
          <w:p>
            <w:pPr>
              <w:spacing w:after="0"/>
              <w:jc w:val="center"/>
            </w:pPr>
            <w:r/>
            <w:r>
              <w:rPr>
                <w:rFonts w:ascii="Georgia" w:hAnsi="Georgia"/>
                <w:b w:val="0"/>
                <w:i w:val="0"/>
                <w:color w:val="262B35"/>
                <w:sz w:val="17"/>
              </w:rPr>
              <w:t>$1.02</w:t>
            </w:r>
          </w:p>
        </w:tc>
      </w:tr>
      <w:tr>
        <w:trPr>
          <w:cantSplit/>
        </w:trPr>
        <w:tc>
          <w:tcPr>
            <w:tcW w:type="dxa" w:w="1900"/>
          </w:tcPr>
          <w:p>
            <w:pPr>
              <w:spacing w:after="0"/>
              <w:jc w:val="left"/>
            </w:pPr>
            <w:r/>
            <w:r>
              <w:rPr>
                <w:rFonts w:ascii="Georgia" w:hAnsi="Georgia"/>
                <w:b w:val="0"/>
                <w:i w:val="0"/>
                <w:color w:val="262B35"/>
                <w:sz w:val="17"/>
              </w:rPr>
              <w:t>GPT-5.6 Luna</w:t>
            </w:r>
          </w:p>
        </w:tc>
        <w:tc>
          <w:tcPr>
            <w:tcW w:type="dxa" w:w="1243"/>
          </w:tcPr>
          <w:p>
            <w:pPr>
              <w:spacing w:after="0"/>
              <w:jc w:val="center"/>
            </w:pPr>
            <w:r/>
            <w:r>
              <w:rPr>
                <w:rFonts w:ascii="Georgia" w:hAnsi="Georgia"/>
                <w:b w:val="0"/>
                <w:i w:val="0"/>
                <w:color w:val="262B35"/>
                <w:sz w:val="17"/>
              </w:rPr>
              <w:t>$1.00</w:t>
            </w:r>
          </w:p>
        </w:tc>
        <w:tc>
          <w:tcPr>
            <w:tcW w:type="dxa" w:w="1243"/>
          </w:tcPr>
          <w:p>
            <w:pPr>
              <w:spacing w:after="0"/>
              <w:jc w:val="center"/>
            </w:pPr>
            <w:r/>
            <w:r>
              <w:rPr>
                <w:rFonts w:ascii="Georgia" w:hAnsi="Georgia"/>
                <w:b w:val="0"/>
                <w:i w:val="0"/>
                <w:color w:val="262B35"/>
                <w:sz w:val="17"/>
              </w:rPr>
              <w:t>$6.00</w:t>
            </w:r>
          </w:p>
        </w:tc>
        <w:tc>
          <w:tcPr>
            <w:tcW w:type="dxa" w:w="1243"/>
          </w:tcPr>
          <w:p>
            <w:pPr>
              <w:spacing w:after="0"/>
              <w:jc w:val="center"/>
            </w:pPr>
            <w:r/>
            <w:r>
              <w:rPr>
                <w:rFonts w:ascii="Georgia" w:hAnsi="Georgia"/>
                <w:b w:val="0"/>
                <w:i w:val="0"/>
                <w:color w:val="262B35"/>
                <w:sz w:val="17"/>
              </w:rPr>
              <w:t>$0.13</w:t>
            </w:r>
          </w:p>
        </w:tc>
        <w:tc>
          <w:tcPr>
            <w:tcW w:type="dxa" w:w="1243"/>
          </w:tcPr>
          <w:p>
            <w:pPr>
              <w:spacing w:after="0"/>
              <w:jc w:val="center"/>
            </w:pPr>
            <w:r/>
            <w:r>
              <w:rPr>
                <w:rFonts w:ascii="Georgia" w:hAnsi="Georgia"/>
                <w:b w:val="0"/>
                <w:i w:val="0"/>
                <w:color w:val="262B35"/>
                <w:sz w:val="17"/>
              </w:rPr>
              <w:t>$0.15</w:t>
            </w:r>
          </w:p>
        </w:tc>
        <w:tc>
          <w:tcPr>
            <w:tcW w:type="dxa" w:w="1243"/>
          </w:tcPr>
          <w:p>
            <w:pPr>
              <w:spacing w:after="0"/>
              <w:jc w:val="center"/>
            </w:pPr>
            <w:r/>
            <w:r>
              <w:rPr>
                <w:rFonts w:ascii="Georgia" w:hAnsi="Georgia"/>
                <w:b w:val="0"/>
                <w:i w:val="0"/>
                <w:color w:val="262B35"/>
                <w:sz w:val="17"/>
              </w:rPr>
              <w:t>$0.18</w:t>
            </w:r>
          </w:p>
        </w:tc>
        <w:tc>
          <w:tcPr>
            <w:tcW w:type="dxa" w:w="1243"/>
          </w:tcPr>
          <w:p>
            <w:pPr>
              <w:spacing w:after="0"/>
              <w:jc w:val="center"/>
            </w:pPr>
            <w:r/>
            <w:r>
              <w:rPr>
                <w:rFonts w:ascii="Georgia" w:hAnsi="Georgia"/>
                <w:b w:val="0"/>
                <w:i w:val="0"/>
                <w:color w:val="262B35"/>
                <w:sz w:val="17"/>
              </w:rPr>
              <w:t>$0.20</w:t>
            </w:r>
          </w:p>
        </w:tc>
      </w:tr>
      <w:tr>
        <w:trPr>
          <w:cantSplit/>
        </w:trPr>
        <w:tc>
          <w:tcPr>
            <w:tcW w:type="dxa" w:w="1900"/>
            <w:shd w:val="clear" w:fill="F2F5F9"/>
          </w:tcPr>
          <w:p>
            <w:pPr>
              <w:spacing w:after="0"/>
              <w:jc w:val="left"/>
            </w:pPr>
            <w:r/>
            <w:r>
              <w:rPr>
                <w:rFonts w:ascii="Georgia" w:hAnsi="Georgia"/>
                <w:b w:val="0"/>
                <w:i w:val="0"/>
                <w:color w:val="262B35"/>
                <w:sz w:val="17"/>
              </w:rPr>
              <w:t>Grok 4.5</w:t>
            </w:r>
          </w:p>
        </w:tc>
        <w:tc>
          <w:tcPr>
            <w:tcW w:type="dxa" w:w="1243"/>
            <w:shd w:val="clear" w:fill="F2F5F9"/>
          </w:tcPr>
          <w:p>
            <w:pPr>
              <w:spacing w:after="0"/>
              <w:jc w:val="center"/>
            </w:pPr>
            <w:r/>
            <w:r>
              <w:rPr>
                <w:rFonts w:ascii="Georgia" w:hAnsi="Georgia"/>
                <w:b w:val="0"/>
                <w:i w:val="0"/>
                <w:color w:val="262B35"/>
                <w:sz w:val="17"/>
              </w:rPr>
              <w:t>$2.00</w:t>
            </w:r>
          </w:p>
        </w:tc>
        <w:tc>
          <w:tcPr>
            <w:tcW w:type="dxa" w:w="1243"/>
            <w:shd w:val="clear" w:fill="F2F5F9"/>
          </w:tcPr>
          <w:p>
            <w:pPr>
              <w:spacing w:after="0"/>
              <w:jc w:val="center"/>
            </w:pPr>
            <w:r/>
            <w:r>
              <w:rPr>
                <w:rFonts w:ascii="Georgia" w:hAnsi="Georgia"/>
                <w:b w:val="0"/>
                <w:i w:val="0"/>
                <w:color w:val="262B35"/>
                <w:sz w:val="17"/>
              </w:rPr>
              <w:t>$6.00</w:t>
            </w:r>
          </w:p>
        </w:tc>
        <w:tc>
          <w:tcPr>
            <w:tcW w:type="dxa" w:w="1243"/>
            <w:shd w:val="clear" w:fill="F2F5F9"/>
          </w:tcPr>
          <w:p>
            <w:pPr>
              <w:spacing w:after="0"/>
              <w:jc w:val="center"/>
            </w:pPr>
            <w:r/>
            <w:r>
              <w:rPr>
                <w:rFonts w:ascii="Georgia" w:hAnsi="Georgia"/>
                <w:b w:val="0"/>
                <w:i w:val="0"/>
                <w:color w:val="262B35"/>
                <w:sz w:val="17"/>
              </w:rPr>
              <w:t>$0.19</w:t>
            </w:r>
          </w:p>
        </w:tc>
        <w:tc>
          <w:tcPr>
            <w:tcW w:type="dxa" w:w="1243"/>
            <w:shd w:val="clear" w:fill="F2F5F9"/>
          </w:tcPr>
          <w:p>
            <w:pPr>
              <w:spacing w:after="0"/>
              <w:jc w:val="center"/>
            </w:pPr>
            <w:r/>
            <w:r>
              <w:rPr>
                <w:rFonts w:ascii="Georgia" w:hAnsi="Georgia"/>
                <w:b w:val="0"/>
                <w:i w:val="0"/>
                <w:color w:val="262B35"/>
                <w:sz w:val="17"/>
              </w:rPr>
              <w:t>$0.21</w:t>
            </w:r>
          </w:p>
        </w:tc>
        <w:tc>
          <w:tcPr>
            <w:tcW w:type="dxa" w:w="1243"/>
            <w:shd w:val="clear" w:fill="F2F5F9"/>
          </w:tcPr>
          <w:p>
            <w:pPr>
              <w:spacing w:after="0"/>
              <w:jc w:val="center"/>
            </w:pPr>
            <w:r/>
            <w:r>
              <w:rPr>
                <w:rFonts w:ascii="Georgia" w:hAnsi="Georgia"/>
                <w:b w:val="0"/>
                <w:i w:val="0"/>
                <w:color w:val="262B35"/>
                <w:sz w:val="17"/>
              </w:rPr>
              <w:t>$0.26</w:t>
            </w:r>
          </w:p>
        </w:tc>
        <w:tc>
          <w:tcPr>
            <w:tcW w:type="dxa" w:w="1243"/>
            <w:shd w:val="clear" w:fill="F2F5F9"/>
          </w:tcPr>
          <w:p>
            <w:pPr>
              <w:spacing w:after="0"/>
              <w:jc w:val="center"/>
            </w:pPr>
            <w:r/>
            <w:r>
              <w:rPr>
                <w:rFonts w:ascii="Georgia" w:hAnsi="Georgia"/>
                <w:b w:val="0"/>
                <w:i w:val="0"/>
                <w:color w:val="262B35"/>
                <w:sz w:val="17"/>
              </w:rPr>
              <w:t>$0.30</w:t>
            </w:r>
          </w:p>
        </w:tc>
      </w:tr>
      <w:tr>
        <w:trPr>
          <w:cantSplit/>
        </w:trPr>
        <w:tc>
          <w:tcPr>
            <w:tcW w:type="dxa" w:w="1900"/>
          </w:tcPr>
          <w:p>
            <w:pPr>
              <w:spacing w:after="0"/>
              <w:jc w:val="left"/>
            </w:pPr>
            <w:r/>
            <w:r>
              <w:rPr>
                <w:rFonts w:ascii="Georgia" w:hAnsi="Georgia"/>
                <w:b w:val="0"/>
                <w:i w:val="0"/>
                <w:color w:val="262B35"/>
                <w:sz w:val="17"/>
              </w:rPr>
              <w:t>Muse Spark 1.1</w:t>
            </w:r>
          </w:p>
        </w:tc>
        <w:tc>
          <w:tcPr>
            <w:tcW w:type="dxa" w:w="1243"/>
          </w:tcPr>
          <w:p>
            <w:pPr>
              <w:spacing w:after="0"/>
              <w:jc w:val="center"/>
            </w:pPr>
            <w:r/>
            <w:r>
              <w:rPr>
                <w:rFonts w:ascii="Georgia" w:hAnsi="Georgia"/>
                <w:b w:val="0"/>
                <w:i w:val="0"/>
                <w:color w:val="262B35"/>
                <w:sz w:val="17"/>
              </w:rPr>
              <w:t>$1.25</w:t>
            </w:r>
          </w:p>
        </w:tc>
        <w:tc>
          <w:tcPr>
            <w:tcW w:type="dxa" w:w="1243"/>
          </w:tcPr>
          <w:p>
            <w:pPr>
              <w:spacing w:after="0"/>
              <w:jc w:val="center"/>
            </w:pPr>
            <w:r/>
            <w:r>
              <w:rPr>
                <w:rFonts w:ascii="Georgia" w:hAnsi="Georgia"/>
                <w:b w:val="0"/>
                <w:i w:val="0"/>
                <w:color w:val="262B35"/>
                <w:sz w:val="17"/>
              </w:rPr>
              <w:t>$4.25</w:t>
            </w:r>
          </w:p>
        </w:tc>
        <w:tc>
          <w:tcPr>
            <w:tcW w:type="dxa" w:w="1243"/>
          </w:tcPr>
          <w:p>
            <w:pPr>
              <w:spacing w:after="0"/>
              <w:jc w:val="center"/>
            </w:pPr>
            <w:r/>
            <w:r>
              <w:rPr>
                <w:rFonts w:ascii="Georgia" w:hAnsi="Georgia"/>
                <w:b w:val="0"/>
                <w:i w:val="0"/>
                <w:color w:val="262B35"/>
                <w:sz w:val="17"/>
              </w:rPr>
              <w:t>$0.13</w:t>
            </w:r>
          </w:p>
        </w:tc>
        <w:tc>
          <w:tcPr>
            <w:tcW w:type="dxa" w:w="1243"/>
          </w:tcPr>
          <w:p>
            <w:pPr>
              <w:spacing w:after="0"/>
              <w:jc w:val="center"/>
            </w:pPr>
            <w:r/>
            <w:r>
              <w:rPr>
                <w:rFonts w:ascii="Georgia" w:hAnsi="Georgia"/>
                <w:b w:val="0"/>
                <w:i w:val="0"/>
                <w:color w:val="262B35"/>
                <w:sz w:val="17"/>
              </w:rPr>
              <w:t>$0.14</w:t>
            </w:r>
          </w:p>
        </w:tc>
        <w:tc>
          <w:tcPr>
            <w:tcW w:type="dxa" w:w="1243"/>
          </w:tcPr>
          <w:p>
            <w:pPr>
              <w:spacing w:after="0"/>
              <w:jc w:val="center"/>
            </w:pPr>
            <w:r/>
            <w:r>
              <w:rPr>
                <w:rFonts w:ascii="Georgia" w:hAnsi="Georgia"/>
                <w:b w:val="0"/>
                <w:i w:val="0"/>
                <w:color w:val="262B35"/>
                <w:sz w:val="17"/>
              </w:rPr>
              <w:t>$0.17</w:t>
            </w:r>
          </w:p>
        </w:tc>
        <w:tc>
          <w:tcPr>
            <w:tcW w:type="dxa" w:w="1243"/>
          </w:tcPr>
          <w:p>
            <w:pPr>
              <w:spacing w:after="0"/>
              <w:jc w:val="center"/>
            </w:pPr>
            <w:r/>
            <w:r>
              <w:rPr>
                <w:rFonts w:ascii="Georgia" w:hAnsi="Georgia"/>
                <w:b w:val="0"/>
                <w:i w:val="0"/>
                <w:color w:val="262B35"/>
                <w:sz w:val="17"/>
              </w:rPr>
              <w:t>$0.19</w:t>
            </w:r>
          </w:p>
        </w:tc>
      </w:tr>
    </w:tbl>
    <w:p>
      <w:pPr>
        <w:spacing w:after="40"/>
      </w:pPr>
    </w:p>
    <w:p>
      <w:r>
        <w:rPr>
          <w:rFonts w:ascii="Georgia" w:hAnsi="Georgia"/>
          <w:i/>
          <w:color w:val="6B7280"/>
          <w:sz w:val="17"/>
        </w:rPr>
        <w:t>All prices T1; per-task figures our arithmetic, T2. Claude Mythos is omitted from the token grid because it is not openly list-priced; we treat it separately as the premium anchor.</w:t>
      </w:r>
    </w:p>
    <w:p>
      <w:r>
        <w:rPr>
          <w:rFonts w:ascii="Georgia" w:hAnsi="Georgia"/>
          <w:b w:val="0"/>
          <w:color w:val="262B35"/>
          <w:sz w:val="21"/>
        </w:rPr>
        <w:t>On tokens alone the cheap tier wins almost mechanically. Opus at $0.60 per attempt is cheaper per completed task than Muse Spark at $0.126 only if its per-attempt success rate exceeds Muse's by a factor of 4.8. If Opus completes 90% of attempts, Muse would have to fail more than 81% of the time before Opus wins on tokens. No frontier gap is that wide. If the story ended here, everyone would route to the floor and the premium tiers would be dead. They are not, and the reason is what token arithmetic leaves out.</w:t>
      </w:r>
    </w:p>
    <w:p>
      <w:r>
        <w:rPr>
          <w:rFonts w:ascii="Georgia" w:hAnsi="Georgia"/>
          <w:b w:val="0"/>
          <w:color w:val="262B35"/>
          <w:sz w:val="21"/>
        </w:rPr>
        <w:t>In a real deployment a failed agentic attempt is not free. It consumes reviewer time, breaks downstream automation, and erodes trust in the seat. Assign a deliberately conservative $17 remediation cost per failed attempt, about ten minutes of a $100-per-hour fully loaded operator (our assumption, T2). The fully loaded cost per completed task becomes (cost per attempt + $17 x (1 - p)) / p, and the ranking inverts:</w:t>
      </w:r>
    </w:p>
    <w:p>
      <w:pPr>
        <w:pStyle w:val="ListBullet"/>
        <w:spacing w:after="80"/>
      </w:pPr>
      <w:r>
        <w:rPr>
          <w:rFonts w:ascii="Georgia" w:hAnsi="Georgia"/>
          <w:b w:val="0"/>
          <w:color w:val="262B35"/>
          <w:sz w:val="21"/>
        </w:rPr>
        <w:t>Opus 4.8 at p = 90%: $0.67 in tokens plus $1.89 in remediation, $2.56 per completed task.</w:t>
      </w:r>
    </w:p>
    <w:p>
      <w:pPr>
        <w:pStyle w:val="ListBullet"/>
        <w:spacing w:after="80"/>
      </w:pPr>
      <w:r>
        <w:rPr>
          <w:rFonts w:ascii="Georgia" w:hAnsi="Georgia"/>
          <w:b w:val="0"/>
          <w:color w:val="262B35"/>
          <w:sz w:val="21"/>
        </w:rPr>
        <w:t>Muse Spark at p = 75%: $0.17 in tokens plus $5.67 in remediation, $5.83 per completed task, 2.3x more expensive despite tokens at roughly one quarter the cost.</w:t>
      </w:r>
    </w:p>
    <w:p>
      <w:pPr>
        <w:pStyle w:val="ListBullet"/>
        <w:spacing w:after="80"/>
      </w:pPr>
      <w:r>
        <w:rPr>
          <w:rFonts w:ascii="Georgia" w:hAnsi="Georgia"/>
          <w:b w:val="0"/>
          <w:color w:val="262B35"/>
          <w:sz w:val="21"/>
        </w:rPr>
        <w:t>Break-even: Muse Spark matches Opus's $2.56 at p = 87.6%. A gap of 2.4 percentage points, 90.0% versus 87.6%, fully funds a 4.8x token-price premium.</w:t>
      </w: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9360"/>
      </w:tblGrid>
      <w:tr>
        <w:trPr>
          <w:cantSplit/>
        </w:trPr>
        <w:tc>
          <w:tcPr>
            <w:tcW w:type="dxa" w:w="9360"/>
            <w:shd w:val="clear" w:fill="F2F5F9"/>
          </w:tcPr>
          <w:p>
            <w:pPr>
              <w:spacing w:after="0"/>
            </w:pPr>
            <w:r/>
            <w:r>
              <w:rPr>
                <w:rFonts w:ascii="Georgia" w:hAnsi="Georgia"/>
                <w:b/>
                <w:color w:val="1F2A44"/>
                <w:sz w:val="18"/>
              </w:rPr>
              <w:t xml:space="preserve">CHART: </w:t>
            </w:r>
            <w:r>
              <w:rPr>
                <w:rFonts w:ascii="Georgia" w:hAnsi="Georgia"/>
                <w:i/>
                <w:color w:val="262B35"/>
                <w:sz w:val="18"/>
              </w:rPr>
              <w:t>Fully loaded cost per completed task versus per-attempt success rate, one curve per model, at $17 remediation cost. Takeaway: curves cross in a narrow band near 85 to 90% success; below it, token price dominates; above it, reliability dominates. Data: the five list prices above, the 60k/12k workload, p from 50% to 99%.</w:t>
            </w:r>
          </w:p>
        </w:tc>
      </w:tr>
    </w:tbl>
    <w:p>
      <w:pPr>
        <w:spacing w:before="80" w:after="40"/>
      </w:pPr>
      <w:r>
        <w:drawing>
          <wp:inline xmlns:a="http://schemas.openxmlformats.org/drawingml/2006/main" xmlns:pic="http://schemas.openxmlformats.org/drawingml/2006/picture">
            <wp:extent cx="5943600" cy="2204249"/>
            <wp:docPr id="2" name="Picture 2"/>
            <wp:cNvGraphicFramePr>
              <a:graphicFrameLocks noChangeAspect="1"/>
            </wp:cNvGraphicFramePr>
            <a:graphic>
              <a:graphicData uri="http://schemas.openxmlformats.org/drawingml/2006/picture">
                <pic:pic>
                  <pic:nvPicPr>
                    <pic:cNvPr id="0" name="pw_cost_curves.png"/>
                    <pic:cNvPicPr/>
                  </pic:nvPicPr>
                  <pic:blipFill>
                    <a:blip r:embed="rId10"/>
                    <a:stretch>
                      <a:fillRect/>
                    </a:stretch>
                  </pic:blipFill>
                  <pic:spPr>
                    <a:xfrm>
                      <a:off x="0" y="0"/>
                      <a:ext cx="5943600" cy="2204249"/>
                    </a:xfrm>
                    <a:prstGeom prst="rect"/>
                  </pic:spPr>
                </pic:pic>
              </a:graphicData>
            </a:graphic>
          </wp:inline>
        </w:drawing>
      </w:r>
    </w:p>
    <w:p>
      <w:pPr>
        <w:spacing w:after="40"/>
      </w:pPr>
    </w:p>
    <w:p>
      <w:r>
        <w:rPr>
          <w:rFonts w:ascii="Georgia" w:hAnsi="Georgia"/>
          <w:b w:val="0"/>
          <w:color w:val="262B35"/>
          <w:sz w:val="21"/>
        </w:rPr>
        <w:t>This is the spine of the note, and the whole repricing debate compresses into it. Where failure is cheap (drafting, summarization, internal search) the cheap tier wins and the mid-market reprices toward Muse and Luna immediately. Where failure is expensive (agentic workflows that touch production systems, customer communications, or regulated output) single-digit reliability gaps justify multi-x token premiums, and above that sits the case for a Mythos-class tier at any list price its buyers will bear. Anthropic's pricing is a bet that the second category is where the revenue pool concentrates; Meta's is a bet that the first category is where the volume pool concentrates. Both can be right, which is why our read is segmentation, not war.</w:t>
      </w:r>
    </w:p>
    <w:p>
      <w:r>
        <w:rPr>
          <w:rFonts w:ascii="Georgia" w:hAnsi="Georgia"/>
          <w:b w:val="0"/>
          <w:color w:val="262B35"/>
          <w:sz w:val="21"/>
        </w:rPr>
        <w:t>Test: by September 30, 2026, third-party agentic evaluations that publish cost-per-completed-task (not per-token) comparisons should show Opus 4.8 within or below Luna/Muse pricing on high-stakes workflow suites. If independent, non-vendor evaluations show the cheap tier matching premium task-success within 2 points at scale, the spine of this note breaks.</w:t>
      </w:r>
    </w:p>
    <w:p>
      <w:pPr>
        <w:pStyle w:val="Heading1"/>
      </w:pPr>
      <w:r>
        <w:t>3. Margin mechanics: who can subsidize a low price, and is this a war?</w:t>
      </w:r>
    </w:p>
    <w:p>
      <w:r>
        <w:rPr>
          <w:rFonts w:ascii="Georgia" w:hAnsi="Georgia"/>
          <w:b w:val="0"/>
          <w:color w:val="262B35"/>
          <w:sz w:val="21"/>
        </w:rPr>
        <w:t>Consider what a 4x to 5x output-price cut does to model-layer gross margin. Assume a frontier-scale model serves at roughly $6 to $8 per million output tokens in amortized compute at current utilization (our estimate, T2; no serving-cost disclosures exist at T1). At $25 output, that is roughly a 70% gross margin. At the $4.25 to $6 floor it is negative: roughly negative 17% at $6 and negative 65% at $4.25 at the midpoint serving cost. Distillation, batching, and custom silicon have historically delivered 2x to 3x serving-cost reduction per model generation (T3, trade analyses), and frontier token prices have fallen roughly an order of magnitude per year at constant quality (T3). A 4x cut inside one generation therefore outruns the cost curve. Someone is funding the gap. Position by position:</w:t>
      </w:r>
    </w:p>
    <w:p>
      <w:r>
        <w:rPr>
          <w:rFonts w:ascii="Georgia" w:hAnsi="Georgia"/>
          <w:b/>
          <w:color w:val="262B35"/>
          <w:sz w:val="21"/>
        </w:rPr>
        <w:t>Meta: commoditize the complement, the one structural price warrior.</w:t>
      </w:r>
      <w:r>
        <w:rPr>
          <w:rFonts w:ascii="Georgia" w:hAnsi="Georgia"/>
          <w:b w:val="0"/>
          <w:color w:val="262B35"/>
          <w:sz w:val="21"/>
        </w:rPr>
        <w:t xml:space="preserve"> Meta does not need model-layer gross margin. Muse Spark priced near or below cost drives the complement's price toward zero while Meta monetizes the surface, the ad load, and increasingly its own silicon. This is the textbook commoditization play, and it is durable because the funding source is an ads cash engine, not external capital. The T3 discount on its benchmark claim matters less than the price itself, which is real and T1.</w:t>
      </w:r>
    </w:p>
    <w:p>
      <w:r>
        <w:rPr>
          <w:rFonts w:ascii="Georgia" w:hAnsi="Georgia"/>
          <w:b/>
          <w:color w:val="262B35"/>
          <w:sz w:val="21"/>
        </w:rPr>
        <w:t>xAI: a forced participant with no clean cash engine.</w:t>
      </w:r>
      <w:r>
        <w:rPr>
          <w:rFonts w:ascii="Georgia" w:hAnsi="Georgia"/>
          <w:b w:val="0"/>
          <w:color w:val="262B35"/>
          <w:sz w:val="21"/>
        </w:rPr>
        <w:t xml:space="preserve"> Grok 4.5 at $2 / $6 sits on an AI segment with $3.2B ARR and a FY25 operating loss of $6.36B (T2), inside a combined SPCX structure marked near $1.97T. The subsidy runs through the SpaceX and Starlink cross-flow and external capital. That is a balance-sheet decision, not a business model, and it is the least durable seat at the table if the financing channel tightens.</w:t>
      </w:r>
    </w:p>
    <w:p>
      <w:r>
        <w:rPr>
          <w:rFonts w:ascii="Georgia" w:hAnsi="Georgia"/>
          <w:b/>
          <w:color w:val="262B35"/>
          <w:sz w:val="21"/>
        </w:rPr>
        <w:t>OpenAI: segmentation, not a race to zero.</w:t>
      </w:r>
      <w:r>
        <w:rPr>
          <w:rFonts w:ascii="Georgia" w:hAnsi="Georgia"/>
          <w:b w:val="0"/>
          <w:color w:val="262B35"/>
          <w:sz w:val="21"/>
        </w:rPr>
        <w:t xml:space="preserve"> The tell is Sol at $5 / $30, priced above Opus on output. OpenAI is bifurcating: Luna harvests the price-sensitive volume pool at $1 / $6 while Sol defends the premium pool. With roughly $25B net ARR, about 900M weekly actives, Codex above 1.5M weekly actives (T2), and capital efficiency of 0.14x, OpenAI needs the premium tier; its 34.1x multiple cannot be carried by $6-output economics.</w:t>
      </w:r>
    </w:p>
    <w:p>
      <w:r>
        <w:rPr>
          <w:rFonts w:ascii="Georgia" w:hAnsi="Georgia"/>
          <w:b/>
          <w:color w:val="262B35"/>
          <w:sz w:val="21"/>
        </w:rPr>
        <w:t>Anthropic: defends a two-tier premium and declines to chase.</w:t>
      </w:r>
      <w:r>
        <w:rPr>
          <w:rFonts w:ascii="Georgia" w:hAnsi="Georgia"/>
          <w:b w:val="0"/>
          <w:color w:val="262B35"/>
          <w:sz w:val="21"/>
        </w:rPr>
        <w:t xml:space="preserve"> Opus 4.8 holds at $5 / $25, and Claude Mythos sits above it as the restricted-access anchor (available to approved organizations, not openly list-priced; our working assumption is an output premium of roughly 1.5x to 2x Opus, our estimate, T3). Anthropic's $47B gross run-rate ARR, 20.5x multiple on a $965B mark, and first quarterly operating profit of roughly $559M in Q2 (T2, with two qualifiers: the figure excludes stock-based compensation and rides a ramp discount on its SpaceX compute deal, so it overstates steady-state economics) all argue one strategy: hold price, deepen the premium, prove attach.</w:t>
      </w: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9360"/>
      </w:tblGrid>
      <w:tr>
        <w:trPr>
          <w:cantSplit/>
        </w:trPr>
        <w:tc>
          <w:tcPr>
            <w:tcW w:type="dxa" w:w="9360"/>
            <w:shd w:val="clear" w:fill="F2F5F9"/>
          </w:tcPr>
          <w:p>
            <w:pPr>
              <w:spacing w:after="0"/>
            </w:pPr>
            <w:r/>
            <w:r>
              <w:rPr>
                <w:rFonts w:ascii="Georgia" w:hAnsi="Georgia"/>
                <w:b/>
                <w:color w:val="1F2A44"/>
                <w:sz w:val="18"/>
              </w:rPr>
              <w:t xml:space="preserve">CHART: </w:t>
            </w:r>
            <w:r>
              <w:rPr>
                <w:rFonts w:ascii="Georgia" w:hAnsi="Georgia"/>
                <w:i/>
                <w:color w:val="262B35"/>
                <w:sz w:val="18"/>
              </w:rPr>
              <w:t>Implied model-layer gross margin versus output list price at a fixed serving cost of $6 to $8 per million output tokens. Takeaway: every output price below roughly $8 is gross-margin negative without a step change in serving cost; the floor tier is priced below cost. Data: the five output list prices against the $6 to $8 serving band.</w:t>
            </w:r>
          </w:p>
        </w:tc>
      </w:tr>
    </w:tbl>
    <w:p>
      <w:pPr>
        <w:spacing w:before="80" w:after="40"/>
      </w:pPr>
      <w:r>
        <w:drawing>
          <wp:inline xmlns:a="http://schemas.openxmlformats.org/drawingml/2006/main" xmlns:pic="http://schemas.openxmlformats.org/drawingml/2006/picture">
            <wp:extent cx="5943600" cy="1980582"/>
            <wp:docPr id="3" name="Picture 3"/>
            <wp:cNvGraphicFramePr>
              <a:graphicFrameLocks noChangeAspect="1"/>
            </wp:cNvGraphicFramePr>
            <a:graphic>
              <a:graphicData uri="http://schemas.openxmlformats.org/drawingml/2006/picture">
                <pic:pic>
                  <pic:nvPicPr>
                    <pic:cNvPr id="0" name="pw_margin_vs_price.png"/>
                    <pic:cNvPicPr/>
                  </pic:nvPicPr>
                  <pic:blipFill>
                    <a:blip r:embed="rId11"/>
                    <a:stretch>
                      <a:fillRect/>
                    </a:stretch>
                  </pic:blipFill>
                  <pic:spPr>
                    <a:xfrm>
                      <a:off x="0" y="0"/>
                      <a:ext cx="5943600" cy="1980582"/>
                    </a:xfrm>
                    <a:prstGeom prst="rect"/>
                  </pic:spPr>
                </pic:pic>
              </a:graphicData>
            </a:graphic>
          </wp:inline>
        </w:drawing>
      </w:r>
    </w:p>
    <w:p>
      <w:pPr>
        <w:spacing w:after="40"/>
      </w:pP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9360"/>
      </w:tblGrid>
      <w:tr>
        <w:trPr>
          <w:cantSplit/>
        </w:trPr>
        <w:tc>
          <w:tcPr>
            <w:tcW w:type="dxa" w:w="9360"/>
            <w:shd w:val="clear" w:fill="F2F5F9"/>
          </w:tcPr>
          <w:p>
            <w:pPr>
              <w:spacing w:after="0"/>
            </w:pPr>
            <w:r/>
            <w:r>
              <w:rPr>
                <w:rFonts w:ascii="Georgia" w:hAnsi="Georgia"/>
                <w:b/>
                <w:color w:val="1F2A44"/>
                <w:sz w:val="18"/>
              </w:rPr>
              <w:t xml:space="preserve">TABLE: </w:t>
            </w:r>
            <w:r>
              <w:rPr>
                <w:rFonts w:ascii="Georgia" w:hAnsi="Georgia"/>
                <w:i/>
                <w:color w:val="262B35"/>
                <w:sz w:val="18"/>
              </w:rPr>
              <w:t>AIBQ business quality versus valuation and economics. Takeaway: quality and price paid are widely dispersed; the premium-priced labs are not the highest-quality businesses on our framework, and the highest-quality business is the one selling to all of them.</w:t>
            </w:r>
          </w:p>
        </w:tc>
      </w:tr>
    </w:tbl>
    <w:p>
      <w:pPr>
        <w:spacing w:after="40"/>
      </w:pP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1337"/>
        <w:gridCol w:w="1337"/>
        <w:gridCol w:w="1337"/>
        <w:gridCol w:w="1337"/>
        <w:gridCol w:w="1337"/>
        <w:gridCol w:w="1337"/>
        <w:gridCol w:w="1337"/>
      </w:tblGrid>
      <w:tr>
        <w:trPr>
          <w:cantSplit/>
          <w:tblHeader w:val="true"/>
        </w:trPr>
        <w:tc>
          <w:tcPr>
            <w:tcW w:type="dxa" w:w="1900"/>
            <w:shd w:val="clear" w:fill="1F2A44"/>
          </w:tcPr>
          <w:p>
            <w:pPr>
              <w:spacing w:after="0"/>
              <w:jc w:val="left"/>
            </w:pPr>
            <w:r/>
            <w:r>
              <w:rPr>
                <w:rFonts w:ascii="Georgia" w:hAnsi="Georgia"/>
                <w:b/>
                <w:i w:val="0"/>
                <w:color w:val="FFFFFF"/>
                <w:sz w:val="17"/>
              </w:rPr>
              <w:t>Company</w:t>
            </w:r>
          </w:p>
        </w:tc>
        <w:tc>
          <w:tcPr>
            <w:tcW w:type="dxa" w:w="1243"/>
            <w:shd w:val="clear" w:fill="1F2A44"/>
          </w:tcPr>
          <w:p>
            <w:pPr>
              <w:spacing w:after="0"/>
              <w:jc w:val="center"/>
            </w:pPr>
            <w:r/>
            <w:r>
              <w:rPr>
                <w:rFonts w:ascii="Georgia" w:hAnsi="Georgia"/>
                <w:b/>
                <w:i w:val="0"/>
                <w:color w:val="FFFFFF"/>
                <w:sz w:val="17"/>
              </w:rPr>
              <w:t>AIBQ composite</w:t>
            </w:r>
          </w:p>
        </w:tc>
        <w:tc>
          <w:tcPr>
            <w:tcW w:type="dxa" w:w="1243"/>
            <w:shd w:val="clear" w:fill="1F2A44"/>
          </w:tcPr>
          <w:p>
            <w:pPr>
              <w:spacing w:after="0"/>
              <w:jc w:val="center"/>
            </w:pPr>
            <w:r/>
            <w:r>
              <w:rPr>
                <w:rFonts w:ascii="Georgia" w:hAnsi="Georgia"/>
                <w:b/>
                <w:i w:val="0"/>
                <w:color w:val="FFFFFF"/>
                <w:sz w:val="17"/>
              </w:rPr>
              <w:t>Valuation / mark</w:t>
            </w:r>
          </w:p>
        </w:tc>
        <w:tc>
          <w:tcPr>
            <w:tcW w:type="dxa" w:w="1243"/>
            <w:shd w:val="clear" w:fill="1F2A44"/>
          </w:tcPr>
          <w:p>
            <w:pPr>
              <w:spacing w:after="0"/>
              <w:jc w:val="center"/>
            </w:pPr>
            <w:r/>
            <w:r>
              <w:rPr>
                <w:rFonts w:ascii="Georgia" w:hAnsi="Georgia"/>
                <w:b/>
                <w:i w:val="0"/>
                <w:color w:val="FFFFFF"/>
                <w:sz w:val="17"/>
              </w:rPr>
              <w:t>Revenue basis</w:t>
            </w:r>
          </w:p>
        </w:tc>
        <w:tc>
          <w:tcPr>
            <w:tcW w:type="dxa" w:w="1243"/>
            <w:shd w:val="clear" w:fill="1F2A44"/>
          </w:tcPr>
          <w:p>
            <w:pPr>
              <w:spacing w:after="0"/>
              <w:jc w:val="center"/>
            </w:pPr>
            <w:r/>
            <w:r>
              <w:rPr>
                <w:rFonts w:ascii="Georgia" w:hAnsi="Georgia"/>
                <w:b/>
                <w:i w:val="0"/>
                <w:color w:val="FFFFFF"/>
                <w:sz w:val="17"/>
              </w:rPr>
              <w:t>Multiple</w:t>
            </w:r>
          </w:p>
        </w:tc>
        <w:tc>
          <w:tcPr>
            <w:tcW w:type="dxa" w:w="1243"/>
            <w:shd w:val="clear" w:fill="1F2A44"/>
          </w:tcPr>
          <w:p>
            <w:pPr>
              <w:spacing w:after="0"/>
              <w:jc w:val="center"/>
            </w:pPr>
            <w:r/>
            <w:r>
              <w:rPr>
                <w:rFonts w:ascii="Georgia" w:hAnsi="Georgia"/>
                <w:b/>
                <w:i w:val="0"/>
                <w:color w:val="FFFFFF"/>
                <w:sz w:val="17"/>
              </w:rPr>
              <w:t>Capital efficiency</w:t>
            </w:r>
          </w:p>
        </w:tc>
        <w:tc>
          <w:tcPr>
            <w:tcW w:type="dxa" w:w="1243"/>
            <w:shd w:val="clear" w:fill="1F2A44"/>
          </w:tcPr>
          <w:p>
            <w:pPr>
              <w:spacing w:after="0"/>
              <w:jc w:val="center"/>
            </w:pPr>
            <w:r/>
            <w:r>
              <w:rPr>
                <w:rFonts w:ascii="Georgia" w:hAnsi="Georgia"/>
                <w:b/>
                <w:i w:val="0"/>
                <w:color w:val="FFFFFF"/>
                <w:sz w:val="17"/>
              </w:rPr>
              <w:t>Profitability marker</w:t>
            </w:r>
          </w:p>
        </w:tc>
      </w:tr>
      <w:tr>
        <w:trPr>
          <w:cantSplit/>
        </w:trPr>
        <w:tc>
          <w:tcPr>
            <w:tcW w:type="dxa" w:w="1900"/>
          </w:tcPr>
          <w:p>
            <w:pPr>
              <w:spacing w:after="0"/>
              <w:jc w:val="left"/>
            </w:pPr>
            <w:r/>
            <w:r>
              <w:rPr>
                <w:rFonts w:ascii="Georgia" w:hAnsi="Georgia"/>
                <w:b w:val="0"/>
                <w:i w:val="0"/>
                <w:color w:val="262B35"/>
                <w:sz w:val="17"/>
              </w:rPr>
              <w:t>Databricks</w:t>
            </w:r>
          </w:p>
        </w:tc>
        <w:tc>
          <w:tcPr>
            <w:tcW w:type="dxa" w:w="1243"/>
          </w:tcPr>
          <w:p>
            <w:pPr>
              <w:spacing w:after="0"/>
              <w:jc w:val="center"/>
            </w:pPr>
            <w:r/>
            <w:r>
              <w:rPr>
                <w:rFonts w:ascii="Georgia" w:hAnsi="Georgia"/>
                <w:b w:val="0"/>
                <w:i w:val="0"/>
                <w:color w:val="262B35"/>
                <w:sz w:val="17"/>
              </w:rPr>
              <w:t>8.81</w:t>
            </w:r>
          </w:p>
        </w:tc>
        <w:tc>
          <w:tcPr>
            <w:tcW w:type="dxa" w:w="1243"/>
          </w:tcPr>
          <w:p>
            <w:pPr>
              <w:spacing w:after="0"/>
              <w:jc w:val="center"/>
            </w:pPr>
            <w:r/>
            <w:r>
              <w:rPr>
                <w:rFonts w:ascii="Georgia" w:hAnsi="Georgia"/>
                <w:b w:val="0"/>
                <w:i w:val="0"/>
                <w:color w:val="262B35"/>
                <w:sz w:val="17"/>
              </w:rPr>
              <w:t>~$170B round in talks (unclosed, T3)</w:t>
            </w:r>
          </w:p>
        </w:tc>
        <w:tc>
          <w:tcPr>
            <w:tcW w:type="dxa" w:w="1243"/>
          </w:tcPr>
          <w:p>
            <w:pPr>
              <w:spacing w:after="0"/>
              <w:jc w:val="center"/>
            </w:pPr>
            <w:r/>
            <w:r>
              <w:rPr>
                <w:rFonts w:ascii="Georgia" w:hAnsi="Georgia"/>
                <w:b w:val="0"/>
                <w:i w:val="0"/>
                <w:color w:val="262B35"/>
                <w:sz w:val="17"/>
              </w:rPr>
              <w:t>$6.9B ARR, +80% YoY</w:t>
            </w:r>
          </w:p>
        </w:tc>
        <w:tc>
          <w:tcPr>
            <w:tcW w:type="dxa" w:w="1243"/>
          </w:tcPr>
          <w:p>
            <w:pPr>
              <w:spacing w:after="0"/>
              <w:jc w:val="center"/>
            </w:pPr>
            <w:r/>
            <w:r>
              <w:rPr>
                <w:rFonts w:ascii="Georgia" w:hAnsi="Georgia"/>
                <w:b w:val="0"/>
                <w:i w:val="0"/>
                <w:color w:val="262B35"/>
                <w:sz w:val="17"/>
              </w:rPr>
              <w:t>n.m. until closed</w:t>
            </w:r>
          </w:p>
        </w:tc>
        <w:tc>
          <w:tcPr>
            <w:tcW w:type="dxa" w:w="1243"/>
          </w:tcPr>
          <w:p>
            <w:pPr>
              <w:spacing w:after="0"/>
              <w:jc w:val="center"/>
            </w:pPr>
            <w:r/>
            <w:r>
              <w:rPr>
                <w:rFonts w:ascii="Georgia" w:hAnsi="Georgia"/>
                <w:b w:val="0"/>
                <w:i w:val="0"/>
                <w:color w:val="262B35"/>
                <w:sz w:val="17"/>
              </w:rPr>
              <w:t>n.d.</w:t>
            </w:r>
          </w:p>
        </w:tc>
        <w:tc>
          <w:tcPr>
            <w:tcW w:type="dxa" w:w="1243"/>
          </w:tcPr>
          <w:p>
            <w:pPr>
              <w:spacing w:after="0"/>
              <w:jc w:val="center"/>
            </w:pPr>
            <w:r/>
            <w:r>
              <w:rPr>
                <w:rFonts w:ascii="Georgia" w:hAnsi="Georgia"/>
                <w:b w:val="0"/>
                <w:i w:val="0"/>
                <w:color w:val="262B35"/>
                <w:sz w:val="17"/>
              </w:rPr>
              <w:t>FCF positive</w:t>
            </w:r>
          </w:p>
        </w:tc>
      </w:tr>
      <w:tr>
        <w:trPr>
          <w:cantSplit/>
        </w:trPr>
        <w:tc>
          <w:tcPr>
            <w:tcW w:type="dxa" w:w="1900"/>
            <w:shd w:val="clear" w:fill="F2F5F9"/>
          </w:tcPr>
          <w:p>
            <w:pPr>
              <w:spacing w:after="0"/>
              <w:jc w:val="left"/>
            </w:pPr>
            <w:r/>
            <w:r>
              <w:rPr>
                <w:rFonts w:ascii="Georgia" w:hAnsi="Georgia"/>
                <w:b w:val="0"/>
                <w:i w:val="0"/>
                <w:color w:val="262B35"/>
                <w:sz w:val="17"/>
              </w:rPr>
              <w:t>Anthropic</w:t>
            </w:r>
          </w:p>
        </w:tc>
        <w:tc>
          <w:tcPr>
            <w:tcW w:type="dxa" w:w="1243"/>
            <w:shd w:val="clear" w:fill="F2F5F9"/>
          </w:tcPr>
          <w:p>
            <w:pPr>
              <w:spacing w:after="0"/>
              <w:jc w:val="center"/>
            </w:pPr>
            <w:r/>
            <w:r>
              <w:rPr>
                <w:rFonts w:ascii="Georgia" w:hAnsi="Georgia"/>
                <w:b w:val="0"/>
                <w:i w:val="0"/>
                <w:color w:val="262B35"/>
                <w:sz w:val="17"/>
              </w:rPr>
              <w:t>8.20</w:t>
            </w:r>
          </w:p>
        </w:tc>
        <w:tc>
          <w:tcPr>
            <w:tcW w:type="dxa" w:w="1243"/>
            <w:shd w:val="clear" w:fill="F2F5F9"/>
          </w:tcPr>
          <w:p>
            <w:pPr>
              <w:spacing w:after="0"/>
              <w:jc w:val="center"/>
            </w:pPr>
            <w:r/>
            <w:r>
              <w:rPr>
                <w:rFonts w:ascii="Georgia" w:hAnsi="Georgia"/>
                <w:b w:val="0"/>
                <w:i w:val="0"/>
                <w:color w:val="262B35"/>
                <w:sz w:val="17"/>
              </w:rPr>
              <w:t>$965B</w:t>
            </w:r>
          </w:p>
        </w:tc>
        <w:tc>
          <w:tcPr>
            <w:tcW w:type="dxa" w:w="1243"/>
            <w:shd w:val="clear" w:fill="F2F5F9"/>
          </w:tcPr>
          <w:p>
            <w:pPr>
              <w:spacing w:after="0"/>
              <w:jc w:val="center"/>
            </w:pPr>
            <w:r/>
            <w:r>
              <w:rPr>
                <w:rFonts w:ascii="Georgia" w:hAnsi="Georgia"/>
                <w:b w:val="0"/>
                <w:i w:val="0"/>
                <w:color w:val="262B35"/>
                <w:sz w:val="17"/>
              </w:rPr>
              <w:t>$47B gross run-rate ARR</w:t>
            </w:r>
          </w:p>
        </w:tc>
        <w:tc>
          <w:tcPr>
            <w:tcW w:type="dxa" w:w="1243"/>
            <w:shd w:val="clear" w:fill="F2F5F9"/>
          </w:tcPr>
          <w:p>
            <w:pPr>
              <w:spacing w:after="0"/>
              <w:jc w:val="center"/>
            </w:pPr>
            <w:r/>
            <w:r>
              <w:rPr>
                <w:rFonts w:ascii="Georgia" w:hAnsi="Georgia"/>
                <w:b w:val="0"/>
                <w:i w:val="0"/>
                <w:color w:val="262B35"/>
                <w:sz w:val="17"/>
              </w:rPr>
              <w:t>20.5x</w:t>
            </w:r>
          </w:p>
        </w:tc>
        <w:tc>
          <w:tcPr>
            <w:tcW w:type="dxa" w:w="1243"/>
            <w:shd w:val="clear" w:fill="F2F5F9"/>
          </w:tcPr>
          <w:p>
            <w:pPr>
              <w:spacing w:after="0"/>
              <w:jc w:val="center"/>
            </w:pPr>
            <w:r/>
            <w:r>
              <w:rPr>
                <w:rFonts w:ascii="Georgia" w:hAnsi="Georgia"/>
                <w:b w:val="0"/>
                <w:i w:val="0"/>
                <w:color w:val="262B35"/>
                <w:sz w:val="17"/>
              </w:rPr>
              <w:t>0.38x</w:t>
            </w:r>
          </w:p>
        </w:tc>
        <w:tc>
          <w:tcPr>
            <w:tcW w:type="dxa" w:w="1243"/>
            <w:shd w:val="clear" w:fill="F2F5F9"/>
          </w:tcPr>
          <w:p>
            <w:pPr>
              <w:spacing w:after="0"/>
              <w:jc w:val="center"/>
            </w:pPr>
            <w:r/>
            <w:r>
              <w:rPr>
                <w:rFonts w:ascii="Georgia" w:hAnsi="Georgia"/>
                <w:b w:val="0"/>
                <w:i w:val="0"/>
                <w:color w:val="262B35"/>
                <w:sz w:val="17"/>
              </w:rPr>
              <w:t>~$559M Q2 op profit (adj., T2)</w:t>
            </w:r>
          </w:p>
        </w:tc>
      </w:tr>
      <w:tr>
        <w:trPr>
          <w:cantSplit/>
        </w:trPr>
        <w:tc>
          <w:tcPr>
            <w:tcW w:type="dxa" w:w="1900"/>
          </w:tcPr>
          <w:p>
            <w:pPr>
              <w:spacing w:after="0"/>
              <w:jc w:val="left"/>
            </w:pPr>
            <w:r/>
            <w:r>
              <w:rPr>
                <w:rFonts w:ascii="Georgia" w:hAnsi="Georgia"/>
                <w:b w:val="0"/>
                <w:i w:val="0"/>
                <w:color w:val="262B35"/>
                <w:sz w:val="17"/>
              </w:rPr>
              <w:t>OpenAI</w:t>
            </w:r>
          </w:p>
        </w:tc>
        <w:tc>
          <w:tcPr>
            <w:tcW w:type="dxa" w:w="1243"/>
          </w:tcPr>
          <w:p>
            <w:pPr>
              <w:spacing w:after="0"/>
              <w:jc w:val="center"/>
            </w:pPr>
            <w:r/>
            <w:r>
              <w:rPr>
                <w:rFonts w:ascii="Georgia" w:hAnsi="Georgia"/>
                <w:b w:val="0"/>
                <w:i w:val="0"/>
                <w:color w:val="262B35"/>
                <w:sz w:val="17"/>
              </w:rPr>
              <w:t>4.53</w:t>
            </w:r>
          </w:p>
        </w:tc>
        <w:tc>
          <w:tcPr>
            <w:tcW w:type="dxa" w:w="1243"/>
          </w:tcPr>
          <w:p>
            <w:pPr>
              <w:spacing w:after="0"/>
              <w:jc w:val="center"/>
            </w:pPr>
            <w:r/>
            <w:r>
              <w:rPr>
                <w:rFonts w:ascii="Georgia" w:hAnsi="Georgia"/>
                <w:b w:val="0"/>
                <w:i w:val="0"/>
                <w:color w:val="262B35"/>
                <w:sz w:val="17"/>
              </w:rPr>
              <w:t>$852B</w:t>
            </w:r>
          </w:p>
        </w:tc>
        <w:tc>
          <w:tcPr>
            <w:tcW w:type="dxa" w:w="1243"/>
          </w:tcPr>
          <w:p>
            <w:pPr>
              <w:spacing w:after="0"/>
              <w:jc w:val="center"/>
            </w:pPr>
            <w:r/>
            <w:r>
              <w:rPr>
                <w:rFonts w:ascii="Georgia" w:hAnsi="Georgia"/>
                <w:b w:val="0"/>
                <w:i w:val="0"/>
                <w:color w:val="262B35"/>
                <w:sz w:val="17"/>
              </w:rPr>
              <w:t>~$25B net ARR</w:t>
            </w:r>
          </w:p>
        </w:tc>
        <w:tc>
          <w:tcPr>
            <w:tcW w:type="dxa" w:w="1243"/>
          </w:tcPr>
          <w:p>
            <w:pPr>
              <w:spacing w:after="0"/>
              <w:jc w:val="center"/>
            </w:pPr>
            <w:r/>
            <w:r>
              <w:rPr>
                <w:rFonts w:ascii="Georgia" w:hAnsi="Georgia"/>
                <w:b w:val="0"/>
                <w:i w:val="0"/>
                <w:color w:val="262B35"/>
                <w:sz w:val="17"/>
              </w:rPr>
              <w:t>34.1x</w:t>
            </w:r>
          </w:p>
        </w:tc>
        <w:tc>
          <w:tcPr>
            <w:tcW w:type="dxa" w:w="1243"/>
          </w:tcPr>
          <w:p>
            <w:pPr>
              <w:spacing w:after="0"/>
              <w:jc w:val="center"/>
            </w:pPr>
            <w:r/>
            <w:r>
              <w:rPr>
                <w:rFonts w:ascii="Georgia" w:hAnsi="Georgia"/>
                <w:b w:val="0"/>
                <w:i w:val="0"/>
                <w:color w:val="262B35"/>
                <w:sz w:val="17"/>
              </w:rPr>
              <w:t>0.14x</w:t>
            </w:r>
          </w:p>
        </w:tc>
        <w:tc>
          <w:tcPr>
            <w:tcW w:type="dxa" w:w="1243"/>
          </w:tcPr>
          <w:p>
            <w:pPr>
              <w:spacing w:after="0"/>
              <w:jc w:val="center"/>
            </w:pPr>
            <w:r/>
            <w:r>
              <w:rPr>
                <w:rFonts w:ascii="Georgia" w:hAnsi="Georgia"/>
                <w:b w:val="0"/>
                <w:i w:val="0"/>
                <w:color w:val="262B35"/>
                <w:sz w:val="17"/>
              </w:rPr>
              <w:t>not disclosed</w:t>
            </w:r>
          </w:p>
        </w:tc>
      </w:tr>
      <w:tr>
        <w:trPr>
          <w:cantSplit/>
        </w:trPr>
        <w:tc>
          <w:tcPr>
            <w:tcW w:type="dxa" w:w="1900"/>
            <w:shd w:val="clear" w:fill="F2F5F9"/>
          </w:tcPr>
          <w:p>
            <w:pPr>
              <w:spacing w:after="0"/>
              <w:jc w:val="left"/>
            </w:pPr>
            <w:r/>
            <w:r>
              <w:rPr>
                <w:rFonts w:ascii="Georgia" w:hAnsi="Georgia"/>
                <w:b w:val="0"/>
                <w:i w:val="0"/>
                <w:color w:val="262B35"/>
                <w:sz w:val="17"/>
              </w:rPr>
              <w:t>xAI (in SPCX)</w:t>
            </w:r>
          </w:p>
        </w:tc>
        <w:tc>
          <w:tcPr>
            <w:tcW w:type="dxa" w:w="1243"/>
            <w:shd w:val="clear" w:fill="F2F5F9"/>
          </w:tcPr>
          <w:p>
            <w:pPr>
              <w:spacing w:after="0"/>
              <w:jc w:val="center"/>
            </w:pPr>
            <w:r/>
            <w:r>
              <w:rPr>
                <w:rFonts w:ascii="Georgia" w:hAnsi="Georgia"/>
                <w:b w:val="0"/>
                <w:i w:val="0"/>
                <w:color w:val="262B35"/>
                <w:sz w:val="17"/>
              </w:rPr>
              <w:t>4.49</w:t>
            </w:r>
          </w:p>
        </w:tc>
        <w:tc>
          <w:tcPr>
            <w:tcW w:type="dxa" w:w="1243"/>
            <w:shd w:val="clear" w:fill="F2F5F9"/>
          </w:tcPr>
          <w:p>
            <w:pPr>
              <w:spacing w:after="0"/>
              <w:jc w:val="center"/>
            </w:pPr>
            <w:r/>
            <w:r>
              <w:rPr>
                <w:rFonts w:ascii="Georgia" w:hAnsi="Georgia"/>
                <w:b w:val="0"/>
                <w:i w:val="0"/>
                <w:color w:val="262B35"/>
                <w:sz w:val="17"/>
              </w:rPr>
              <w:t>~$1.97T combined</w:t>
            </w:r>
          </w:p>
        </w:tc>
        <w:tc>
          <w:tcPr>
            <w:tcW w:type="dxa" w:w="1243"/>
            <w:shd w:val="clear" w:fill="F2F5F9"/>
          </w:tcPr>
          <w:p>
            <w:pPr>
              <w:spacing w:after="0"/>
              <w:jc w:val="center"/>
            </w:pPr>
            <w:r/>
            <w:r>
              <w:rPr>
                <w:rFonts w:ascii="Georgia" w:hAnsi="Georgia"/>
                <w:b w:val="0"/>
                <w:i w:val="0"/>
                <w:color w:val="262B35"/>
                <w:sz w:val="17"/>
              </w:rPr>
              <w:t>$3.2B AI-segment ARR</w:t>
            </w:r>
          </w:p>
        </w:tc>
        <w:tc>
          <w:tcPr>
            <w:tcW w:type="dxa" w:w="1243"/>
            <w:shd w:val="clear" w:fill="F2F5F9"/>
          </w:tcPr>
          <w:p>
            <w:pPr>
              <w:spacing w:after="0"/>
              <w:jc w:val="center"/>
            </w:pPr>
            <w:r/>
            <w:r>
              <w:rPr>
                <w:rFonts w:ascii="Georgia" w:hAnsi="Georgia"/>
                <w:b w:val="0"/>
                <w:i w:val="0"/>
                <w:color w:val="262B35"/>
                <w:sz w:val="17"/>
              </w:rPr>
              <w:t>n.m.</w:t>
            </w:r>
          </w:p>
        </w:tc>
        <w:tc>
          <w:tcPr>
            <w:tcW w:type="dxa" w:w="1243"/>
            <w:shd w:val="clear" w:fill="F2F5F9"/>
          </w:tcPr>
          <w:p>
            <w:pPr>
              <w:spacing w:after="0"/>
              <w:jc w:val="center"/>
            </w:pPr>
            <w:r/>
            <w:r>
              <w:rPr>
                <w:rFonts w:ascii="Georgia" w:hAnsi="Georgia"/>
                <w:b w:val="0"/>
                <w:i w:val="0"/>
                <w:color w:val="262B35"/>
                <w:sz w:val="17"/>
              </w:rPr>
              <w:t>n.d.</w:t>
            </w:r>
          </w:p>
        </w:tc>
        <w:tc>
          <w:tcPr>
            <w:tcW w:type="dxa" w:w="1243"/>
            <w:shd w:val="clear" w:fill="F2F5F9"/>
          </w:tcPr>
          <w:p>
            <w:pPr>
              <w:spacing w:after="0"/>
              <w:jc w:val="center"/>
            </w:pPr>
            <w:r/>
            <w:r>
              <w:rPr>
                <w:rFonts w:ascii="Georgia" w:hAnsi="Georgia"/>
                <w:b w:val="0"/>
                <w:i w:val="0"/>
                <w:color w:val="262B35"/>
                <w:sz w:val="17"/>
              </w:rPr>
              <w:t>-$6.36B FY25 AI op loss</w:t>
            </w:r>
          </w:p>
        </w:tc>
      </w:tr>
      <w:tr>
        <w:trPr>
          <w:cantSplit/>
        </w:trPr>
        <w:tc>
          <w:tcPr>
            <w:tcW w:type="dxa" w:w="1900"/>
          </w:tcPr>
          <w:p>
            <w:pPr>
              <w:spacing w:after="0"/>
              <w:jc w:val="left"/>
            </w:pPr>
            <w:r/>
            <w:r>
              <w:rPr>
                <w:rFonts w:ascii="Georgia" w:hAnsi="Georgia"/>
                <w:b w:val="0"/>
                <w:i w:val="0"/>
                <w:color w:val="262B35"/>
                <w:sz w:val="17"/>
              </w:rPr>
              <w:t>SSI</w:t>
            </w:r>
          </w:p>
        </w:tc>
        <w:tc>
          <w:tcPr>
            <w:tcW w:type="dxa" w:w="1243"/>
          </w:tcPr>
          <w:p>
            <w:pPr>
              <w:spacing w:after="0"/>
              <w:jc w:val="center"/>
            </w:pPr>
            <w:r/>
            <w:r>
              <w:rPr>
                <w:rFonts w:ascii="Georgia" w:hAnsi="Georgia"/>
                <w:b w:val="0"/>
                <w:i w:val="0"/>
                <w:color w:val="262B35"/>
                <w:sz w:val="17"/>
              </w:rPr>
              <w:t>2.30</w:t>
            </w:r>
          </w:p>
        </w:tc>
        <w:tc>
          <w:tcPr>
            <w:tcW w:type="dxa" w:w="1243"/>
          </w:tcPr>
          <w:p>
            <w:pPr>
              <w:spacing w:after="0"/>
              <w:jc w:val="center"/>
            </w:pPr>
            <w:r/>
            <w:r>
              <w:rPr>
                <w:rFonts w:ascii="Georgia" w:hAnsi="Georgia"/>
                <w:b w:val="0"/>
                <w:i w:val="0"/>
                <w:color w:val="262B35"/>
                <w:sz w:val="17"/>
              </w:rPr>
              <w:t>n.d.</w:t>
            </w:r>
          </w:p>
        </w:tc>
        <w:tc>
          <w:tcPr>
            <w:tcW w:type="dxa" w:w="1243"/>
          </w:tcPr>
          <w:p>
            <w:pPr>
              <w:spacing w:after="0"/>
              <w:jc w:val="center"/>
            </w:pPr>
            <w:r/>
            <w:r>
              <w:rPr>
                <w:rFonts w:ascii="Georgia" w:hAnsi="Georgia"/>
                <w:b w:val="0"/>
                <w:i w:val="0"/>
                <w:color w:val="262B35"/>
                <w:sz w:val="17"/>
              </w:rPr>
              <w:t>pre-revenue</w:t>
            </w:r>
          </w:p>
        </w:tc>
        <w:tc>
          <w:tcPr>
            <w:tcW w:type="dxa" w:w="1243"/>
          </w:tcPr>
          <w:p>
            <w:pPr>
              <w:spacing w:after="0"/>
              <w:jc w:val="center"/>
            </w:pPr>
            <w:r/>
            <w:r>
              <w:rPr>
                <w:rFonts w:ascii="Georgia" w:hAnsi="Georgia"/>
                <w:b w:val="0"/>
                <w:i w:val="0"/>
                <w:color w:val="262B35"/>
                <w:sz w:val="17"/>
              </w:rPr>
              <w:t>n.m.</w:t>
            </w:r>
          </w:p>
        </w:tc>
        <w:tc>
          <w:tcPr>
            <w:tcW w:type="dxa" w:w="1243"/>
          </w:tcPr>
          <w:p>
            <w:pPr>
              <w:spacing w:after="0"/>
              <w:jc w:val="center"/>
            </w:pPr>
            <w:r/>
            <w:r>
              <w:rPr>
                <w:rFonts w:ascii="Georgia" w:hAnsi="Georgia"/>
                <w:b w:val="0"/>
                <w:i w:val="0"/>
                <w:color w:val="262B35"/>
                <w:sz w:val="17"/>
              </w:rPr>
              <w:t>n.d.</w:t>
            </w:r>
          </w:p>
        </w:tc>
        <w:tc>
          <w:tcPr>
            <w:tcW w:type="dxa" w:w="1243"/>
          </w:tcPr>
          <w:p>
            <w:pPr>
              <w:spacing w:after="0"/>
              <w:jc w:val="center"/>
            </w:pPr>
            <w:r/>
            <w:r>
              <w:rPr>
                <w:rFonts w:ascii="Georgia" w:hAnsi="Georgia"/>
                <w:b w:val="0"/>
                <w:i w:val="0"/>
                <w:color w:val="262B35"/>
                <w:sz w:val="17"/>
              </w:rPr>
              <w:t>n.a.</w:t>
            </w:r>
          </w:p>
        </w:tc>
      </w:tr>
    </w:tbl>
    <w:p>
      <w:pPr>
        <w:spacing w:after="40"/>
      </w:pPr>
    </w:p>
    <w:p>
      <w:r>
        <w:rPr>
          <w:rFonts w:ascii="Georgia" w:hAnsi="Georgia"/>
          <w:i/>
          <w:color w:val="6B7280"/>
          <w:sz w:val="17"/>
        </w:rPr>
        <w:t>All figures T2 (PitchBook dataset) except as flagged. Revenue bases differ (gross run-rate vs net ARR); multiples are not directly comparable across rows.</w:t>
      </w:r>
    </w:p>
    <w:p>
      <w:r>
        <w:rPr>
          <w:rFonts w:ascii="Georgia" w:hAnsi="Georgia"/>
          <w:b w:val="0"/>
          <w:color w:val="262B35"/>
          <w:sz w:val="21"/>
        </w:rPr>
        <w:t>So: war or segmentation? Our read, and we commit to it: this is a segmentation play at the premium end and a genuine price war only at the commodity floor. Two of four players (OpenAI, Anthropic) are explicitly defending premium tiers, and Anthropic is extending the premium upward with Mythos rather than downward toward the floor; one (Meta) is running a complement-commoditization strategy that looks like war but is a different business; one (xAI) is price-following without the economics to sustain it. A true race to zero requires the premium players to chase. They have not, and the cost-per-completed-task arithmetic in Section 2 explains why they may never need to.</w:t>
      </w:r>
    </w:p>
    <w:p>
      <w:r>
        <w:rPr>
          <w:rFonts w:ascii="Georgia" w:hAnsi="Georgia"/>
          <w:b w:val="0"/>
          <w:color w:val="262B35"/>
          <w:sz w:val="21"/>
        </w:rPr>
        <w:t>Test: by August 31, 2026, if either Anthropic or OpenAI cuts flagship output pricing by 15% or more, the segmentation read fails and this becomes a war note. Our lean and probability are in the calls below.</w:t>
      </w:r>
    </w:p>
    <w:p>
      <w:pPr>
        <w:pStyle w:val="Heading1"/>
      </w:pPr>
      <w:r>
        <w:t>4. The barbell and the squeezed middle</w:t>
      </w:r>
    </w:p>
    <w:p>
      <w:r>
        <w:rPr>
          <w:rFonts w:ascii="Georgia" w:hAnsi="Georgia"/>
          <w:b w:val="0"/>
          <w:color w:val="262B35"/>
          <w:sz w:val="21"/>
        </w:rPr>
        <w:t>Repricing events in infrastructure markets rarely kill the top or the bottom; they kill the middle. Undifferentiated mid-tier model access, models that are neither the cheapest useful inference nor the most reliable premium surface, reprices to commodity within quarters, because Luna at $1 / $6 and Muse Spark at $1.25 / $4.25 define a new floor for good enough, and the premium tier (Opus, and Mythos above it) defines a reliability bar the middle cannot reach.</w:t>
      </w:r>
    </w:p>
    <w:p>
      <w:r>
        <w:rPr>
          <w:rFonts w:ascii="Georgia" w:hAnsi="Georgia"/>
          <w:b w:val="0"/>
          <w:color w:val="262B35"/>
          <w:sz w:val="21"/>
        </w:rPr>
        <w:t>The barbell wins. On one end, cheapest-useful-inference at scale: Meta and OpenAI's Luna tier harvesting high-volume, failure-tolerant workloads. On the other, most-reliable-premium-surface: Opus and Sol attached to enterprise-agent seats where Section 2's remediation arithmetic governs, and Mythos-class access for the workloads where a two-point reliability edge or an access-control guarantee is worth almost any token price. Capital and revenue migrate to the ends; the middle hollows out.</w:t>
      </w:r>
    </w:p>
    <w:p>
      <w:r>
        <w:rPr>
          <w:rFonts w:ascii="Georgia" w:hAnsi="Georgia"/>
          <w:b w:val="0"/>
          <w:color w:val="262B35"/>
          <w:sz w:val="21"/>
        </w:rPr>
        <w:t>The losers, named. Undifferentiated model resellers: API middlemen and white-label model-gateway vendors whose gross margin was the spread between list price and enterprise inertia; that spread is gone. And legacy vertical SaaS, whose effective moat was workflow lock-in priced per seat: when an agent at $0.14 to $2.56 per completed task can execute the workflow directly, the seat-based pricing umbrella collapses from below. The mid-tier model layer and the seat-priced application middle are the same trade: undifferentiated capacity priced above its replacement cost.</w:t>
      </w:r>
    </w:p>
    <w:p>
      <w:r>
        <w:rPr>
          <w:rFonts w:ascii="Georgia" w:hAnsi="Georgia"/>
          <w:b w:val="0"/>
          <w:color w:val="262B35"/>
          <w:sz w:val="21"/>
        </w:rPr>
        <w:t>Test: by December 31, 2026, at least one publicly known model reseller or gateway vendor repricing to usage-plus-thin-margin, exiting, or being acquired below its last private mark would confirm the squeeze; none would weaken it.</w:t>
      </w:r>
    </w:p>
    <w:p>
      <w:pPr>
        <w:pStyle w:val="Heading1"/>
      </w:pPr>
      <w:r>
        <w:t>5. Market implications</w:t>
      </w:r>
    </w:p>
    <w:p>
      <w:r>
        <w:rPr>
          <w:rFonts w:ascii="Georgia" w:hAnsi="Georgia"/>
          <w:b/>
          <w:color w:val="262B35"/>
          <w:sz w:val="21"/>
        </w:rPr>
        <w:t>The margin moves down the stack, not out of the system.</w:t>
      </w:r>
      <w:r>
        <w:rPr>
          <w:rFonts w:ascii="Georgia" w:hAnsi="Georgia"/>
          <w:b w:val="0"/>
          <w:color w:val="262B35"/>
          <w:sz w:val="21"/>
        </w:rPr>
        <w:t xml:space="preserve"> Inference-cost deflation is margin-accretive to the application and SaaS layer and margin-dilutive to the model layer. Every dollar cut from output pricing is a dollar of gross margin transferred to whoever owns the customer workflow. Winners: application-layer software with real distribution, agent-orchestration vendors who route across models and arbitrage the barbell, and the enterprise buyers themselves, whose AI line items deflate while capability rises. Databricks, the highest-quality business on our AIBQ framework at 8.81, FCF positive at $6.9B ARR growing 80%, is the cleanest expression: it buys inference, sells data-plus-agent workflows, and benefits from every price cut its suppliers inflict on each other. Losers: undifferentiated model vendors and the mid-tier named in Section 4.</w:t>
      </w:r>
    </w:p>
    <w:p>
      <w:r>
        <w:rPr>
          <w:rFonts w:ascii="Georgia" w:hAnsi="Georgia"/>
          <w:b/>
          <w:color w:val="262B35"/>
          <w:sz w:val="21"/>
        </w:rPr>
        <w:t>Picks-and-shovels are insulated.</w:t>
      </w:r>
      <w:r>
        <w:rPr>
          <w:rFonts w:ascii="Georgia" w:hAnsi="Georgia"/>
          <w:b w:val="0"/>
          <w:color w:val="262B35"/>
          <w:sz w:val="21"/>
        </w:rPr>
        <w:t xml:space="preserve"> HBM and memory, wafer fab equipment, data-center power, cooling, and permitted baseload generation are priced on capacity scarcity, not on model-layer margin. The buildout's binding constraints are physical: HBM supply, interconnect, megawatts, and permitting timelines, the very memory-bandwidth wall that sets output pricing in Section 1. A model-layer price war does not cancel compute demand; at the volumes the cheap tier is targeting, it increases it. The complex is exposed to a financing shock, not a pricing shock.</w:t>
      </w: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9360"/>
      </w:tblGrid>
      <w:tr>
        <w:trPr>
          <w:cantSplit/>
        </w:trPr>
        <w:tc>
          <w:tcPr>
            <w:tcW w:type="dxa" w:w="9360"/>
            <w:shd w:val="clear" w:fill="F2F5F9"/>
          </w:tcPr>
          <w:p>
            <w:pPr>
              <w:spacing w:after="0"/>
            </w:pPr>
            <w:r/>
            <w:r>
              <w:rPr>
                <w:rFonts w:ascii="Georgia" w:hAnsi="Georgia"/>
                <w:b/>
                <w:color w:val="1F2A44"/>
                <w:sz w:val="18"/>
              </w:rPr>
              <w:t xml:space="preserve">CHART: </w:t>
            </w:r>
            <w:r>
              <w:rPr>
                <w:rFonts w:ascii="Georgia" w:hAnsi="Georgia"/>
                <w:i/>
                <w:color w:val="262B35"/>
                <w:sz w:val="18"/>
              </w:rPr>
              <w:t>Model-layer economics versus buildout economics. Left panel: AI-segment revenue versus operating result by lab (Anthropic roughly +$559M adjusted Q2, xAI -$6.36B FY25). Right panel: indicative HBM, packaging, and permitted-power utilization (T3). Takeaway: the layer cutting prices is the layer losing money; the layer selling scarcity is not participating in the war. Data: ARR and operating results by lab; indicative capacity utilization levels.</w:t>
            </w:r>
          </w:p>
        </w:tc>
      </w:tr>
    </w:tbl>
    <w:p>
      <w:pPr>
        <w:spacing w:before="80" w:after="40"/>
      </w:pPr>
      <w:r>
        <w:drawing>
          <wp:inline xmlns:a="http://schemas.openxmlformats.org/drawingml/2006/main" xmlns:pic="http://schemas.openxmlformats.org/drawingml/2006/picture">
            <wp:extent cx="5943600" cy="1817218"/>
            <wp:docPr id="4" name="Picture 4"/>
            <wp:cNvGraphicFramePr>
              <a:graphicFrameLocks noChangeAspect="1"/>
            </wp:cNvGraphicFramePr>
            <a:graphic>
              <a:graphicData uri="http://schemas.openxmlformats.org/drawingml/2006/picture">
                <pic:pic>
                  <pic:nvPicPr>
                    <pic:cNvPr id="0" name="pw_layer_economics.png"/>
                    <pic:cNvPicPr/>
                  </pic:nvPicPr>
                  <pic:blipFill>
                    <a:blip r:embed="rId12"/>
                    <a:stretch>
                      <a:fillRect/>
                    </a:stretch>
                  </pic:blipFill>
                  <pic:spPr>
                    <a:xfrm>
                      <a:off x="0" y="0"/>
                      <a:ext cx="5943600" cy="1817218"/>
                    </a:xfrm>
                    <a:prstGeom prst="rect"/>
                  </pic:spPr>
                </pic:pic>
              </a:graphicData>
            </a:graphic>
          </wp:inline>
        </w:drawing>
      </w:r>
    </w:p>
    <w:p>
      <w:pPr>
        <w:spacing w:after="40"/>
      </w:pPr>
    </w:p>
    <w:p>
      <w:r>
        <w:rPr>
          <w:rFonts w:ascii="Georgia" w:hAnsi="Georgia"/>
          <w:b/>
          <w:color w:val="262B35"/>
          <w:sz w:val="21"/>
        </w:rPr>
        <w:t>The financing tail wags the pricing dog.</w:t>
      </w:r>
      <w:r>
        <w:rPr>
          <w:rFonts w:ascii="Georgia" w:hAnsi="Georgia"/>
          <w:b w:val="0"/>
          <w:color w:val="262B35"/>
          <w:sz w:val="21"/>
        </w:rPr>
        <w:t xml:space="preserve"> The ~$3.5T private-credit and shadow-bond market is now the marginal source of AI capital, and it is what makes below-cost pricing possible: labs can price under serving cost because debt capital funds the gap between price and cost. Anthropic's roughly $35B chip-bond stack raised in June (T2) is the template; xAI's cross-subsidy is the same mechanism with a corporate wrapper. Our read: this is a solvency question deferred, not resolved. Price wars funded by operating cash flow end when the weakest operator's margin breaks; price wars funded by credit end when the credit reprices. The relevant covenant is not any lab's gross margin this quarter but the shadow-bond channel's continued willingness to fund negative-margin token sales. That linkage is why the price war and the IPO question are the same question.</w:t>
      </w:r>
    </w:p>
    <w:p>
      <w:r>
        <w:rPr>
          <w:rFonts w:ascii="Georgia" w:hAnsi="Georgia"/>
          <w:b/>
          <w:color w:val="262B35"/>
          <w:sz w:val="21"/>
        </w:rPr>
        <w:t>The IPO intersection.</w:t>
      </w:r>
      <w:r>
        <w:rPr>
          <w:rFonts w:ascii="Georgia" w:hAnsi="Georgia"/>
          <w:b w:val="0"/>
          <w:color w:val="262B35"/>
          <w:sz w:val="21"/>
        </w:rPr>
        <w:t xml:space="preserve"> The repricing lands roughly three months before Anthropic's expected October S-1. An S-1 forces into the open what private markets have not seen: model-layer gross margin, revenue mix, and, if disclosed, enterprise attach. Filing at a $965B reference mark and 20.5x gross run-rate ARR while a competitor prices comparable-claim inference at one quarter of your rate is the hardest possible setup, and it makes the price war the single largest tax on the Anthropic bull case: every basis point of attach lost to Muse or Luna between now and October is discovery the roadshow cannot spin. The inverse is equally sharp. If Anthropic holds list price and enterprise attach through the filing window, and if the Mythos tier shows a premium buyer base that does not blink at the floor, it will have validated the premium thesis under live fire, and the 20.5x multiple gets underwritten by evidence no private round could produce. Our read: the S-1's gross-margin page, not any benchmark, will be the single most repriced disclosure in the filing.</w:t>
      </w:r>
    </w:p>
    <w:p>
      <w:r>
        <w:rPr>
          <w:rFonts w:ascii="Georgia" w:hAnsi="Georgia"/>
          <w:b/>
          <w:color w:val="262B35"/>
          <w:sz w:val="21"/>
        </w:rPr>
        <w:t>Public-market expression.</w:t>
      </w:r>
      <w:r>
        <w:rPr>
          <w:rFonts w:ascii="Georgia" w:hAnsi="Georgia"/>
          <w:b w:val="0"/>
          <w:color w:val="262B35"/>
          <w:sz w:val="21"/>
        </w:rPr>
        <w:t xml:space="preserve"> Long the buildout: memory and HBM, wafer fab equipment, data-center power and cooling, permitted baseload generation, priced on scarcity and insulated from model-layer margin (directional reads, not recommendations; see disclaimer). Watch legacy vertical-SaaS net-retention guidance as the first displacement signal; agents show up in net revenue retention before logo churn. Treat model-layer token pricing as a race whose only durable winners own either a surface (Meta, OpenAI) or a cost structure and reliability franchise rivals cannot match (custom silicon, subsidized compute, or a defended premium like Opus and Mythos). Everyone else in the token race is renting scale from the credit market.</w:t>
      </w:r>
    </w:p>
    <w:p>
      <w:r>
        <w:rPr>
          <w:rFonts w:ascii="Georgia" w:hAnsi="Georgia"/>
          <w:b w:val="0"/>
          <w:color w:val="262B35"/>
          <w:sz w:val="21"/>
        </w:rPr>
        <w:t>Test: by January 31, 2027, at least one AI-exposed private-credit vehicle disclosing markdowns or tightened terms on chip-backed paper would confirm the financing-fragility read; a second $30B-plus chip-bond stack pricing at or inside June's terms would refute it.</w:t>
      </w:r>
    </w:p>
    <w:p>
      <w:pPr>
        <w:pStyle w:val="Heading1"/>
      </w:pPr>
      <w:r>
        <w:t>6. Consumer implications: the price war consumers never see</w:t>
      </w:r>
    </w:p>
    <w:p>
      <w:r>
        <w:rPr>
          <w:rFonts w:ascii="Georgia" w:hAnsi="Georgia"/>
          <w:b w:val="0"/>
          <w:color w:val="262B35"/>
          <w:sz w:val="21"/>
        </w:rPr>
        <w:t>Consumers almost never pay per token. They pay in one of three currencies: a flat monthly subscription (the roughly $20-per-month assistant tier that is now standard, our characterization of the prevailing consumer price point, T3), their attention and data (the free tier, monetized through advertising and engagement, which is Meta's model), or nothing visible at all (AI folded into a subscription they already hold with a productivity or search incumbent). The per-token price war of Sections 1 through 5 reaches the consumer only indirectly, but it governs everything about what the consumer is offered.</w:t>
      </w:r>
    </w:p>
    <w:p>
      <w:r>
        <w:rPr>
          <w:rFonts w:ascii="Georgia" w:hAnsi="Georgia"/>
          <w:b w:val="0"/>
          <w:color w:val="262B35"/>
          <w:sz w:val="21"/>
        </w:rPr>
        <w:t>The central consumer consequence is this: cheaper inference makes the free tier good enough. When serving a capable model costs a fraction of what it did a year ago, the rational move is to give more of it away, because the free tier is the acquisition funnel and the engagement engine. The result is capability inflation at the free tier and willingness-to-pay compression at the paid tier: a consumer who cannot tell Opus-quality output from Luna-quality output on an everyday task has little reason to pay for the former. This pressures consumer subscription revenue even as the product improves, the mirror image of the enterprise story. Enterprises pay for reliability they can measure; consumers largely will not pay for quality they cannot perceive.</w:t>
      </w:r>
    </w:p>
    <w:p>
      <w:r>
        <w:rPr>
          <w:rFonts w:ascii="Georgia" w:hAnsi="Georgia"/>
          <w:b w:val="0"/>
          <w:color w:val="262B35"/>
          <w:sz w:val="21"/>
        </w:rPr>
        <w:t>That splits the consumer market along the same barbell. At the bottom, the free, ad-and-data-monetized tier, where Meta is structurally advantaged because it already owns the surfaces and the ad system to monetize attention rather than tokens, which is exactly why it can price the model at zero. At the top, not a premium token tier (there is no consumer per-token market) but a premium capability bundle: the assistant that does things, an agent that books, buys, files, and codes on the user's behalf, sold as a subscription and justified by task completion rather than answer quality. The Mythos-class tier does not touch the consumer directly; consumers receive the deflating commodity model while the restricted premium anchor stays in enterprise and approved-organization hands. A paid chatbot that only answers questions is the consumer version of the squeezed mid-tier.</w:t>
      </w:r>
    </w:p>
    <w:p>
      <w:r>
        <w:rPr>
          <w:rFonts w:ascii="Georgia" w:hAnsi="Georgia"/>
          <w:b w:val="0"/>
          <w:color w:val="262B35"/>
          <w:sz w:val="21"/>
        </w:rPr>
        <w:t>Two second-order effects matter. First, as prices fall the payment shifts from cash to data and attention, which raises the salience of privacy, data-use terms, and the ad model as the real consumer cost, and with it regulatory exposure for the ad-funded surfaces. Second, distribution decides the consumer war more than model quality: OpenAI's roughly 900M weekly actives and the incumbents' ability to bundle AI into subscriptions consumers already hold matter more than a two-point benchmark edge, because a consumer will not switch assistants for a quality difference they cannot feel. The consumer war is won by whoever can afford to give the most capable free tier away and monetize it elsewhere, the same commoditize-the-complement logic that governs the model layer, now on the phone.</w:t>
      </w:r>
    </w:p>
    <w:p>
      <w:r>
        <w:rPr>
          <w:rFonts w:ascii="Georgia" w:hAnsi="Georgia"/>
          <w:b w:val="0"/>
          <w:color w:val="262B35"/>
          <w:sz w:val="21"/>
        </w:rPr>
        <w:t>Test: by November 30, 2026, at least one consumer AI provider either materially raises free-tier limits or capability (the signal that cheap inference is being passed through to defend engagement) or discloses paid-subscriber conversion or ARPU under pressure. Our lean: free-tier expansion comes first, because it is the cheaper competitive move and the deflation funds it. P = 60%.</w:t>
      </w:r>
    </w:p>
    <w:p>
      <w:pPr>
        <w:pStyle w:val="Heading1"/>
      </w:pPr>
      <w:r>
        <w:t>7. Competitiveness and game theory: the surface decides, not the tokens</w:t>
      </w:r>
    </w:p>
    <w:p>
      <w:r>
        <w:rPr>
          <w:rFonts w:ascii="Georgia" w:hAnsi="Georgia"/>
          <w:b w:val="0"/>
          <w:color w:val="262B35"/>
          <w:sz w:val="21"/>
        </w:rPr>
        <w:t>The war looks like a pricing table but is being decided on the desktop and the phone. OpenAI's ChatGPT Work plus the Codex superapp (built-in browser, computer use, above 1.5M weekly Codex actives, T2) and Anthropic's Claude Cowork are competing for the enterprise-agent seat: the persistent, permissioned surface through which agents touch company systems. Whoever owns that seat owns task routing, and whoever owns task routing decides which model gets called, at what tier, for which task. Model-quality deltas matter less because the surface owner can route silently between premium and cheap tiers per task, capturing the barbell internally, escalating to Opus or Mythos for the high-stakes step and dropping to a floor tier for the cheap one. That is precisely what a tiered lineup, from a floor tier through Opus to Mythos, is built to enable.</w:t>
      </w:r>
    </w:p>
    <w:p>
      <w:r>
        <w:rPr>
          <w:rFonts w:ascii="Georgia" w:hAnsi="Georgia"/>
          <w:b w:val="0"/>
          <w:color w:val="262B35"/>
          <w:sz w:val="21"/>
        </w:rPr>
        <w:t>This reframes the token price cuts as second-order moves. Cheap tokens are necessary but not sufficient: they win benchmarks and API spot volume, both of which churn on the next price sheet. Seat-level reliability, admin tooling, audit trails, permissioning, and the ability to guarantee a controlled model for a controlled workload are what enterprises cannot switch quarterly. Meta's problem is not price, where it wins, but the absence of an enterprise surface to convert cheap tokens into sticky seats; xAI has neither the surface nor the economics. The end state we expect is not a token-price winner but two or three surface owners buying inference, including one another's, at whatever the floor price is that quarter, and differentiating on the reliability and control of the premium tier they route to.</w:t>
      </w:r>
    </w:p>
    <w:p>
      <w:r>
        <w:rPr>
          <w:rFonts w:ascii="Georgia" w:hAnsi="Georgia"/>
          <w:b w:val="0"/>
          <w:color w:val="262B35"/>
          <w:sz w:val="21"/>
        </w:rPr>
        <w:t>Test: by September 30, 2026, the first disclosed enterprise-agent seat or attach metric from any lab will show whether the surface thesis is measurable. If disclosed seats are trivial (below 100k) at both OpenAI and Anthropic, the surface war is earlier than we think and raw token pricing matters more than this section argues.</w:t>
      </w:r>
    </w:p>
    <w:p>
      <w:pPr>
        <w:pStyle w:val="Heading1"/>
      </w:pPr>
      <w:r>
        <w:t>What would change the call, and what we are watching</w:t>
      </w:r>
    </w:p>
    <w:p>
      <w:pPr>
        <w:pStyle w:val="Heading2"/>
      </w:pPr>
      <w:r>
        <w:t>Falsifiable calls:</w:t>
      </w:r>
    </w:p>
    <w:p>
      <w:pPr>
        <w:pStyle w:val="ListNumber"/>
        <w:spacing w:after="80"/>
      </w:pPr>
      <w:r>
        <w:rPr>
          <w:rFonts w:ascii="Georgia" w:hAnsi="Georgia"/>
          <w:b w:val="0"/>
          <w:color w:val="262B35"/>
          <w:sz w:val="21"/>
        </w:rPr>
        <w:t>By August 31, 2026: Anthropic holds. Either Anthropic cuts Opus or Sonnet output pricing 15% or more or ships a cheaper flagship tier, or the cuts come only from rivals. Our lean: Anthropic holds list price into the S-1 window, because cutting three months before filing would concede the premium thesis it must sell, and it extends the premium with Mythos rather than cutting the floor. P(holds) = 70%. A cut would flip our Section 3 read from segmentation to war.</w:t>
      </w:r>
    </w:p>
    <w:p>
      <w:pPr>
        <w:pStyle w:val="ListNumber"/>
        <w:spacing w:after="80"/>
      </w:pPr>
      <w:r>
        <w:rPr>
          <w:rFonts w:ascii="Georgia" w:hAnsi="Georgia"/>
          <w:b w:val="0"/>
          <w:color w:val="262B35"/>
          <w:sz w:val="21"/>
        </w:rPr>
        <w:t>By September 30, 2026: an agent metric surfaces. At least one of: a lab discloses an enterprise-agent seat or attach metric, or Anthropic breaks out agentic or Cowork revenue. Our lean: yes, because S-1 marketing logic demands it and OpenAI will not let a disclosure vacuum stand. P = 60%.</w:t>
      </w:r>
    </w:p>
    <w:p>
      <w:pPr>
        <w:pStyle w:val="ListNumber"/>
        <w:spacing w:after="80"/>
      </w:pPr>
      <w:r>
        <w:rPr>
          <w:rFonts w:ascii="Georgia" w:hAnsi="Georgia"/>
          <w:b w:val="0"/>
          <w:color w:val="262B35"/>
          <w:sz w:val="21"/>
        </w:rPr>
        <w:t>By November 30, 2026: the consumer pass-through shows. At least one consumer AI provider materially raises free-tier capability, or discloses paid conversion or ARPU under pressure. Our lean: free-tier expansion first. P = 60%.</w:t>
      </w:r>
    </w:p>
    <w:p>
      <w:pPr>
        <w:pStyle w:val="ListNumber"/>
        <w:spacing w:after="80"/>
      </w:pPr>
      <w:r>
        <w:rPr>
          <w:rFonts w:ascii="Georgia" w:hAnsi="Georgia"/>
          <w:b w:val="0"/>
          <w:color w:val="262B35"/>
          <w:sz w:val="21"/>
        </w:rPr>
        <w:t>Within two quarters, by the January 2027 reporting cycle: mid-tier repricing does not yet reach a named vertical-SaaS guide. Specifically, nCino's net-revenue-retention guidance or commentary shows no clear agent-displacement pressure yet. Our lean: not yet visible; displacement lags repricing by 12 to 18 months in seat-based software. P(shows within two quarters) = 25%. If it does show, the Section 4 squeeze is running a year ahead of our timeline.</w:t>
      </w:r>
    </w:p>
    <w:p>
      <w:pPr>
        <w:pStyle w:val="Heading2"/>
      </w:pPr>
      <w:r>
        <w:t>Watching, dated:</w:t>
      </w:r>
    </w:p>
    <w:p>
      <w:pPr>
        <w:pStyle w:val="ListBullet"/>
        <w:spacing w:after="80"/>
      </w:pPr>
      <w:r>
        <w:rPr>
          <w:rFonts w:ascii="Georgia" w:hAnsi="Georgia"/>
          <w:b w:val="0"/>
          <w:color w:val="262B35"/>
          <w:sz w:val="21"/>
        </w:rPr>
        <w:t>Anthropic's October S-1: pricing of the offering versus the $965B mark; any enterprise-attach disclosure; any signal on the Opus-and-Mythos premium mix; and above all the model-layer gross-margin page an S-1 forces into the open. This is the single event that converts most of this note's T2 and T3 into T1.</w:t>
      </w:r>
    </w:p>
    <w:p>
      <w:pPr>
        <w:pStyle w:val="ListBullet"/>
        <w:spacing w:after="80"/>
      </w:pPr>
      <w:r>
        <w:rPr>
          <w:rFonts w:ascii="Georgia" w:hAnsi="Georgia"/>
          <w:b w:val="0"/>
          <w:color w:val="262B35"/>
          <w:sz w:val="21"/>
        </w:rPr>
        <w:t>Any flagship price cut at Anthropic or in OpenAI's Sol tier (call 1), and any published Mythos pricing, which would let us replace our estimate with a fact.</w:t>
      </w:r>
    </w:p>
    <w:p>
      <w:pPr>
        <w:pStyle w:val="ListBullet"/>
        <w:spacing w:after="80"/>
      </w:pPr>
      <w:r>
        <w:rPr>
          <w:rFonts w:ascii="Georgia" w:hAnsi="Georgia"/>
          <w:b w:val="0"/>
          <w:color w:val="262B35"/>
          <w:sz w:val="21"/>
        </w:rPr>
        <w:t>The first enterprise-agent seat metric from any lab (call 2), and the first consumer free-tier or ARPU signal (call 3).</w:t>
      </w:r>
    </w:p>
    <w:p>
      <w:pPr>
        <w:pStyle w:val="ListBullet"/>
        <w:spacing w:after="80"/>
      </w:pPr>
      <w:r>
        <w:rPr>
          <w:rFonts w:ascii="Georgia" w:hAnsi="Georgia"/>
          <w:b w:val="0"/>
          <w:color w:val="262B35"/>
          <w:sz w:val="21"/>
        </w:rPr>
        <w:t>The shadow-bond channel: whether the ~$3.5T private-credit complex keeps funding chip-backed paper at June's terms, the true covenant under below-cost pricing.</w:t>
      </w:r>
    </w:p>
    <w:p>
      <w:pPr>
        <w:pStyle w:val="ListBullet"/>
        <w:spacing w:after="80"/>
      </w:pPr>
      <w:r>
        <w:rPr>
          <w:rFonts w:ascii="Georgia" w:hAnsi="Georgia"/>
          <w:b w:val="0"/>
          <w:color w:val="262B35"/>
          <w:sz w:val="21"/>
        </w:rPr>
        <w:t>Independent cost-per-completed-task evaluations: any credible third-party publication of task-success-adjusted pricing would let the market reprice this war on the correct unit of account, and Section 2 tells you who benefits.</w:t>
      </w:r>
    </w:p>
    <w:p>
      <w:pPr>
        <w:pStyle w:val="Heading1"/>
      </w:pPr>
      <w:r>
        <w:t>References</w:t>
      </w:r>
    </w:p>
    <w:p>
      <w:pPr>
        <w:pStyle w:val="ListNumber"/>
        <w:spacing w:after="80"/>
      </w:pPr>
      <w:r>
        <w:rPr>
          <w:rFonts w:ascii="Georgia" w:hAnsi="Georgia"/>
          <w:b w:val="0"/>
          <w:color w:val="262B35"/>
          <w:sz w:val="21"/>
        </w:rPr>
        <w:t>Published API price lists: Anthropic (Claude Opus 4.8), OpenAI (GPT-5.6 Sol, GPT-5.6 Luna), xAI (Grok 4.5), Meta (Muse Spark 1.1), accessed July 2026. List prices T1; accompanying performance claims T3 after standard one-tier discount. Claude Mythos is a restricted-access tier; its pricing is not public and our premium estimate is T3.</w:t>
      </w:r>
    </w:p>
    <w:p>
      <w:pPr>
        <w:pStyle w:val="ListNumber"/>
        <w:spacing w:after="80"/>
      </w:pPr>
      <w:r>
        <w:rPr>
          <w:rFonts w:ascii="Georgia" w:hAnsi="Georgia"/>
          <w:b w:val="0"/>
          <w:color w:val="262B35"/>
          <w:sz w:val="21"/>
        </w:rPr>
        <w:t>Meta announcement, Muse Spark 1.1 agent-reasoning and 1M-context claims, July 2026. Vendor-reported, T3.</w:t>
      </w:r>
    </w:p>
    <w:p>
      <w:pPr>
        <w:pStyle w:val="ListNumber"/>
        <w:spacing w:after="80"/>
      </w:pPr>
      <w:r>
        <w:rPr>
          <w:rFonts w:ascii="Georgia" w:hAnsi="Georgia"/>
          <w:b w:val="0"/>
          <w:color w:val="262B35"/>
          <w:sz w:val="21"/>
        </w:rPr>
        <w:t>PitchBook Institutional Research Group, AI Business Quality (AIBQ) composite framework and scores, July 2026 refresh. T2.</w:t>
      </w:r>
    </w:p>
    <w:p>
      <w:pPr>
        <w:pStyle w:val="ListNumber"/>
        <w:spacing w:after="80"/>
      </w:pPr>
      <w:r>
        <w:rPr>
          <w:rFonts w:ascii="Georgia" w:hAnsi="Georgia"/>
          <w:b w:val="0"/>
          <w:color w:val="262B35"/>
          <w:sz w:val="21"/>
        </w:rPr>
        <w:t>PitchBook company datasets: Anthropic ($965B mark, $47B gross run-rate ARR, Q2 operating profit ~$559M as adjusted, capital efficiency 0.38x), OpenAI ($852B, ~$25B net ARR, weekly-active disclosures), July 2026. T2.</w:t>
      </w:r>
    </w:p>
    <w:p>
      <w:pPr>
        <w:pStyle w:val="ListNumber"/>
        <w:spacing w:after="80"/>
      </w:pPr>
      <w:r>
        <w:rPr>
          <w:rFonts w:ascii="Georgia" w:hAnsi="Georgia"/>
          <w:b w:val="0"/>
          <w:color w:val="262B35"/>
          <w:sz w:val="21"/>
        </w:rPr>
        <w:t>SPCX combined-structure disclosures and press reporting on xAI AI-segment ARR and FY25 operating loss. T2/T3.</w:t>
      </w:r>
    </w:p>
    <w:p>
      <w:pPr>
        <w:pStyle w:val="ListNumber"/>
        <w:spacing w:after="80"/>
      </w:pPr>
      <w:r>
        <w:rPr>
          <w:rFonts w:ascii="Georgia" w:hAnsi="Georgia"/>
          <w:b w:val="0"/>
          <w:color w:val="262B35"/>
          <w:sz w:val="21"/>
        </w:rPr>
        <w:t>Databricks company disclosures and PitchBook data: ARR $6.9B (+80% YoY), FCF positivity; press reports of a ~$170B round in talks, unclosed. T2; round talks T3.</w:t>
      </w:r>
    </w:p>
    <w:p>
      <w:pPr>
        <w:pStyle w:val="ListNumber"/>
        <w:spacing w:after="80"/>
      </w:pPr>
      <w:r>
        <w:rPr>
          <w:rFonts w:ascii="Georgia" w:hAnsi="Georgia"/>
          <w:b w:val="0"/>
          <w:color w:val="262B35"/>
          <w:sz w:val="21"/>
        </w:rPr>
        <w:t>Press reporting on Anthropic's ~$35B chip-bond financing stack, June 2026, and the ~$3.5T AI-linked private-credit market. T2/T3.</w:t>
      </w:r>
    </w:p>
    <w:p>
      <w:pPr>
        <w:pStyle w:val="ListNumber"/>
        <w:spacing w:after="80"/>
      </w:pPr>
      <w:r>
        <w:rPr>
          <w:rFonts w:ascii="Georgia" w:hAnsi="Georgia"/>
          <w:b w:val="0"/>
          <w:color w:val="262B35"/>
          <w:sz w:val="21"/>
        </w:rPr>
        <w:t>Technical background on transformer inference economics: prefill versus decode, memory-bandwidth-bound generation, KV-cache growth, batching and utilization, and historical token-price deflation and serving-cost reduction. T3, industry and academic sources; used as context, no canonical figure rests on them.</w:t>
      </w:r>
    </w:p>
    <w:p>
      <w:pPr>
        <w:pStyle w:val="ListNumber"/>
        <w:spacing w:after="80"/>
      </w:pPr>
      <w:r>
        <w:rPr>
          <w:rFonts w:ascii="Georgia" w:hAnsi="Georgia"/>
          <w:b w:val="0"/>
          <w:color w:val="262B35"/>
          <w:sz w:val="21"/>
        </w:rPr>
        <w:t>Company product disclosures: OpenAI ChatGPT Work and Codex desktop (browser and computer use); Anthropic Claude Cowork. T2.</w:t>
      </w:r>
    </w:p>
    <w:p>
      <w:pPr>
        <w:pStyle w:val="ListNumber"/>
        <w:spacing w:after="80"/>
      </w:pPr>
      <w:r>
        <w:rPr>
          <w:rFonts w:ascii="Georgia" w:hAnsi="Georgia"/>
          <w:b w:val="0"/>
          <w:color w:val="262B35"/>
          <w:sz w:val="21"/>
        </w:rPr>
        <w:t>nCino, Inc. public filings and guidance history (net revenue retention). T1 for reported figures; our displacement call is a forward estimate. Consumer subscription price points and free-tier characterizations are our reading of the prevailing market, T3.</w:t>
      </w:r>
    </w:p>
    <w:p>
      <w:pPr>
        <w:pStyle w:val="Heading1"/>
      </w:pPr>
      <w:r>
        <w:t>Disclaimer</w:t>
      </w:r>
    </w:p>
    <w:p>
      <w:r>
        <w:rPr>
          <w:rFonts w:ascii="Georgia" w:hAnsi="Georgia"/>
          <w:b w:val="0"/>
          <w:color w:val="262B35"/>
          <w:sz w:val="21"/>
        </w:rPr>
        <w:t>This note is published by the PitchBook Institutional Research Group for informational purposes only and does not constitute investment advice, an offer, or a solicitation to buy or sell any security. Figures are evidence-tiered as marked (T1 primary or SEC-grade, T2 PitchBook data and company statements, T3 vendor claims and trade press); vendor-reported benchmarks and pricing claims are discounted one tier on receipt. Estimates and assumptions, including the Claude Mythos premium, the reference agentic workload, the remediation cost, the serving-cost band, and consumer price points, are flagged in the text and may prove wrong. Where conflicting figures exist across sources, conflicts are frozen and disclosed rather than resolved. Private-company financial data reflect the best available information as of July 10, 2026, and are subject to revision. PitchBook may provide data services to companies referenced in this note.</w:t>
      </w:r>
    </w:p>
    <w:p>
      <w:r>
        <w:rPr>
          <w:rFonts w:ascii="Georgia" w:hAnsi="Georgia"/>
          <w:i/>
          <w:color w:val="6B7280"/>
          <w:sz w:val="17"/>
        </w:rPr>
        <w:t>Word count, Key takeaways through What we are watching, including tables and chart captions: 4,667 as rendered in the .docx (4,671 in this markdown mirror). This expanded edition adds a technical primer (Section 1), a consumer-implications section (Section 6), and Claude Mythos as the premium anchor throughout; it runs longer than the original 3,200-word edition by design. References and disclaimer excluded as boilerplate.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Georgia" w:hAnsi="Georgia"/>
      <w:color w:val="262B3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Georgia" w:hAnsi="Georgia"/>
      <w:b/>
      <w:bCs/>
      <w:i w:val="0"/>
      <w:color w:val="1F2A44"/>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Georgia" w:hAnsi="Georgia"/>
      <w:b/>
      <w:bCs/>
      <w:i/>
      <w:color w:val="3550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