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The Frontier AI Price Wars</w:t>
      </w:r>
    </w:p>
    <w:p>
      <w:pPr>
        <w:spacing w:after="160"/>
      </w:pPr>
      <w:r>
        <w:rPr>
          <w:rFonts w:ascii="Calibri Light" w:hAnsi="Calibri Light"/>
          <w:b/>
          <w:i w:val="0"/>
          <w:color w:val="2F5496"/>
          <w:sz w:val="24"/>
        </w:rPr>
        <w:t>It reads as a price war among the labs. The one clear winner never fired a shot.</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5</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1</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cost per completed task</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 and the one clear winner</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One market, a spread past 30x, with two crowded ends and a hollow middle.</w:t>
      </w:r>
    </w:p>
    <w:p>
      <w:pPr>
        <w:spacing w:before="40" w:after="120"/>
      </w:pPr>
      <w:r>
        <w:drawing>
          <wp:inline xmlns:a="http://schemas.openxmlformats.org/drawingml/2006/main" xmlns:pic="http://schemas.openxmlformats.org/drawingml/2006/picture">
            <wp:extent cx="6309360" cy="2009526"/>
            <wp:docPr id="1" name="Picture 1"/>
            <wp:cNvGraphicFramePr>
              <a:graphicFrameLocks noChangeAspect="1"/>
            </wp:cNvGraphicFramePr>
            <a:graphic>
              <a:graphicData uri="http://schemas.openxmlformats.org/drawingml/2006/picture">
                <pic:pic>
                  <pic:nvPicPr>
                    <pic:cNvPr id="0" name="pw_pricing_ladder.png"/>
                    <pic:cNvPicPr/>
                  </pic:nvPicPr>
                  <pic:blipFill>
                    <a:blip r:embed="rId9"/>
                    <a:stretch>
                      <a:fillRect/>
                    </a:stretch>
                  </pic:blipFill>
                  <pic:spPr>
                    <a:xfrm>
                      <a:off x="0" y="0"/>
                      <a:ext cx="6309360" cy="2009526"/>
                    </a:xfrm>
                    <a:prstGeom prst="rect"/>
                  </pic:spPr>
                </pic:pic>
              </a:graphicData>
            </a:graphic>
          </wp:inline>
        </w:drawing>
      </w:r>
    </w:p>
    <w:p>
      <w:pPr>
        <w:spacing w:after="160"/>
      </w:pPr>
      <w:r>
        <w:rPr>
          <w:rFonts w:ascii="Calibri Light" w:hAnsi="Calibri Light"/>
          <w:b w:val="0"/>
          <w:i w:val="0"/>
          <w:color w:val="000000"/>
          <w:sz w:val="20"/>
        </w:rPr>
        <w:t>Four frontier labs are cutting prices to the bone, and the one clear winner is a company that never entered the fight: Databricks. It buys the inference the labs sell below cost, wraps it in data and workflow it already owns, and books the margin the labs are giving away. On the right unit of account, cost per completed task rather than price per token, a two-to-three-point reliability gap funds a five-times token premium, so the market splits into a barbell and the middle hollows out. This note builds that argument from the token up and names the winner it produces.</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Databricks: Brick by Brick (July 2026)</w:t>
      </w:r>
    </w:p>
    <w:p>
      <w:pPr>
        <w:spacing w:after="160"/>
      </w:pPr>
      <w:r>
        <w:rPr>
          <w:rFonts w:ascii="Calibri Light" w:hAnsi="Calibri Light"/>
          <w:b w:val="0"/>
          <w:i w:val="0"/>
          <w:color w:val="000000"/>
          <w:sz w:val="20"/>
        </w:rPr>
        <w:t>AI Compute and Power: The Buildout Is a Scarcity Trade (forthcoming)</w:t>
      </w:r>
    </w:p>
    <w:p>
      <w:pPr>
        <w:spacing w:after="200"/>
      </w:pPr>
      <w:r>
        <w:rPr>
          <w:rFonts w:ascii="Calibri Light" w:hAnsi="Calibri Light"/>
          <w:b w:val="0"/>
          <w:i/>
          <w:color w:val="595959"/>
          <w:sz w:val="17"/>
        </w:rPr>
        <w:t>Evidence tiers: T1, primary or SEC-grade. T2, PitchBook data and direct company statements. T3, vendor claims and trade press, discounted one tier on receipt. Figures not in our canonical dataset are flagged as our estimates and tiered.</w:t>
      </w:r>
    </w:p>
    <w:p>
      <w:r>
        <w:br w:type="page"/>
      </w:r>
    </w:p>
    <w:p>
      <w:pPr>
        <w:pStyle w:val="Heading2"/>
      </w:pPr>
      <w:r>
        <w:t>Key takeaways</w:t>
      </w:r>
    </w:p>
    <w:p>
      <w:pPr>
        <w:pStyle w:val="ListBullet"/>
        <w:spacing w:after="80"/>
      </w:pPr>
      <w:r>
        <w:rPr>
          <w:rFonts w:ascii="Calibri Light" w:hAnsi="Calibri Light"/>
          <w:b w:val="0"/>
          <w:i w:val="0"/>
          <w:color w:val="000000"/>
          <w:sz w:val="20"/>
        </w:rPr>
        <w:t>The one clear winner is not a model lab. It is Databricks, which never entered the war: it buys below-cost inference, resells it as data-and-workflow margin, and books a gain on every cut the labs inflict on each other. The unsettling corollary: the ~$3.5T shadow-bond market is, in effect, subsidizing the gross margin of a company not in the fight.</w:t>
      </w:r>
    </w:p>
    <w:p>
      <w:pPr>
        <w:pStyle w:val="ListBullet"/>
        <w:spacing w:after="80"/>
      </w:pPr>
      <w:r>
        <w:rPr>
          <w:rFonts w:ascii="Calibri Light" w:hAnsi="Calibri Light"/>
          <w:b w:val="0"/>
          <w:i w:val="0"/>
          <w:color w:val="000000"/>
          <w:sz w:val="20"/>
        </w:rPr>
        <w:t>The repricing looks like a price war and is mostly a segmentation event. Meta's Muse Spark 1.1 prices frontier-adjacent inference at roughly a quarter of the premium anchor (T1), but only Meta is structurally built to price a model near zero. OpenAI and Anthropic defend premium tiers; xAI is a forced participant.</w:t>
      </w:r>
    </w:p>
    <w:p>
      <w:pPr>
        <w:pStyle w:val="ListBullet"/>
        <w:spacing w:after="80"/>
      </w:pPr>
      <w:r>
        <w:rPr>
          <w:rFonts w:ascii="Calibri Light" w:hAnsi="Calibri Light"/>
          <w:b w:val="0"/>
          <w:i w:val="0"/>
          <w:color w:val="000000"/>
          <w:sz w:val="20"/>
        </w:rPr>
        <w:t>Headline token price is the wrong unit: buyers, and increasingly agents, purchase completed tasks. On cost per completed task, a two-to-three-point task-success gap fully funds Claude Opus 4.8's 4.8x per-attempt token premium over the cheapest tier. Reliability, not sticker price, is what sophisticated buyers pay for.</w:t>
      </w:r>
    </w:p>
    <w:p>
      <w:pPr>
        <w:pStyle w:val="ListBullet"/>
        <w:spacing w:after="80"/>
      </w:pPr>
      <w:r>
        <w:rPr>
          <w:rFonts w:ascii="Calibri Light" w:hAnsi="Calibri Light"/>
          <w:b w:val="0"/>
          <w:i w:val="0"/>
          <w:color w:val="000000"/>
          <w:sz w:val="20"/>
        </w:rPr>
        <w:t>Grok is the plot twist that changes nothing. xAI's mid-July Grok 4.5 refresh (vendor-reported, T3) adds native agentic computer-use and a real-time data path into the X firehose and Starlink telemetry no rival can replicate, still at $2 / $6, making Grok the value leader on paper. It does not win: capability and price are not the binding constraint, surface and unit economics are, and xAI has neither.</w:t>
      </w:r>
    </w:p>
    <w:p>
      <w:pPr>
        <w:pStyle w:val="ListBullet"/>
        <w:spacing w:after="80"/>
      </w:pPr>
      <w:r>
        <w:rPr>
          <w:rFonts w:ascii="Calibri Light" w:hAnsi="Calibri Light"/>
          <w:b w:val="0"/>
          <w:i w:val="0"/>
          <w:color w:val="000000"/>
          <w:sz w:val="20"/>
        </w:rPr>
        <w:t>Pricing is a physics problem before a strategy problem: output costs more than input because generation is bound by the same scarce high-bandwidth memory (HBM) the buildout is short of. A 4x cut in one generation outruns the cost curve, so the ~$3.5T private-credit market funds the gap, a solvency question deferred, not resolved.</w:t>
      </w:r>
    </w:p>
    <w:p>
      <w:pPr>
        <w:pStyle w:val="ListBullet"/>
        <w:spacing w:after="80"/>
      </w:pPr>
      <w:r>
        <w:rPr>
          <w:rFonts w:ascii="Calibri Light" w:hAnsi="Calibri Light"/>
          <w:b w:val="0"/>
          <w:i w:val="0"/>
          <w:color w:val="000000"/>
          <w:sz w:val="20"/>
        </w:rPr>
        <w:t>The repricing lands roughly three months before Anthropic's expected October S-1, the largest test of whether a premium franchise can defend price and enterprise attach in the most hostile tape available. It is the biggest tax on the $965B bull case, and the cleanest validation of it if Anthropic holds both.</w:t>
      </w:r>
    </w:p>
    <w:p>
      <w:pPr>
        <w:pStyle w:val="Heading2"/>
      </w:pPr>
      <w:r>
        <w:t>1. What you are buying: the technology behind a token price</w:t>
      </w:r>
    </w:p>
    <w:p>
      <w:pPr>
        <w:spacing w:after="140"/>
      </w:pPr>
      <w:r>
        <w:rPr>
          <w:rFonts w:ascii="Calibri Light" w:hAnsi="Calibri Light"/>
          <w:b w:val="0"/>
          <w:i w:val="0"/>
          <w:color w:val="000000"/>
          <w:sz w:val="20"/>
        </w:rPr>
        <w:t>Every claim below reduces to the unit. A model reads and writes in tokens, roughly three to four characters each, and a provider charges separately for input tokens (the prompt and context) and output tokens (the generated text), quoted per million.</w:t>
      </w:r>
    </w:p>
    <w:p>
      <w:pPr>
        <w:spacing w:after="140"/>
      </w:pPr>
      <w:r>
        <w:rPr>
          <w:rFonts w:ascii="Calibri Light" w:hAnsi="Calibri Light"/>
          <w:b w:val="0"/>
          <w:i w:val="0"/>
          <w:color w:val="000000"/>
          <w:sz w:val="20"/>
        </w:rPr>
        <w:t>Notice that output is priced far above input: Opus 4.8 at $5 / $25 charges 5x more to write than to read, Sol and Luna 6x. This is physics, not a margin gimmick. Reading a prompt processes all tokens in parallel in one pass (the prefill). Writing generates one token at a time, and each token requires a full forward pass that reads the entire model plus the growing conversation memory (the KV cache) out of high-bandwidth memory. Generation is therefore sequential and bound by memory bandwidth, not raw arithmetic: reading is cheap and parallel, writing is expensive and serial. The binding constraint on output cost is HBM bandwidth, the same scarce component the buildout competes for, which is why the price sheet and the data-center thesis are the same story.</w:t>
      </w:r>
    </w:p>
    <w:p>
      <w:pPr>
        <w:spacing w:after="140"/>
      </w:pPr>
      <w:r>
        <w:rPr>
          <w:rFonts w:ascii="Calibri Light" w:hAnsi="Calibri Light"/>
          <w:b w:val="0"/>
          <w:i w:val="0"/>
          <w:color w:val="000000"/>
          <w:sz w:val="20"/>
        </w:rPr>
        <w:t>Two consequences follow. First, utilization sets the true cost: providers batch many requests so one expensive read of the weights serves many at once, and higher utilization means lower cost per token. A price cut not matched by a hardware or utilization gain comes straight out of gross margin, so a lower number means better economics or a subsidy, and the two look identical on a price sheet. Second, a long context is not free even at a cheap input price: the KV cache grows with the context and lives in that same scarce memory, so Muse Spark's 1M-token window is costly to actually use at scale.</w:t>
      </w:r>
    </w:p>
    <w:p>
      <w:pPr>
        <w:spacing w:after="140"/>
      </w:pPr>
      <w:r>
        <w:rPr>
          <w:rFonts w:ascii="Calibri Light" w:hAnsi="Calibri Light"/>
          <w:b w:val="0"/>
          <w:i w:val="0"/>
          <w:color w:val="000000"/>
          <w:sz w:val="20"/>
        </w:rPr>
        <w:t>Now the step that reframes everything. Enterprise use is agentic: a model is not asked one question once. An agent plans, calls a tool, reads the result, re-plans, and repeats, often dozens of times, each step re-reading a growing context. Token consumption scales super-linearly with complexity and multiplies every time the agent fails and retries. The per-token price therefore tells you almost nothing about what a task costs: the loop, and the failure rate inside it, dominate.</w:t>
      </w:r>
    </w:p>
    <w:p>
      <w:pPr>
        <w:pStyle w:val="Heading2"/>
      </w:pPr>
      <w:r>
        <w:t>2. The unit of account: cost per completed task</w:t>
      </w:r>
    </w:p>
    <w:p>
      <w:pPr>
        <w:spacing w:after="140"/>
      </w:pPr>
      <w:r>
        <w:rPr>
          <w:rFonts w:ascii="Calibri Light" w:hAnsi="Calibri Light"/>
          <w:b w:val="0"/>
          <w:i w:val="0"/>
          <w:color w:val="000000"/>
          <w:sz w:val="20"/>
        </w:rPr>
        <w:t>Buyers purchase completed tasks, not tokens. The right unit is:</w:t>
      </w:r>
    </w:p>
    <w:p>
      <w:pPr>
        <w:spacing w:after="140"/>
      </w:pPr>
      <w:r>
        <w:rPr>
          <w:rFonts w:ascii="Calibri Light" w:hAnsi="Calibri Light"/>
          <w:b w:val="0"/>
          <w:i w:val="0"/>
          <w:color w:val="000000"/>
          <w:sz w:val="20"/>
        </w:rPr>
        <w:t>cost per completed task = (tokens_in x price_in + tokens_out x price_out) x expected attempts to success, at a fixed quality bar.</w:t>
      </w:r>
    </w:p>
    <w:p>
      <w:pPr>
        <w:spacing w:after="140"/>
      </w:pPr>
      <w:r>
        <w:rPr>
          <w:rFonts w:ascii="Calibri Light" w:hAnsi="Calibri Light"/>
          <w:b w:val="0"/>
          <w:i w:val="0"/>
          <w:color w:val="000000"/>
          <w:sz w:val="20"/>
        </w:rPr>
        <w:t>A model at a quarter of the price that needs three attempts is not cheaper. Take a representative agentic task of 60,000 input and 12,000 output tokens per attempt (our assumption, T2). Expected attempts equal 1/p, where p is the per-attempt success probability at a fixed quality bar.</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60k in / 12k out per attempt. Takeaway: the cheap tier wins on raw token arithmetic almost mechanically; the premium is funded elsewhere.</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bl>
    <w:p>
      <w:pPr>
        <w:spacing w:after="40"/>
      </w:pPr>
    </w:p>
    <w:p>
      <w:pPr>
        <w:spacing w:after="140"/>
      </w:pPr>
      <w:r>
        <w:rPr>
          <w:rFonts w:ascii="Calibri Light" w:hAnsi="Calibri Light"/>
          <w:b w:val="0"/>
          <w:i/>
          <w:color w:val="595959"/>
          <w:sz w:val="17"/>
        </w:rPr>
        <w:t>All prices T1; per-task figures our arithmetic, T2. Mythos omitted, not openly list-priced.</w:t>
      </w:r>
    </w:p>
    <w:p>
      <w:pPr>
        <w:spacing w:after="140"/>
      </w:pPr>
      <w:r>
        <w:rPr>
          <w:rFonts w:ascii="Calibri Light" w:hAnsi="Calibri Light"/>
          <w:b w:val="0"/>
          <w:i w:val="0"/>
          <w:color w:val="000000"/>
          <w:sz w:val="20"/>
        </w:rPr>
        <w:t>On tokens alone the cheap tier wins almost mechanically: Opus at $0.60 per attempt beats Muse Spark at $0.126 only if its success rate exceeds Muse's by 4.8x, which no frontier gap delivers. But a failed agentic attempt is not free. It consumes reviewer time, breaks downstream automation, and erodes trust in the seat. Assign a conservative $17 remediation cost per failed attempt (our assumption, T2). The fully loaded cost, (cost per attempt + $17 x (1 - p)) / p, inverts the ranking: Opus at 90% costs $2.56 per completed task; Muse Spark at 75% costs $5.83, 2.3x more, despite tokens at a quarter the price. Break-even is p = 87.6% for Muse, so a 2.4-point reliability gap funds the 4.8x token premium.</w:t>
      </w:r>
    </w:p>
    <w:p>
      <w:pPr>
        <w:spacing w:after="140"/>
      </w:pPr>
      <w:r>
        <w:rPr>
          <w:rFonts w:ascii="Calibri Light" w:hAnsi="Calibri Light"/>
          <w:b w:val="0"/>
          <w:i w:val="0"/>
          <w:color w:val="000000"/>
          <w:sz w:val="20"/>
        </w:rPr>
        <w:t>The conclusion does not rest on the $17 estimate, and the sophisticated reader's first move is to attack it. Solve instead for the failure cost at which the premium breaks even: at a 15-point reliability edge it pays once failure costs more than about $2.24 per attempt, at a 10-point edge above $3.67, at a 5-point edge above $7.93, and on tokens alone it never pays. The premium is defensible if and only if enterprise failure is expensive, and at any realistic edge it needs failure to cost only a few dollars, which production agentic failures always exceed.</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Takeaway: curves cross in a narrow 85-to-90% band; below it token price dominates, above it reliability dominates.</w:t>
      </w:r>
    </w:p>
    <w:p>
      <w:pPr>
        <w:spacing w:before="40" w:after="120"/>
      </w:pPr>
      <w:r>
        <w:drawing>
          <wp:inline xmlns:a="http://schemas.openxmlformats.org/drawingml/2006/main" xmlns:pic="http://schemas.openxmlformats.org/drawingml/2006/picture">
            <wp:extent cx="6309360" cy="2339895"/>
            <wp:docPr id="2" name="Picture 2"/>
            <wp:cNvGraphicFramePr>
              <a:graphicFrameLocks noChangeAspect="1"/>
            </wp:cNvGraphicFramePr>
            <a:graphic>
              <a:graphicData uri="http://schemas.openxmlformats.org/drawingml/2006/picture">
                <pic:pic>
                  <pic:nvPicPr>
                    <pic:cNvPr id="0" name="pw_cost_curves.png"/>
                    <pic:cNvPicPr/>
                  </pic:nvPicPr>
                  <pic:blipFill>
                    <a:blip r:embed="rId10"/>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Takeaway: above the curve the premium is cheaper per completed task, and the curve sits at a few dollars across the whole realistic range.</w:t>
      </w:r>
    </w:p>
    <w:p>
      <w:pPr>
        <w:spacing w:before="40" w:after="120"/>
      </w:pPr>
      <w:r>
        <w:drawing>
          <wp:inline xmlns:a="http://schemas.openxmlformats.org/drawingml/2006/main" xmlns:pic="http://schemas.openxmlformats.org/drawingml/2006/picture">
            <wp:extent cx="6309360" cy="1946675"/>
            <wp:docPr id="3" name="Picture 3"/>
            <wp:cNvGraphicFramePr>
              <a:graphicFrameLocks noChangeAspect="1"/>
            </wp:cNvGraphicFramePr>
            <a:graphic>
              <a:graphicData uri="http://schemas.openxmlformats.org/drawingml/2006/picture">
                <pic:pic>
                  <pic:nvPicPr>
                    <pic:cNvPr id="0" name="pw_sensitivity.png"/>
                    <pic:cNvPicPr/>
                  </pic:nvPicPr>
                  <pic:blipFill>
                    <a:blip r:embed="rId11"/>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Test: by September 30, 2026, if independent (non-vendor) cost-per-completed-task evaluations show the cheap tier matching premium task-success within 2 points at scale, the spine of this note breaks.</w:t>
      </w:r>
    </w:p>
    <w:p>
      <w:pPr>
        <w:pStyle w:val="Heading2"/>
      </w:pPr>
      <w:r>
        <w:t>3. Margin mechanics: who can subsidize, and is this a war?</w:t>
      </w:r>
    </w:p>
    <w:p>
      <w:pPr>
        <w:spacing w:after="140"/>
      </w:pPr>
      <w:r>
        <w:rPr>
          <w:rFonts w:ascii="Calibri Light" w:hAnsi="Calibri Light"/>
          <w:b w:val="0"/>
          <w:i w:val="0"/>
          <w:color w:val="000000"/>
          <w:sz w:val="20"/>
        </w:rPr>
        <w:t>A 4x to 5x output cut wrecks model-layer margin. Assume a frontier model serves at roughly $6 to $8 per million output tokens (our estimate, T2; no serving-cost disclosures exist at T1). At $25 output that is roughly a 70% gross margin; at the $4.25 to $6 floor it is negative, about negative 17% at $6 and negative 65% at $4.25 at the midpoint cost. A 4x cut in one generation outruns the 2x-to-3x per-generation serving-cost decline (T3), so someone funds the gap. Position by position:</w:t>
      </w:r>
    </w:p>
    <w:p>
      <w:pPr>
        <w:spacing w:after="140"/>
      </w:pPr>
      <w:r>
        <w:rPr>
          <w:rFonts w:ascii="Calibri Light" w:hAnsi="Calibri Light"/>
          <w:b/>
          <w:i w:val="0"/>
          <w:color w:val="000000"/>
          <w:sz w:val="20"/>
        </w:rPr>
        <w:t>Meta: commoditize the complement, the one structural price warrior.</w:t>
      </w:r>
      <w:r>
        <w:rPr>
          <w:rFonts w:ascii="Calibri Light" w:hAnsi="Calibri Light"/>
          <w:b w:val="0"/>
          <w:i w:val="0"/>
          <w:color w:val="000000"/>
          <w:sz w:val="20"/>
        </w:rPr>
        <w:t xml:space="preserve"> Meta does not need model margin. Muse Spark priced near or below cost drives the complement toward zero while Meta monetizes the surface, the ad load, and its own silicon. It is durable because the funding source is an ads cash engine, not external capital.</w:t>
      </w:r>
    </w:p>
    <w:p>
      <w:pPr>
        <w:spacing w:after="140"/>
      </w:pPr>
      <w:r>
        <w:rPr>
          <w:rFonts w:ascii="Calibri Light" w:hAnsi="Calibri Light"/>
          <w:b/>
          <w:i w:val="0"/>
          <w:color w:val="000000"/>
          <w:sz w:val="20"/>
        </w:rPr>
        <w:t>xAI: the capability shock that does not fix the economics.</w:t>
      </w:r>
      <w:r>
        <w:rPr>
          <w:rFonts w:ascii="Calibri Light" w:hAnsi="Calibri Light"/>
          <w:b w:val="0"/>
          <w:i w:val="0"/>
          <w:color w:val="000000"/>
          <w:sz w:val="20"/>
        </w:rPr>
        <w:t xml:space="preserve"> Grok 4.5 lists at $2 / $6, and xAI's mid-July refresh (vendor-reported, T3, discounted one tier on receipt) is a real capability jump: native computer-use and tool-calling ("Grok Agent"), expanded multimodal input, and a real-time data path into the X firehose and Starlink telemetry that no competitor can replicate, plus a claim of frontier-parity agentic reasoning at the same price. On paper Grok is now the value leader: frontier-adjacent capability and a unique real-time corpus at a third of the premium rate. And it changes nothing about who wins, because the AI segment still sits on $3.2B ARR against a $6.36B FY25 operating loss (T2), inside an SPCX structure marked near $1.97T. The subsidy runs through the SpaceX and Starlink cross-flow: a balance-sheet decision, not a business model. A better cheap model does not close a $6B loss.</w:t>
      </w:r>
    </w:p>
    <w:p>
      <w:pPr>
        <w:spacing w:after="140"/>
      </w:pPr>
      <w:r>
        <w:rPr>
          <w:rFonts w:ascii="Calibri Light" w:hAnsi="Calibri Light"/>
          <w:b/>
          <w:i w:val="0"/>
          <w:color w:val="000000"/>
          <w:sz w:val="20"/>
        </w:rPr>
        <w:t>OpenAI: segmentation, not a race to zero.</w:t>
      </w:r>
      <w:r>
        <w:rPr>
          <w:rFonts w:ascii="Calibri Light" w:hAnsi="Calibri Light"/>
          <w:b w:val="0"/>
          <w:i w:val="0"/>
          <w:color w:val="000000"/>
          <w:sz w:val="20"/>
        </w:rPr>
        <w:t xml:space="preserve"> The tell is Sol at $5 / $30, above Opus on output. Luna harvests price-sensitive volume at $1 / $6 while Sol defends the premium. With roughly $25B net ARR, about 900M weekly actives, and Codex above 1.5M weekly actives (T2), OpenAI needs the premium tier; its 34.1x multiple cannot ride $6 output.</w:t>
      </w:r>
    </w:p>
    <w:p>
      <w:pPr>
        <w:spacing w:after="140"/>
      </w:pPr>
      <w:r>
        <w:rPr>
          <w:rFonts w:ascii="Calibri Light" w:hAnsi="Calibri Light"/>
          <w:b/>
          <w:i w:val="0"/>
          <w:color w:val="000000"/>
          <w:sz w:val="20"/>
        </w:rPr>
        <w:t>Anthropic: defends a two-tier premium and declines to chase.</w:t>
      </w:r>
      <w:r>
        <w:rPr>
          <w:rFonts w:ascii="Calibri Light" w:hAnsi="Calibri Light"/>
          <w:b w:val="0"/>
          <w:i w:val="0"/>
          <w:color w:val="000000"/>
          <w:sz w:val="20"/>
        </w:rPr>
        <w:t xml:space="preserve"> Opus 4.8 holds at $5 / $25, with Claude Mythos above it as the restricted anchor (not openly list-priced; our estimate is an output premium of roughly 1.5x to 2x Opus, T3). Against $47B gross run-rate ARR, a 20.5x multiple on a $965B mark, and a first quarterly operating profit of roughly $559M in Q2 (T2, and note it excludes stock-based compensation and rides a ramp discount on the SpaceX compute deal, so it flatters steady-state economics), the strategy is one thing: hold price, deepen the premium, prove attach.</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$6-to-$8 serving cost. Takeaway: every output price below roughly $8 is gross-margin negative; the floor tier is priced below cost.</w:t>
      </w:r>
    </w:p>
    <w:p>
      <w:pPr>
        <w:spacing w:before="40" w:after="120"/>
      </w:pPr>
      <w:r>
        <w:drawing>
          <wp:inline xmlns:a="http://schemas.openxmlformats.org/drawingml/2006/main" xmlns:pic="http://schemas.openxmlformats.org/drawingml/2006/picture">
            <wp:extent cx="6309360" cy="2102464"/>
            <wp:docPr id="4" name="Picture 4"/>
            <wp:cNvGraphicFramePr>
              <a:graphicFrameLocks noChangeAspect="1"/>
            </wp:cNvGraphicFramePr>
            <a:graphic>
              <a:graphicData uri="http://schemas.openxmlformats.org/drawingml/2006/picture">
                <pic:pic>
                  <pic:nvPicPr>
                    <pic:cNvPr id="0" name="pw_margin_vs_price.png"/>
                    <pic:cNvPicPr/>
                  </pic:nvPicPr>
                  <pic:blipFill>
                    <a:blip r:embed="rId12"/>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So, war or segmentation? Our read, committed: a segmentation play at the premium end and a genuine price war only at the commodity floor. Two of four players defend premium tiers, Anthropic extends the premium upward with Mythos, Meta runs a complement-commoditization play that looks like war, and xAI follows price without the economics, capability refresh notwithstanding. Our working split of enterprise agentic spend (our estimate, T2): roughly 55% to 65% of dollars flow to reliability-gated, high-stakes work where the premium is defensible, against 35% to 45% to failure-tolerant commodity work that carries the larger share of raw throughput. The two ends split volume and value in opposite directions.</w:t>
      </w:r>
    </w:p>
    <w:p>
      <w:pPr>
        <w:spacing w:after="140"/>
      </w:pPr>
      <w:r>
        <w:rPr>
          <w:rFonts w:ascii="Calibri Light" w:hAnsi="Calibri Light"/>
          <w:b w:val="0"/>
          <w:i w:val="0"/>
          <w:color w:val="000000"/>
          <w:sz w:val="20"/>
        </w:rPr>
        <w:t>Test: by August 31, 2026, if either Anthropic or OpenAI cuts flagship output pricing by 15% or more, the segmentation read fails and this becomes a war note. Our lean: Anthropic holds. P(holds) = 70%.</w:t>
      </w:r>
    </w:p>
    <w:p>
      <w:pPr>
        <w:pStyle w:val="Heading2"/>
      </w:pPr>
      <w:r>
        <w:t>4. The barbell and the squeezed middle</w:t>
      </w:r>
    </w:p>
    <w:p>
      <w:pPr>
        <w:spacing w:after="140"/>
      </w:pPr>
      <w:r>
        <w:rPr>
          <w:rFonts w:ascii="Calibri Light" w:hAnsi="Calibri Light"/>
          <w:b w:val="0"/>
          <w:i w:val="0"/>
          <w:color w:val="000000"/>
          <w:sz w:val="20"/>
        </w:rPr>
        <w:t>Repricing events rarely kill the top or the bottom; they kill the middle. Undifferentiated mid-tier access, neither cheapest useful inference nor most reliable premium surface, reprices to commodity within quarters, because Luna and Muse Spark define a new floor for good enough and the premium tier defines a reliability bar the middle cannot reach. Capital and revenue migrate to the ends.</w:t>
      </w:r>
    </w:p>
    <w:p>
      <w:pPr>
        <w:spacing w:after="140"/>
      </w:pPr>
      <w:r>
        <w:rPr>
          <w:rFonts w:ascii="Calibri Light" w:hAnsi="Calibri Light"/>
          <w:b w:val="0"/>
          <w:i w:val="0"/>
          <w:color w:val="000000"/>
          <w:sz w:val="20"/>
        </w:rPr>
        <w:t>The losers are named. Model resellers and gateways, whose margin was the spread between list price and enterprise inertia, watch it go negative. Legacy vertical SaaS, whose moat was per-seat workflow lock-in, collapses from below when an agent at $0.14 to $2.56 per completed task executes the workflow directly. The mid-tier model layer and the seat-priced application middle are the same trade: undifferentiated capacity priced above its replacement cost.</w:t>
      </w:r>
    </w:p>
    <w:p>
      <w:pPr>
        <w:spacing w:after="140"/>
      </w:pPr>
      <w:r>
        <w:rPr>
          <w:rFonts w:ascii="Calibri Light" w:hAnsi="Calibri Light"/>
          <w:b w:val="0"/>
          <w:i w:val="0"/>
          <w:color w:val="000000"/>
          <w:sz w:val="20"/>
        </w:rPr>
        <w:t>Test: by December 31, 2026, at least one known model reseller or gateway repricing to usage-plus-thin-margin, exiting, or being acquired below its last mark would confirm the squeeze.</w:t>
      </w:r>
    </w:p>
    <w:p>
      <w:pPr>
        <w:pStyle w:val="Heading2"/>
      </w:pPr>
      <w:r>
        <w:t>5. Market implications and the one clear winner</w:t>
      </w:r>
    </w:p>
    <w:p>
      <w:pPr>
        <w:spacing w:after="60"/>
      </w:pPr>
      <w:r>
        <w:rPr>
          <w:rFonts w:ascii="Calibri Light" w:hAnsi="Calibri Light"/>
          <w:b/>
          <w:i w:val="0"/>
          <w:color w:val="000000"/>
          <w:sz w:val="21"/>
        </w:rPr>
        <w:t>The one clear winner</w:t>
      </w:r>
    </w:p>
    <w:p>
      <w:pPr>
        <w:spacing w:after="140"/>
      </w:pPr>
      <w:r>
        <w:rPr>
          <w:rFonts w:ascii="Calibri Light" w:hAnsi="Calibri Light"/>
          <w:b w:val="0"/>
          <w:i w:val="0"/>
          <w:color w:val="000000"/>
          <w:sz w:val="20"/>
        </w:rPr>
        <w:t>Step back from the model layer and the winner is obvious, and it is not a model lab. It is Databricks. Databricks buys the inference the labs sell below cost, wraps it in data and workflow it owns, and books the margin they give away. FCF positive at $6.9B ARR growing 80% (T2), it fired no shot and carries no model-layer loss, and every price cut in this war lowers its cost of goods. Here is the part that should unsettle a credit desk: the ~$3.5T shadow-bond market is funding a price war whose clearest beneficiary is a company not fighting it. Debt raised against chips subsidizes tokens Databricks buys cheap and resells as workflow, so the marginal AI lender is, in effect, underwriting its gross margin. The labs are in a knife fight; Databricks owns the building.</w:t>
      </w:r>
    </w:p>
    <w:p>
      <w:pPr>
        <w:spacing w:after="60"/>
      </w:pPr>
      <w:r>
        <w:rPr>
          <w:rFonts w:ascii="Calibri Light" w:hAnsi="Calibri Light"/>
          <w:b/>
          <w:i w:val="0"/>
          <w:color w:val="000000"/>
          <w:sz w:val="21"/>
        </w:rPr>
        <w:t>The margin moves down the stack</w:t>
      </w:r>
    </w:p>
    <w:p>
      <w:pPr>
        <w:spacing w:after="140"/>
      </w:pPr>
      <w:r>
        <w:rPr>
          <w:rFonts w:ascii="Calibri Light" w:hAnsi="Calibri Light"/>
          <w:b w:val="0"/>
          <w:i w:val="0"/>
          <w:color w:val="000000"/>
          <w:sz w:val="20"/>
        </w:rPr>
        <w:t>That is the general form of the winner. Inference-cost deflation is margin-accretive to the application and SaaS layer and margin-dilutive to the model layer: every dollar cut from output pricing transfers to whoever owns the workflow, application software with real distribution, agent-orchestration vendors who arbitrage the barbell, and buyers themselves. The losers are the undifferentiated model vendors and the mid-tier of Section 4.</w:t>
      </w:r>
    </w:p>
    <w:p>
      <w:pPr>
        <w:spacing w:after="60"/>
      </w:pPr>
      <w:r>
        <w:rPr>
          <w:rFonts w:ascii="Calibri Light" w:hAnsi="Calibri Light"/>
          <w:b/>
          <w:i w:val="0"/>
          <w:color w:val="000000"/>
          <w:sz w:val="21"/>
        </w:rPr>
        <w:t>Picks-and-shovels are insulated</w:t>
      </w:r>
    </w:p>
    <w:p>
      <w:pPr>
        <w:spacing w:after="140"/>
      </w:pPr>
      <w:r>
        <w:rPr>
          <w:rFonts w:ascii="Calibri Light" w:hAnsi="Calibri Light"/>
          <w:b w:val="0"/>
          <w:i w:val="0"/>
          <w:color w:val="000000"/>
          <w:sz w:val="20"/>
        </w:rPr>
        <w:t>HBM and memory, wafer fab equipment, data-center power, cooling, and permitted baseload generation are priced on capacity scarcity, not model margin, the same memory-bandwidth wall of Section 1. A model-layer price war does not cancel compute demand; at the volumes the cheap tier targets, it raises it. The complex is insulated from a pricing shock but exposed to a financing shock.</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Takeaway: the layer cutting prices is the layer losing money; the layer selling scarcity is not in the war.</w:t>
      </w:r>
    </w:p>
    <w:p>
      <w:pPr>
        <w:spacing w:before="40" w:after="120"/>
      </w:pPr>
      <w:r>
        <w:drawing>
          <wp:inline xmlns:a="http://schemas.openxmlformats.org/drawingml/2006/main" xmlns:pic="http://schemas.openxmlformats.org/drawingml/2006/picture">
            <wp:extent cx="6309360" cy="1929047"/>
            <wp:docPr id="5" name="Picture 5"/>
            <wp:cNvGraphicFramePr>
              <a:graphicFrameLocks noChangeAspect="1"/>
            </wp:cNvGraphicFramePr>
            <a:graphic>
              <a:graphicData uri="http://schemas.openxmlformats.org/drawingml/2006/picture">
                <pic:pic>
                  <pic:nvPicPr>
                    <pic:cNvPr id="0" name="pw_layer_economics.png"/>
                    <pic:cNvPicPr/>
                  </pic:nvPicPr>
                  <pic:blipFill>
                    <a:blip r:embed="rId13"/>
                    <a:stretch>
                      <a:fillRect/>
                    </a:stretch>
                  </pic:blipFill>
                  <pic:spPr>
                    <a:xfrm>
                      <a:off x="0" y="0"/>
                      <a:ext cx="6309360" cy="1929047"/>
                    </a:xfrm>
                    <a:prstGeom prst="rect"/>
                  </pic:spPr>
                </pic:pic>
              </a:graphicData>
            </a:graphic>
          </wp:inline>
        </w:drawing>
      </w:r>
    </w:p>
    <w:p>
      <w:pPr>
        <w:spacing w:after="60"/>
      </w:pPr>
      <w:r>
        <w:rPr>
          <w:rFonts w:ascii="Calibri Light" w:hAnsi="Calibri Light"/>
          <w:b/>
          <w:i w:val="0"/>
          <w:color w:val="000000"/>
          <w:sz w:val="21"/>
        </w:rPr>
        <w:t>The financing tail wags the pricing dog</w:t>
      </w:r>
    </w:p>
    <w:p>
      <w:pPr>
        <w:spacing w:after="140"/>
      </w:pPr>
      <w:r>
        <w:rPr>
          <w:rFonts w:ascii="Calibri Light" w:hAnsi="Calibri Light"/>
          <w:b w:val="0"/>
          <w:i w:val="0"/>
          <w:color w:val="000000"/>
          <w:sz w:val="20"/>
        </w:rPr>
        <w:t>The ~$3.5T private-credit and shadow-bond market is the marginal source of AI capital: labs price under serving cost because debt funds the gap. Anthropic's roughly $35B chip-bond stack from June (T2) is the template; xAI's cross-subsidy is the same mechanism with a corporate wrapper. Price wars funded by credit end when the credit reprices, not when a margin breaks, so the covenant is the channel's willingness to keep funding negative-margin token sales. That is why the price war and the IPO question are the same question.</w:t>
      </w:r>
    </w:p>
    <w:p>
      <w:pPr>
        <w:spacing w:after="60"/>
      </w:pPr>
      <w:r>
        <w:rPr>
          <w:rFonts w:ascii="Calibri Light" w:hAnsi="Calibri Light"/>
          <w:b/>
          <w:i w:val="0"/>
          <w:color w:val="000000"/>
          <w:sz w:val="21"/>
        </w:rPr>
        <w:t>The IPO intersection</w:t>
      </w:r>
    </w:p>
    <w:p>
      <w:pPr>
        <w:spacing w:after="140"/>
      </w:pPr>
      <w:r>
        <w:rPr>
          <w:rFonts w:ascii="Calibri Light" w:hAnsi="Calibri Light"/>
          <w:b w:val="0"/>
          <w:i w:val="0"/>
          <w:color w:val="000000"/>
          <w:sz w:val="20"/>
        </w:rPr>
        <w:t>The repricing lands roughly three months before Anthropic's expected October S-1, which forces open what private markets have not seen: model-layer gross margin, revenue mix, and any enterprise attach. Filing at a $965B mark and 20.5x gross run-rate ARR while a rival prices comparable-claim inference at a quarter of your rate is the hardest possible setup, and the single largest tax on the bull case. The inverse is as sharp: if Anthropic holds price and attach through the window, the premium thesis is validated under live fire. The gross-margin page, not any benchmark, is the most repriced disclosure in the filing.</w:t>
      </w:r>
    </w:p>
    <w:p>
      <w:pPr>
        <w:spacing w:after="60"/>
      </w:pPr>
      <w:r>
        <w:rPr>
          <w:rFonts w:ascii="Calibri Light" w:hAnsi="Calibri Light"/>
          <w:b/>
          <w:i w:val="0"/>
          <w:color w:val="000000"/>
          <w:sz w:val="21"/>
        </w:rPr>
        <w:t>Public- and private-market expression</w:t>
      </w:r>
    </w:p>
    <w:p>
      <w:pPr>
        <w:spacing w:after="140"/>
      </w:pPr>
      <w:r>
        <w:rPr>
          <w:rFonts w:ascii="Calibri Light" w:hAnsi="Calibri Light"/>
          <w:b w:val="0"/>
          <w:i w:val="0"/>
          <w:color w:val="000000"/>
          <w:sz w:val="20"/>
        </w:rPr>
        <w:t>Public books: long the buildout (memory and HBM, wafer fab equipment, power and cooling, permitted baseload), insulated from model margin; watch legacy vertical-SaaS net revenue retention as the first displacement signal, which shows up before logo churn (directional reads, not recommendations). Private books: the Section 4 losers reprice down, model wrappers and gateways facing a down-round or wind-down; the app, orchestration, and data layer reprice up on every supplier cut; holders of Anthropic or OpenAI stakes face a secondary-bid discount into the S-1 window until attach resolves; and the ~$3.5T credit channel is a covenant many allocators already hold, now correlated with the model-layer price war.</w:t>
      </w:r>
    </w:p>
    <w:p>
      <w:pPr>
        <w:spacing w:after="140"/>
      </w:pPr>
      <w:r>
        <w:rPr>
          <w:rFonts w:ascii="Calibri Light" w:hAnsi="Calibri Light"/>
          <w:b w:val="0"/>
          <w:i w:val="0"/>
          <w:color w:val="000000"/>
          <w:sz w:val="20"/>
        </w:rPr>
        <w:t>Test: by January 31, 2027, an AI-exposed private-credit vehicle disclosing markdowns or tighter terms on chip-backed paper would confirm the financing-fragility read; a second $30B-plus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rarely pay per token. They pay in a flat subscription (the roughly $20-per-month tier now standard, our reading of the market, T3), in attention and data (the free tier, monetized by advertising, which is Meta's model), or invisibly, through AI folded into a subscription they already hold. The per-token war reaches the consumer only indirectly but governs everything they are offered.</w:t>
      </w:r>
    </w:p>
    <w:p>
      <w:pPr>
        <w:spacing w:after="140"/>
      </w:pPr>
      <w:r>
        <w:rPr>
          <w:rFonts w:ascii="Calibri Light" w:hAnsi="Calibri Light"/>
          <w:b w:val="0"/>
          <w:i w:val="0"/>
          <w:color w:val="000000"/>
          <w:sz w:val="20"/>
        </w:rPr>
        <w:t>The central consequence: cheaper inference makes the free tier good enough. When serving a capable model costs a fraction of a year ago, the rational move is to give more away, because the free tier is the acquisition funnel. The result is capability inflation at the free tier and willingness-to-pay compression at the paid tier. This is the mirror of the enterprise story: enterprises pay for measurable reliability, consumers largely will not pay for quality they cannot perceive. The consumer market splits along the same barbell: a free, ad-and-data-monetized tier where Meta is structurally advantaged, and a premium capability bundle (the agent that books, buys, files, and codes) sold as a subscription and justified by task completion. A paid chatbot that only answers questions is the consumer squeezed middle. Two second-order effects: as prices fall the payment shifts from cash to data and attention, raising the salience of privacy and the ad model; and distribution decides the consumer war more than quality, since users will not switch assistants for a difference they cannot feel.</w:t>
      </w:r>
    </w:p>
    <w:p>
      <w:pPr>
        <w:spacing w:after="140"/>
      </w:pPr>
      <w:r>
        <w:rPr>
          <w:rFonts w:ascii="Calibri Light" w:hAnsi="Calibri Light"/>
          <w:b w:val="0"/>
          <w:i w:val="0"/>
          <w:color w:val="000000"/>
          <w:sz w:val="20"/>
        </w:rPr>
        <w:t>Test: by November 30, 2026, at least one consumer AI provider materially raises free-tier capability or discloses paid conversion or ARPU under pressure. Our lean: free-tier expansion first. P = 60%.</w:t>
      </w:r>
    </w:p>
    <w:p>
      <w:pPr>
        <w:pStyle w:val="Heading2"/>
      </w:pPr>
      <w:r>
        <w:t>7. The surface decides</w:t>
      </w:r>
    </w:p>
    <w:p>
      <w:pPr>
        <w:spacing w:after="140"/>
      </w:pPr>
      <w:r>
        <w:rPr>
          <w:rFonts w:ascii="Calibri Light" w:hAnsi="Calibri Light"/>
          <w:b w:val="0"/>
          <w:i w:val="0"/>
          <w:color w:val="000000"/>
          <w:sz w:val="20"/>
        </w:rPr>
        <w:t>The war looks like a pricing table but is decided on the desktop and the phone. OpenAI's ChatGPT Work and Codex superapp (browser, computer use, above 1.5M weekly Codex actives, T2) and Anthropic's Claude Cowork compete for the enterprise-agent seat: the persistent, permissioned surface through which agents touch company systems. Whoever owns the seat owns task routing, and task routing decides which model runs at which tier for which task. Quality deltas matter less because the surface owner routes silently between tiers, escalating to Opus or Mythos for the high-stakes step and dropping to the floor for the cheap one, capturing the barbell internally. This is why Grok's refresh does not win: a better cheap model with a unique data moat is still a model, and xAI has no enterprise seat to route it through and no cash engine to outlast the incumbents. Cheap tokens win benchmarks and spot volume, which churn on the next price sheet; seat-level reliability, admin tooling, and audit trails are what enterprises cannot switch quarterly. The end state is two or three surface owners buying inference, including one another's, at the floor price, while Databricks sells the workflow on top and takes a cut of all of it.</w:t>
      </w:r>
    </w:p>
    <w:p>
      <w:pPr>
        <w:spacing w:after="140"/>
      </w:pPr>
      <w:r>
        <w:rPr>
          <w:rFonts w:ascii="Calibri Light" w:hAnsi="Calibri Light"/>
          <w:b w:val="0"/>
          <w:i w:val="0"/>
          <w:color w:val="000000"/>
          <w:sz w:val="20"/>
        </w:rPr>
        <w:t>Test: by September 30, 2026, the first disclosed enterprise-agent seat or attach metric will show whether the surface thesis is measurable. Trivial seats (below 100k) at both OpenAI and Anthropic would mean the surface war is earlier than we think.</w:t>
      </w:r>
    </w:p>
    <w:p>
      <w:pPr>
        <w:pStyle w:val="Heading2"/>
      </w:pPr>
      <w:r>
        <w:t>What would change the call</w:t>
      </w:r>
    </w:p>
    <w:p>
      <w:pPr>
        <w:spacing w:after="140"/>
      </w:pPr>
      <w:r>
        <w:rPr>
          <w:rFonts w:ascii="Calibri Light" w:hAnsi="Calibri Light"/>
          <w:b w:val="0"/>
          <w:i w:val="0"/>
          <w:color w:val="000000"/>
          <w:sz w:val="20"/>
        </w:rPr>
        <w:t>The winner call breaks if Databricks' net revenue retention or FCF turns, or if a lab builds the data-and-workflow layer Databricks owns. The segmentation call breaks on two counters: if agents learn to self-correct cheaply, remediation cost collapses toward zero and the premium with it (the Section 2 sensitivity cuts both ways); or if Meta, or a capability-upgraded xAI, converts its cheap model and real-time data moat into a credible enterprise surface, the premium loses its refuge. The dated calls are where we would see these first: Anthropic's flagship pricing by August 31; the first enterprise-agent seat or attach metric by September 30; the first consumer free-tier or ARPU signal by November 30; the shadow-bond channel's terms on chip-backed paper into 2027; and, above all, Anthropic's October S-1, whose model-layer gross-margin page converts most of this note from estimate to fact.</w:t>
      </w:r>
    </w:p>
    <w:p>
      <w:pPr>
        <w:pStyle w:val="Heading2"/>
      </w:pPr>
      <w:r>
        <w:t>References</w:t>
      </w:r>
    </w:p>
    <w:p>
      <w:pPr>
        <w:pStyle w:val="ListNumber"/>
        <w:spacing w:after="80"/>
      </w:pPr>
      <w:r>
        <w:rPr>
          <w:rFonts w:ascii="Calibri Light" w:hAnsi="Calibri Light"/>
          <w:b w:val="0"/>
          <w:i w:val="0"/>
          <w:color w:val="000000"/>
          <w:sz w:val="20"/>
        </w:rPr>
        <w:t>Published API price lists: Anthropic (Claude Opus 4.8), OpenAI (GPT-5.6 Sol, GPT-5.6 Luna), xAI (Grok 4.5), Meta (Muse Spark 1.1), July 2026. List prices T1; performance claims T3. Claude Mythos is restricted-access; its pricing is not public and our premium estimate is T3.</w:t>
      </w:r>
    </w:p>
    <w:p>
      <w:pPr>
        <w:pStyle w:val="ListNumber"/>
        <w:spacing w:after="80"/>
      </w:pPr>
      <w:r>
        <w:rPr>
          <w:rFonts w:ascii="Calibri Light" w:hAnsi="Calibri Light"/>
          <w:b w:val="0"/>
          <w:i w:val="0"/>
          <w:color w:val="000000"/>
          <w:sz w:val="20"/>
        </w:rPr>
        <w:t>Meta announcement, Muse Spark 1.1 agent-reasoning and 1M-context claims, July 2026. Vendor-reported, T3.</w:t>
      </w:r>
    </w:p>
    <w:p>
      <w:pPr>
        <w:pStyle w:val="ListNumber"/>
        <w:spacing w:after="80"/>
      </w:pPr>
      <w:r>
        <w:rPr>
          <w:rFonts w:ascii="Calibri Light" w:hAnsi="Calibri Light"/>
          <w:b w:val="0"/>
          <w:i w:val="0"/>
          <w:color w:val="000000"/>
          <w:sz w:val="20"/>
        </w:rPr>
        <w:t>xAI mid-July Grok 4.5 capability refresh: native computer-use and tool-calling, multimodal input, real-time X and Starlink data path, frontier-parity agentic-reasoning claim. Vendor-reported, T3, discounted one tier.</w:t>
      </w:r>
    </w:p>
    <w:p>
      <w:pPr>
        <w:pStyle w:val="ListNumber"/>
        <w:spacing w:after="80"/>
      </w:pPr>
      <w:r>
        <w:rPr>
          <w:rFonts w:ascii="Calibri Light" w:hAnsi="Calibri Light"/>
          <w:b w:val="0"/>
          <w:i w:val="0"/>
          <w:color w:val="000000"/>
          <w:sz w:val="20"/>
        </w:rPr>
        <w:t>PitchBook company datasets: Anthropic ($965B mark, $47B gross run-rate ARR, Q2 operating profit ~$559M adjusted); OpenAI ($852B, ~$25B net ARR, weekly actives); xAI AI-segment ARR ($3.2B) and FY25 operating loss (-$6.36B); SPCX ~$1.97T. July 2026. T2/T3.</w:t>
      </w:r>
    </w:p>
    <w:p>
      <w:pPr>
        <w:pStyle w:val="ListNumber"/>
        <w:spacing w:after="80"/>
      </w:pPr>
      <w:r>
        <w:rPr>
          <w:rFonts w:ascii="Calibri Light" w:hAnsi="Calibri Light"/>
          <w:b w:val="0"/>
          <w:i w:val="0"/>
          <w:color w:val="000000"/>
          <w:sz w:val="20"/>
        </w:rPr>
        <w:t>Databricks disclosures and PitchBook data: ARR $6.9B (+80% YoY), FCF positive. T2.</w:t>
      </w:r>
    </w:p>
    <w:p>
      <w:pPr>
        <w:pStyle w:val="ListNumber"/>
        <w:spacing w:after="80"/>
      </w:pPr>
      <w:r>
        <w:rPr>
          <w:rFonts w:ascii="Calibri Light" w:hAnsi="Calibri Light"/>
          <w:b w:val="0"/>
          <w:i w:val="0"/>
          <w:color w:val="000000"/>
          <w:sz w:val="20"/>
        </w:rPr>
        <w:t>Press on Anthropic's ~$35B chip-bond stack, June 2026, and the ~$3.5T AI-linked private-credit market. T2/T3.</w:t>
      </w:r>
    </w:p>
    <w:p>
      <w:pPr>
        <w:pStyle w:val="ListNumber"/>
        <w:spacing w:after="80"/>
      </w:pPr>
      <w:r>
        <w:rPr>
          <w:rFonts w:ascii="Calibri Light" w:hAnsi="Calibri Light"/>
          <w:b w:val="0"/>
          <w:i w:val="0"/>
          <w:color w:val="000000"/>
          <w:sz w:val="20"/>
        </w:rPr>
        <w:t>Technical background on transformer inference: prefill versus decode, memory-bandwidth-bound generation, KV-cache growth, batching, and token-price deflation. T3, context only.</w:t>
      </w:r>
    </w:p>
    <w:p>
      <w:pPr>
        <w:pStyle w:val="ListNumber"/>
        <w:spacing w:after="80"/>
      </w:pPr>
      <w:r>
        <w:rPr>
          <w:rFonts w:ascii="Calibri Light" w:hAnsi="Calibri Light"/>
          <w:b w:val="0"/>
          <w:i w:val="0"/>
          <w:color w:val="000000"/>
          <w:sz w:val="20"/>
        </w:rPr>
        <w:t>Company product disclosures: OpenAI ChatGPT Work and Codex desktop; Anthropic Claude Cowork. T2. Consumer price points and free-tier characterizations are our reading of the market, T3.</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