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A2744"/>
          <w:sz w:val="34"/>
          <w:szCs w:val="34"/>
        </w:rPr>
        <w:t xml:space="preserve">Global Unicorn Tracker - Q2 2026</w:t>
      </w:r>
    </w:p>
    <w:p>
      <w:pPr>
        <w:pBdr>
          <w:bottom w:val="single" w:color="1A2744" w:sz="12" w:space="8"/>
        </w:pBdr>
        <w:spacing w:after="200"/>
      </w:pPr>
      <w:r>
        <w:rPr>
          <w:rFonts w:ascii="Arial" w:cs="Arial" w:eastAsia="Arial" w:hAnsi="Arial"/>
          <w:caps w:val="false"/>
          <w:color w:val="55637A"/>
          <w:spacing w:val="6"/>
          <w:sz w:val="20"/>
          <w:szCs w:val="20"/>
        </w:rPr>
        <w:t xml:space="preserve">Late-Stage Company Research | As of June 30, 2026</w:t>
      </w:r>
    </w:p>
    <w:p>
      <w:pPr>
        <w:pBdr>
          <w:top w:val="single" w:color="C9D2E0" w:sz="2" w:space="6"/>
          <w:bottom w:val="single" w:color="C9D2E0" w:sz="2" w:space="6"/>
          <w:left w:val="single" w:color="C9D2E0" w:sz="2" w:space="8"/>
          <w:right w:val="single" w:color="C9D2E0" w:sz="2" w:space="8"/>
        </w:pBdr>
        <w:shd w:fill="F3F6FB" w:color="auto" w:val="clear"/>
        <w:spacing w:after="200" w:before="40" w:line="264"/>
      </w:pPr>
      <w:r>
        <w:rPr>
          <w:rFonts w:ascii="Georgia" w:cs="Georgia" w:eastAsia="Georgia" w:hAnsi="Georgia"/>
          <w:i/>
          <w:iCs/>
          <w:color w:val="55637A"/>
          <w:sz w:val="18"/>
          <w:szCs w:val="18"/>
        </w:rPr>
        <w:t xml:space="preserve">Primary basis: PitchBook deal-level unicorn tracker (1,743 active / $8.23T aggregate). The Unicorn 20 daily model marks and the Unicorn Monitor are used only where flagged, for the three-mark secondary validation and the vertical index returns, and are not blended with the primary-tracker figures.</w:t>
      </w:r>
    </w:p>
    <w:p>
      <w:pPr>
        <w:pStyle w:val="Heading1"/>
        <w:pBdr>
          <w:bottom w:val="single" w:color="C9D2E0" w:sz="6" w:space="6"/>
        </w:pBdr>
        <w:spacing w:after="140" w:before="320"/>
      </w:pPr>
      <w:r>
        <w:rPr>
          <w:rFonts w:ascii="Arial" w:cs="Arial" w:eastAsia="Arial" w:hAnsi="Arial"/>
          <w:b/>
          <w:bCs/>
          <w:color w:val="1A2744"/>
          <w:sz w:val="26"/>
          <w:szCs w:val="26"/>
        </w:rPr>
        <w:t xml:space="preserve">Summary</w:t>
      </w:r>
    </w:p>
    <w:p>
      <w:pPr>
        <w:spacing w:after="160" w:line="276"/>
        <w:jc w:val="left"/>
      </w:pPr>
      <w:r>
        <w:rPr>
          <w:rFonts w:ascii="Georgia" w:cs="Georgia" w:eastAsia="Georgia" w:hAnsi="Georgia"/>
          <w:color w:val="1F2733"/>
          <w:sz w:val="21"/>
          <w:szCs w:val="21"/>
        </w:rPr>
        <w:t xml:space="preserve">The unicorn universe closed Q2 at $8.23T across 1,743 companies, up 13% over the prior year. That growth came from one place. AI unicorns added $1.59T of aggregate value in the first half while the universe as a whole gained $0.93T, so the non-AI verticals lost roughly $0.66T between them. A market that reads as broadening actually narrowed onto a dozen AI companies. The sections that follow trace what that concentration does to valuations, mark reliability, exits, and the risk carried in an LP's book.</w:t>
      </w:r>
    </w:p>
    <w:p>
      <w:pPr>
        <w:pStyle w:val="Heading1"/>
        <w:pBdr>
          <w:bottom w:val="single" w:color="C9D2E0" w:sz="6" w:space="6"/>
        </w:pBdr>
        <w:spacing w:after="140" w:before="320"/>
      </w:pPr>
      <w:r>
        <w:rPr>
          <w:rFonts w:ascii="Arial" w:cs="Arial" w:eastAsia="Arial" w:hAnsi="Arial"/>
          <w:b/>
          <w:bCs/>
          <w:color w:val="1A2744"/>
          <w:sz w:val="26"/>
          <w:szCs w:val="26"/>
        </w:rPr>
        <w:t xml:space="preserve">Market overview</w:t>
      </w:r>
    </w:p>
    <w:p>
      <w:pPr>
        <w:pStyle w:val="Heading2"/>
        <w:spacing w:after="70" w:before="220"/>
      </w:pPr>
      <w:r>
        <w:rPr>
          <w:rFonts w:ascii="Arial" w:cs="Arial" w:eastAsia="Arial" w:hAnsi="Arial"/>
          <w:b/>
          <w:bCs/>
          <w:color w:val="1A2744"/>
          <w:sz w:val="21"/>
          <w:szCs w:val="21"/>
        </w:rPr>
        <w:t xml:space="preserve">Concentration at the top set the quarter</w:t>
      </w:r>
    </w:p>
    <w:p>
      <w:pPr>
        <w:spacing w:after="160" w:line="276"/>
        <w:jc w:val="left"/>
      </w:pPr>
      <w:r>
        <w:rPr>
          <w:rFonts w:ascii="Georgia" w:cs="Georgia" w:eastAsia="Georgia" w:hAnsi="Georgia"/>
          <w:color w:val="1F2733"/>
          <w:sz w:val="21"/>
          <w:szCs w:val="21"/>
        </w:rPr>
        <w:t xml:space="preserve">The five largest rounds of Q2 raised $87.1B between them, and Anthropic was $65B of that, a raise into a $965B post-money that ran 5.4x the second-largest deal (Prometheus, $12B into $41B) and 16.4% of all first-half financing on its own. Anduril ($5B into $61B), ByteDance ($3B into $370B), and Isomorphic Labs ($2.1B) completed the five, four of them in AI. Below that group the falloff is immediate: deal size drops under $2B by the sixth company and under $1B soon after, so the top ten took 68.9% of sized deal value and the top 25 took 78.5%. Late-stage AI supply now runs through a handful of frontier labs, and they set the prices the rest of the market clears against. A reader who takes "Q2 financing was strong" at face value is describing five cap tables and calling it a market.</w:t>
      </w:r>
    </w:p>
    <w:p>
      <w:pPr>
        <w:pStyle w:val="Heading2"/>
        <w:spacing w:after="70" w:before="220"/>
      </w:pPr>
      <w:r>
        <w:rPr>
          <w:rFonts w:ascii="Arial" w:cs="Arial" w:eastAsia="Arial" w:hAnsi="Arial"/>
          <w:b/>
          <w:bCs/>
          <w:color w:val="1A2744"/>
          <w:sz w:val="21"/>
          <w:szCs w:val="21"/>
        </w:rPr>
        <w:t xml:space="preserve">The largest marks carry the widest gap to where stock actually trades</w:t>
      </w:r>
    </w:p>
    <w:p>
      <w:pPr>
        <w:spacing w:after="160" w:line="276"/>
        <w:jc w:val="left"/>
      </w:pPr>
      <w:r>
        <w:rPr>
          <w:rFonts w:ascii="Georgia" w:cs="Georgia" w:eastAsia="Georgia" w:hAnsi="Georgia"/>
          <w:color w:val="1F2733"/>
          <w:sz w:val="21"/>
          <w:szCs w:val="21"/>
        </w:rPr>
        <w:t xml:space="preserve">Each of the 20 marquee names has three prices: a daily model mark (Unicorn 20), the last-round post-money (Monitor), and a secondary-implied value from real trades (Monitor). In aggregate the model sits 15.2% above the last round for the 18 names with a priced round, which a rising market should produce. The secondary tape diverges at the top. Real trades print below the model for 12 of the 20, and well below for the two largest: SpaceX 32% under its $2.03T model mark, a gap near $650B, and Anthropic 22% under its $1.27T mark, about $282B. Both marks were set on a fresh event, SpaceX's June IPO and an Anthropic round, and both ran ahead of a secondary market that had not repriced.</w:t>
      </w:r>
    </w:p>
    <w:p>
      <w:pPr>
        <w:spacing w:after="160" w:line="276"/>
        <w:jc w:val="left"/>
      </w:pPr>
      <w:r>
        <w:rPr>
          <w:rFonts w:ascii="Georgia" w:cs="Georgia" w:eastAsia="Georgia" w:hAnsi="Georgia"/>
          <w:color w:val="1F2733"/>
          <w:sz w:val="21"/>
          <w:szCs w:val="21"/>
        </w:rPr>
        <w:t xml:space="preserve">Below the megacaps the secondaries sit above the last round, by 36% for Applied Intuition, 30% for Anysphere, 22% for Anduril, and 16% for Revolut, so those older marks understate the companies rather than inflate them. At the bottom, model, round, and secondary have all reset lower together at Ripple, Epic Games, and Kraken. The marks least confirmed by trading are the largest positions in the book, which means a portfolio carried at model holds its biggest names 20% to 30% above the last print, and the overstatement grows with position size.</w:t>
      </w:r>
    </w:p>
    <w:p>
      <w:pPr>
        <w:pStyle w:val="Heading2"/>
        <w:spacing w:after="70" w:before="220"/>
      </w:pPr>
      <w:r>
        <w:rPr>
          <w:rFonts w:ascii="Arial" w:cs="Arial" w:eastAsia="Arial" w:hAnsi="Arial"/>
          <w:b/>
          <w:bCs/>
          <w:color w:val="1A2744"/>
          <w:sz w:val="21"/>
          <w:szCs w:val="21"/>
        </w:rPr>
        <w:t xml:space="preserve">The median and the average now describe different markets</w:t>
      </w:r>
    </w:p>
    <w:p>
      <w:pPr>
        <w:spacing w:after="160" w:line="276"/>
        <w:jc w:val="left"/>
      </w:pPr>
      <w:r>
        <w:rPr>
          <w:rFonts w:ascii="Georgia" w:cs="Georgia" w:eastAsia="Georgia" w:hAnsi="Georgia"/>
          <w:color w:val="1F2733"/>
          <w:sz w:val="21"/>
          <w:szCs w:val="21"/>
        </w:rPr>
        <w:t xml:space="preserve">Median unicorn post-money is $2.0B; the average is $18.19B. That 9.1x ratio was 3.1x in 2025 and 2.8x in 2024, so the gap widened sharply in a single year. Round sizes moved the same way, a $200M median against a $1,143M average, the widest spread in the eleven-year series. The $8.23T aggregate rose because roughly a dozen marks re-rated while the company at the middle of the distribution stayed where it was. An allocator who benchmarks to the aggregate is tracking the top twelve names and attributing their move to the asset class.</w:t>
      </w:r>
    </w:p>
    <w:p>
      <w:pPr>
        <w:pStyle w:val="Heading2"/>
        <w:spacing w:after="70" w:before="220"/>
      </w:pPr>
      <w:r>
        <w:rPr>
          <w:rFonts w:ascii="Arial" w:cs="Arial" w:eastAsia="Arial" w:hAnsi="Arial"/>
          <w:b/>
          <w:bCs/>
          <w:color w:val="1A2744"/>
          <w:sz w:val="21"/>
          <w:szCs w:val="21"/>
        </w:rPr>
        <w:t xml:space="preserve">Companies that raised were priced up, and priced up fast</w:t>
      </w:r>
    </w:p>
    <w:p>
      <w:pPr>
        <w:spacing w:after="160" w:line="276"/>
        <w:jc w:val="left"/>
      </w:pPr>
      <w:r>
        <w:rPr>
          <w:rFonts w:ascii="Georgia" w:cs="Georgia" w:eastAsia="Georgia" w:hAnsi="Georgia"/>
          <w:color w:val="1F2733"/>
          <w:sz w:val="21"/>
          <w:szCs w:val="21"/>
        </w:rPr>
        <w:t xml:space="preserve">The median step-up reached 2.20x in 2026, up from 2.05x in 2025 and the highest since 2021 (2.64x). Median time between rounds fell to 0.98yr from 1.21yr in 2025 and 1.45yr in 2024. Down rounds nearly disappeared, six in the first half worth $3.85B against 31 in all of 2025 and 34 in 2024. The steepest step-ups came from small companies rather than the leaders, Hark at 151.4x, Blitzy and SendCutSend at 30x, each under $7B, while the giants stepped up in dollars but not in multiple. The signal has two limits worth stating: it covers only companies that raised, under half the universe, and the sharpest repricing sits at the bottom of the size range, where one round moves the multiple most.</w:t>
      </w:r>
    </w:p>
    <w:p>
      <w:pPr>
        <w:pStyle w:val="Heading2"/>
        <w:spacing w:after="70" w:before="220"/>
      </w:pPr>
      <w:r>
        <w:rPr>
          <w:rFonts w:ascii="Arial" w:cs="Arial" w:eastAsia="Arial" w:hAnsi="Arial"/>
          <w:b/>
          <w:bCs/>
          <w:color w:val="1A2744"/>
          <w:sz w:val="21"/>
          <w:szCs w:val="21"/>
        </w:rPr>
        <w:t xml:space="preserve">AI is now three-fifths of the universe's value on two-fifths of its names</w:t>
      </w:r>
    </w:p>
    <w:p>
      <w:pPr>
        <w:spacing w:after="160" w:line="276"/>
        <w:jc w:val="left"/>
      </w:pPr>
      <w:r>
        <w:rPr>
          <w:rFonts w:ascii="Georgia" w:cs="Georgia" w:eastAsia="Georgia" w:hAnsi="Georgia"/>
          <w:color w:val="1F2733"/>
          <w:sz w:val="21"/>
          <w:szCs w:val="21"/>
        </w:rPr>
        <w:t xml:space="preserve">AI is 702 of 1,743 unicorns, 40.3% by count, and $5.08T of $8.23T, 61.7% by value. The 21-point gap between value share and count share measures how much larger the average AI company is than the rest of the field. The climb is steep: AI value rose from $3.49T at the end of 2025 to $5.08T, a 45.6% gain in six months, and AI took 109 of the 178 first-half mints. Its weight in new capital and new companies runs ahead of its weight in the standing universe, so its share is still rising. Two narrower cuts exist and should be kept separate: the AI vertical tag at 865 companies, which double-counts across verticals, and the Monitor curated AI index at 430 companies and $4,143.7B. This section uses the 702-company aggregate.</w:t>
      </w:r>
    </w:p>
    <w:p>
      <w:pPr>
        <w:pStyle w:val="Heading1"/>
        <w:pBdr>
          <w:bottom w:val="single" w:color="C9D2E0" w:sz="6" w:space="6"/>
        </w:pBdr>
        <w:spacing w:after="140" w:before="320"/>
      </w:pPr>
      <w:r>
        <w:rPr>
          <w:rFonts w:ascii="Arial" w:cs="Arial" w:eastAsia="Arial" w:hAnsi="Arial"/>
          <w:b/>
          <w:bCs/>
          <w:color w:val="1A2744"/>
          <w:sz w:val="26"/>
          <w:szCs w:val="26"/>
        </w:rPr>
        <w:t xml:space="preserve">Verticals</w:t>
      </w:r>
    </w:p>
    <w:p>
      <w:pPr>
        <w:pStyle w:val="Heading2"/>
        <w:spacing w:after="70" w:before="220"/>
      </w:pPr>
      <w:r>
        <w:rPr>
          <w:rFonts w:ascii="Arial" w:cs="Arial" w:eastAsia="Arial" w:hAnsi="Arial"/>
          <w:b/>
          <w:bCs/>
          <w:color w:val="1A2744"/>
          <w:sz w:val="21"/>
          <w:szCs w:val="21"/>
        </w:rPr>
        <w:t xml:space="preserve">SaaS and AI dwarf every other vertical</w:t>
      </w:r>
    </w:p>
    <w:p>
      <w:pPr>
        <w:spacing w:after="160" w:line="276"/>
        <w:jc w:val="left"/>
      </w:pPr>
      <w:r>
        <w:rPr>
          <w:rFonts w:ascii="Georgia" w:cs="Georgia" w:eastAsia="Georgia" w:hAnsi="Georgia"/>
          <w:color w:val="1F2733"/>
          <w:sz w:val="21"/>
          <w:szCs w:val="21"/>
        </w:rPr>
        <w:t xml:space="preserve">On tagged value, SaaS leads at $6.44T (968 companies) and AI follows at $6.02T (865), with FinTech third and far back at $2.02T (436). The next tier is much smaller: Space Technology $1.87T, Mobility $0.83T, CloudTech $0.74T, HealthTech $0.45T. The top two verticals hold about $12.5T of tagged value between them, and everything from the fourth down is minor by comparison. Because a company can carry several tags, vertical counts sum past 1,743 and vertical values sum to roughly 1.5x the universe, so they cannot be added to a total. Much of the breadth on a vertical map is the same companies counted twice under AI and SaaS.</w:t>
      </w:r>
    </w:p>
    <w:p>
      <w:pPr>
        <w:spacing w:after="160" w:line="276"/>
        <w:jc w:val="left"/>
      </w:pPr>
      <w:r>
        <w:rPr>
          <w:rFonts w:ascii="Georgia" w:cs="Georgia" w:eastAsia="Georgia" w:hAnsi="Georgia"/>
          <w:color w:val="1F2733"/>
          <w:sz w:val="21"/>
          <w:szCs w:val="21"/>
        </w:rPr>
        <w:t xml:space="preserve">Space Technology shows how a vertical aggregate can be a single company. Its $1.87T across 34 names averages about $55B each, but SpaceX is nearly all of it, and without SpaceX the vertical is unremarkable. Any vertical total should be checked for single-name capture before it is cited as evidence of a theme.</w:t>
      </w:r>
    </w:p>
    <w:p>
      <w:pPr>
        <w:pStyle w:val="Heading2"/>
        <w:spacing w:after="70" w:before="220"/>
      </w:pPr>
      <w:r>
        <w:rPr>
          <w:rFonts w:ascii="Arial" w:cs="Arial" w:eastAsia="Arial" w:hAnsi="Arial"/>
          <w:b/>
          <w:bCs/>
          <w:color w:val="1A2744"/>
          <w:sz w:val="21"/>
          <w:szCs w:val="21"/>
        </w:rPr>
        <w:t xml:space="preserve">The investable set is a few dozen names</w:t>
      </w:r>
    </w:p>
    <w:p>
      <w:pPr>
        <w:spacing w:after="160" w:line="276"/>
        <w:jc w:val="left"/>
      </w:pPr>
      <w:r>
        <w:rPr>
          <w:rFonts w:ascii="Georgia" w:cs="Georgia" w:eastAsia="Georgia" w:hAnsi="Georgia"/>
          <w:color w:val="1F2733"/>
          <w:sz w:val="21"/>
          <w:szCs w:val="21"/>
        </w:rPr>
        <w:t xml:space="preserve">The filters that matter to an allocator, a recent mark, real size, and secondary liquidity, reduce the 1,743 sharply. Value concentrates at the top, with the ten largest names carrying a large share of the $8.23T while the median company sits at $2.0B. Require a mark under 12 months old, size above $5B, and a functioning secondary market, and the list falls to a few dozen. Diversifying across the unicorn universe is close to impossible in practice: what remains is a concentrated, AI-heavy, US-domiciled set, and a portfolio built from it without vertical limits becomes a SaaS-and-AI portfolio by default.</w:t>
      </w:r>
    </w:p>
    <w:p>
      <w:pPr>
        <w:pStyle w:val="Heading2"/>
        <w:spacing w:after="70" w:before="220"/>
      </w:pPr>
      <w:r>
        <w:rPr>
          <w:rFonts w:ascii="Arial" w:cs="Arial" w:eastAsia="Arial" w:hAnsi="Arial"/>
          <w:b/>
          <w:bCs/>
          <w:color w:val="1A2744"/>
          <w:sz w:val="21"/>
          <w:szCs w:val="21"/>
        </w:rPr>
        <w:t xml:space="preserve">The largest verticals are not the fastest-appreciating</w:t>
      </w:r>
    </w:p>
    <w:p>
      <w:pPr>
        <w:spacing w:after="160" w:line="276"/>
        <w:jc w:val="left"/>
      </w:pPr>
      <w:r>
        <w:rPr>
          <w:rFonts w:ascii="Georgia" w:cs="Georgia" w:eastAsia="Georgia" w:hAnsi="Georgia"/>
          <w:color w:val="1F2733"/>
          <w:sz w:val="21"/>
          <w:szCs w:val="21"/>
        </w:rPr>
        <w:t xml:space="preserve">On 2026 medians, AI ran an RVVC of 1.84x and a step-up of 2.35x across 249 deals, and SaaS 1.42x and 2.18x across 176. Both are healthy, and both sit mid-pack on velocity. The highest RVVC belongs to smaller verticals, Robotics and Drones at 2.03x (5.66x average) and CleanTech at 3.30x with a 2.77x step-up. Crypto cooled, its median RVVC down from 2.62x to 1.11x. Cybersecurity (0.66x) and E-Commerce (0.38x) sit at the bottom, raising rounds at higher prices while creating less than a dollar of value for each dollar invested.</w:t>
      </w:r>
    </w:p>
    <w:p>
      <w:pPr>
        <w:spacing w:after="160" w:line="276"/>
        <w:jc w:val="left"/>
      </w:pPr>
      <w:r>
        <w:rPr>
          <w:rFonts w:ascii="Georgia" w:cs="Georgia" w:eastAsia="Georgia" w:hAnsi="Georgia"/>
          <w:color w:val="1F2733"/>
          <w:sz w:val="21"/>
          <w:szCs w:val="21"/>
        </w:rPr>
        <w:t xml:space="preserve">The three-year mark-to-market record confirms the same order (Monitor vertical indexes, annualized): AI +58.1% per year (+302.6% cumulative), Enterprise SaaS +34.2%, and Cybersecurity +22.2% are the only three verticals that beat the Global TME benchmark of +19.6% per year (+72.4% cumulative). AI compounded at about three times the public rate. FinTech, third by value, returned 12.9% and trailed the benchmark. One caution governs any risk-adjusted use of these figures: they run on marks that update infrequently, which suppresses measured volatility and inflates any Sharpe ratio built from it.</w:t>
      </w:r>
    </w:p>
    <w:p>
      <w:pPr>
        <w:pStyle w:val="Heading2"/>
        <w:spacing w:after="70" w:before="220"/>
      </w:pPr>
      <w:r>
        <w:rPr>
          <w:rFonts w:ascii="Arial" w:cs="Arial" w:eastAsia="Arial" w:hAnsi="Arial"/>
          <w:b/>
          <w:bCs/>
          <w:color w:val="1A2744"/>
          <w:sz w:val="21"/>
          <w:szCs w:val="21"/>
        </w:rPr>
        <w:t xml:space="preserve">AI is the source of both the return and the risk</w:t>
      </w:r>
    </w:p>
    <w:p>
      <w:pPr>
        <w:spacing w:after="160" w:line="276"/>
        <w:jc w:val="left"/>
      </w:pPr>
      <w:r>
        <w:rPr>
          <w:rFonts w:ascii="Georgia" w:cs="Georgia" w:eastAsia="Georgia" w:hAnsi="Georgia"/>
          <w:color w:val="1F2733"/>
          <w:sz w:val="21"/>
          <w:szCs w:val="21"/>
        </w:rPr>
        <w:t xml:space="preserve">AI is the market's growth and its largest exposure at once, in the same companies. It produced $1.59T of a $0.93T universe gain, so the rest of the market contracted around it, and it now stands at 62% of value, four of the top five rounds, and 61% of new mints. Because AI marks move together and dominate the index, a repricing in a few frontier names moves the whole aggregate. The sensitivity is measurable: a 25% cut to AI marks takes about $1.27T off the universe, 15.4% of all private-tech value. Underweighting AI means betting against nearly two-thirds of the market; overweighting it concentrates the book in names the secondary tape already prices 20% to 30% below their models. The exposure cannot be hedged inside the asset class, because the return and the risk are the same holdings.</w:t>
      </w:r>
    </w:p>
    <w:p>
      <w:pPr>
        <w:pStyle w:val="Heading2"/>
        <w:spacing w:after="70" w:before="220"/>
      </w:pPr>
      <w:r>
        <w:rPr>
          <w:rFonts w:ascii="Arial" w:cs="Arial" w:eastAsia="Arial" w:hAnsi="Arial"/>
          <w:b/>
          <w:bCs/>
          <w:color w:val="1A2744"/>
          <w:sz w:val="21"/>
          <w:szCs w:val="21"/>
        </w:rPr>
        <w:t xml:space="preserve">The 2021 cohort is the template for today's AI class</w:t>
      </w:r>
    </w:p>
    <w:p>
      <w:pPr>
        <w:spacing w:after="160" w:line="276"/>
        <w:jc w:val="left"/>
      </w:pPr>
      <w:r>
        <w:rPr>
          <w:rFonts w:ascii="Georgia" w:cs="Georgia" w:eastAsia="Georgia" w:hAnsi="Georgia"/>
          <w:color w:val="1F2733"/>
          <w:sz w:val="21"/>
          <w:szCs w:val="21"/>
        </w:rPr>
        <w:t xml:space="preserve">Of 635 unicorns minted in 2021, five years on 470 are still active (74%), 102 have exited (16%), and 62 have failed: 34 fell below $1B while private, 15 fell at exit through a down-IPO or down-M&amp;A below unicorn status, and 13 went bankrupt. Three-quarters of the cohort remain illiquid four and a half years after minting, which follows from a median time to exit of 8.47 years. The 15 that fell at exit are the overlooked cases, counted as exits in the headline data while their investors took losses. Run the 2021 curve forward onto today's 702 AI unicorns and the base case is roughly a quarter impaired and three-quarters still illiquid into the next decade, with the added hazard that AI marks are more correlated and more concentrated than 2021's were. The ten-year 2021 funds mature between 2028 and 2031, which sets the timetable on which those untested marks resolve, by markdown, sale, or wind-down.</w:t>
      </w:r>
    </w:p>
    <w:p>
      <w:pPr>
        <w:pStyle w:val="Heading1"/>
        <w:pBdr>
          <w:bottom w:val="single" w:color="C9D2E0" w:sz="6" w:space="6"/>
        </w:pBdr>
        <w:spacing w:after="140" w:before="320"/>
      </w:pPr>
      <w:r>
        <w:rPr>
          <w:rFonts w:ascii="Arial" w:cs="Arial" w:eastAsia="Arial" w:hAnsi="Arial"/>
          <w:b/>
          <w:bCs/>
          <w:color w:val="1A2744"/>
          <w:sz w:val="26"/>
          <w:szCs w:val="26"/>
        </w:rPr>
        <w:t xml:space="preserve">Deal dynamics, capital, and exits</w:t>
      </w:r>
    </w:p>
    <w:p>
      <w:pPr>
        <w:pStyle w:val="Heading2"/>
        <w:spacing w:after="70" w:before="220"/>
      </w:pPr>
      <w:r>
        <w:rPr>
          <w:rFonts w:ascii="Arial" w:cs="Arial" w:eastAsia="Arial" w:hAnsi="Arial"/>
          <w:b/>
          <w:bCs/>
          <w:color w:val="1A2744"/>
          <w:sz w:val="21"/>
          <w:szCs w:val="21"/>
        </w:rPr>
        <w:t xml:space="preserve">Rounds are fewer, larger, and more crowded</w:t>
      </w:r>
    </w:p>
    <w:p>
      <w:pPr>
        <w:spacing w:after="160" w:line="276"/>
        <w:jc w:val="left"/>
      </w:pPr>
      <w:r>
        <w:rPr>
          <w:rFonts w:ascii="Georgia" w:cs="Georgia" w:eastAsia="Georgia" w:hAnsi="Georgia"/>
          <w:color w:val="1F2733"/>
          <w:sz w:val="21"/>
          <w:szCs w:val="21"/>
        </w:rPr>
        <w:t xml:space="preserve">Syndicates of six or more investors made up 60.9% of 2026 rounds with known participation, close to the 2021 peak of 64%. Investor participation by count has not recovered with the dollars: it peaked at 2,892 in Q3 2021, bottomed at 895 in Q4 2023, rose to 1,415 in Q1 2026, then fell back to 995 in Q2 while deal value stayed high. A short list of firms sits in most rounds, Sequoia (491 unicorn deals since 2016), Tiger Global (472), Andreessen Horowitz (454), Accel (382), and Coatue (344). Investor concentration follows company concentration: a narrow set of funds backs a narrow set of companies.</w:t>
      </w:r>
    </w:p>
    <w:p>
      <w:pPr>
        <w:pStyle w:val="Heading2"/>
        <w:spacing w:after="70" w:before="220"/>
      </w:pPr>
      <w:r>
        <w:rPr>
          <w:rFonts w:ascii="Arial" w:cs="Arial" w:eastAsia="Arial" w:hAnsi="Arial"/>
          <w:b/>
          <w:bCs/>
          <w:color w:val="1A2744"/>
          <w:sz w:val="21"/>
          <w:szCs w:val="21"/>
        </w:rPr>
        <w:t xml:space="preserve">The exit window reopened, and one company is most of it</w:t>
      </w:r>
    </w:p>
    <w:p>
      <w:pPr>
        <w:spacing w:after="160" w:line="276"/>
        <w:jc w:val="left"/>
      </w:pPr>
      <w:r>
        <w:rPr>
          <w:rFonts w:ascii="Georgia" w:cs="Georgia" w:eastAsia="Georgia" w:hAnsi="Georgia"/>
          <w:color w:val="1F2733"/>
          <w:sz w:val="21"/>
          <w:szCs w:val="21"/>
        </w:rPr>
        <w:t xml:space="preserve">2026 exit value reached $2,110.9B across 50 exits, the highest in the dataset, and SpaceX's IPO was $1,690B of it. Without SpaceX, exit value was $420.7B, still the best year since 2021 but far below the headline, and both figures belong in any account of the year. Public listings drove 85% of exit value, and the market that was shut for three years is open again, with SpaceX, Cerebras ($34B), and Quantinuum ($14B) all listing in the quarter. Duration cuts against a clean read: median time to exit rose to 8.47 years, near the 9.17-year peak in 2025, so the companies exiting now are old vintages clearing a backlog rather than recent 2023-2024 names. Once that backlog empties, exit value settles well below the 2026 figure.</w:t>
      </w:r>
    </w:p>
    <w:p>
      <w:pPr>
        <w:pStyle w:val="Heading1"/>
        <w:pBdr>
          <w:bottom w:val="single" w:color="C9D2E0" w:sz="6" w:space="6"/>
        </w:pBdr>
        <w:spacing w:after="140" w:before="320"/>
      </w:pPr>
      <w:r>
        <w:rPr>
          <w:rFonts w:ascii="Arial" w:cs="Arial" w:eastAsia="Arial" w:hAnsi="Arial"/>
          <w:b/>
          <w:bCs/>
          <w:color w:val="1A2744"/>
          <w:sz w:val="26"/>
          <w:szCs w:val="26"/>
        </w:rPr>
        <w:t xml:space="preserve">Business quality (PBQ / AIBQ) and valuations</w:t>
      </w:r>
    </w:p>
    <w:p>
      <w:pPr>
        <w:pStyle w:val="Heading2"/>
        <w:spacing w:after="70" w:before="220"/>
      </w:pPr>
      <w:r>
        <w:rPr>
          <w:rFonts w:ascii="Arial" w:cs="Arial" w:eastAsia="Arial" w:hAnsi="Arial"/>
          <w:b/>
          <w:bCs/>
          <w:color w:val="1A2744"/>
          <w:sz w:val="21"/>
          <w:szCs w:val="21"/>
        </w:rPr>
        <w:t xml:space="preserve">The valuation ladder ranks price, not quality</w:t>
      </w:r>
    </w:p>
    <w:p>
      <w:pPr>
        <w:spacing w:after="160" w:line="276"/>
        <w:jc w:val="left"/>
      </w:pPr>
      <w:r>
        <w:rPr>
          <w:rFonts w:ascii="Georgia" w:cs="Georgia" w:eastAsia="Georgia" w:hAnsi="Georgia"/>
          <w:color w:val="1F2733"/>
          <w:sz w:val="21"/>
          <w:szCs w:val="21"/>
        </w:rPr>
        <w:t xml:space="preserve">Sorted by post-money, the top names read Anthropic, OpenAI, ByteDance, Stripe, Databricks, Waymo. That order reflects expense, and price depends on capital raised as much as on value created, so two companies at the same valuation can differ tenfold in capital efficiency. Part of the ranking is stale as well, with two of the top ten still carrying marks over a year old that a fresh round could move in either direction. A quality-adjusted ranking would reorder the list, which is why PBQ belongs beside price rather than beneath it.</w:t>
      </w:r>
    </w:p>
    <w:p>
      <w:pPr>
        <w:pStyle w:val="Heading2"/>
        <w:spacing w:after="70" w:before="220"/>
      </w:pPr>
      <w:r>
        <w:rPr>
          <w:rFonts w:ascii="Arial" w:cs="Arial" w:eastAsia="Arial" w:hAnsi="Arial"/>
          <w:b/>
          <w:bCs/>
          <w:color w:val="1A2744"/>
          <w:sz w:val="21"/>
          <w:szCs w:val="21"/>
        </w:rPr>
        <w:t xml:space="preserve">The data scores one dimension of quality; the rest needs disclosure</w:t>
      </w:r>
    </w:p>
    <w:p>
      <w:pPr>
        <w:spacing w:after="160" w:line="276"/>
        <w:jc w:val="left"/>
      </w:pPr>
      <w:r>
        <w:rPr>
          <w:rFonts w:ascii="Georgia" w:cs="Georgia" w:eastAsia="Georgia" w:hAnsi="Georgia"/>
          <w:color w:val="1F2733"/>
          <w:sz w:val="21"/>
          <w:szCs w:val="21"/>
        </w:rPr>
        <w:t xml:space="preserve">A full PBQ or AIBQ composite requires operating inputs, revenue quality, margins, customer concentration, compute independence, governance, and moat, that none of the three files contain. Composites exist for six frontier names: Databricks 8.7, Anthropic 7.7, SpaceX 7.5, OpenAI 4.2, xAI 3.8, SSI 2.3. The range argues for the framework on its own, since OpenAI, the third most valuable company in the world, scores below the midpoint. The one quality measure available from this data is estimate integrity, the agreement among a company's three marks. Canva, Stripe, and Rippling cluster tightly and carry corroborated valuations; Neuralink (model 441% above its last round), Ripple, and Kraken diverge widely and carry low mark reliability, itself a governance signal. The practical next step is to mark which of the 20 have genuine secondary liquidity against which are model marks only. The full scorecard and a PBQ-per-dollar ranking depend on analyst composites this data does not provide, and should be scoped as pending rather than estimated.</w:t>
      </w:r>
    </w:p>
    <w:p>
      <w:pPr>
        <w:pStyle w:val="Heading1"/>
        <w:pBdr>
          <w:bottom w:val="single" w:color="C9D2E0" w:sz="6" w:space="6"/>
        </w:pBdr>
        <w:spacing w:after="140" w:before="320"/>
      </w:pPr>
      <w:r>
        <w:rPr>
          <w:rFonts w:ascii="Arial" w:cs="Arial" w:eastAsia="Arial" w:hAnsi="Arial"/>
          <w:b/>
          <w:bCs/>
          <w:color w:val="1A2744"/>
          <w:sz w:val="26"/>
          <w:szCs w:val="26"/>
        </w:rPr>
        <w:t xml:space="preserve">Valuations and fallen unicorns</w:t>
      </w:r>
    </w:p>
    <w:p>
      <w:pPr>
        <w:pStyle w:val="Heading2"/>
        <w:spacing w:after="70" w:before="220"/>
      </w:pPr>
      <w:r>
        <w:rPr>
          <w:rFonts w:ascii="Arial" w:cs="Arial" w:eastAsia="Arial" w:hAnsi="Arial"/>
          <w:b/>
          <w:bCs/>
          <w:color w:val="1A2744"/>
          <w:sz w:val="21"/>
          <w:szCs w:val="21"/>
        </w:rPr>
        <w:t xml:space="preserve">Two companies hold a fifth of the market</w:t>
      </w:r>
    </w:p>
    <w:p>
      <w:pPr>
        <w:spacing w:after="160" w:line="276"/>
        <w:jc w:val="left"/>
      </w:pPr>
      <w:r>
        <w:rPr>
          <w:rFonts w:ascii="Georgia" w:cs="Georgia" w:eastAsia="Georgia" w:hAnsi="Georgia"/>
          <w:color w:val="1F2733"/>
          <w:sz w:val="21"/>
          <w:szCs w:val="21"/>
        </w:rPr>
        <w:t xml:space="preserve">Anthropic ($965B) and OpenAI ($852B) together hold $1.82T, 22% of the $8.23T universe, and the top ten hold a majority, against a median company of $2.0B. At this level of concentration the index and the median move independently: the aggregate can rise on a dozen marks while the typical unicorn is flat. The two should be read as separate measures, one tracking a handful of frontier names and the other the remaining seventeen hundred.</w:t>
      </w:r>
    </w:p>
    <w:p>
      <w:pPr>
        <w:pStyle w:val="Heading2"/>
        <w:spacing w:after="70" w:before="220"/>
      </w:pPr>
      <w:r>
        <w:rPr>
          <w:rFonts w:ascii="Arial" w:cs="Arial" w:eastAsia="Arial" w:hAnsi="Arial"/>
          <w:b/>
          <w:bCs/>
          <w:color w:val="1A2744"/>
          <w:sz w:val="21"/>
          <w:szCs w:val="21"/>
        </w:rPr>
        <w:t xml:space="preserve">Marks are current at the very top and age quickly below it</w:t>
      </w:r>
    </w:p>
    <w:p>
      <w:pPr>
        <w:spacing w:after="160" w:line="276"/>
        <w:jc w:val="left"/>
      </w:pPr>
      <w:r>
        <w:rPr>
          <w:rFonts w:ascii="Georgia" w:cs="Georgia" w:eastAsia="Georgia" w:hAnsi="Georgia"/>
          <w:color w:val="1F2733"/>
          <w:sz w:val="21"/>
          <w:szCs w:val="21"/>
        </w:rPr>
        <w:t xml:space="preserve">Anthropic ($965B, May 2026), ByteDance ($370B, May 2026), and OpenAI ($852B, March 2026) carry recent marks. Below the leaders the marks age fast, with top-ten names still on 2023 marks, including a mid-2023 FinTech mark and a May 2023 SHEIN mark. Measured from actual latest-round dates across the active book, 47.6% of unicorns have not raised in more than 24 months and 37.1% in more than 36 months. That is the test behind the $8.23T figure: close to half of it rests on marks no financing has retested in two years or more. The universe splits into a small fresh-marked frontier and a large stale-marked middle whose repricing risk does not appear in the aggregate, and the total should be separated into fresh and stale dollars before it is quoted as a market level. The 47.6% figure comes from latest-round dates and replaces an earlier qualifying-date proxy of 78.5% that overstated staleness.</w:t>
      </w:r>
    </w:p>
    <w:p>
      <w:pPr>
        <w:pStyle w:val="Heading2"/>
        <w:spacing w:after="70" w:before="220"/>
      </w:pPr>
      <w:r>
        <w:rPr>
          <w:rFonts w:ascii="Arial" w:cs="Arial" w:eastAsia="Arial" w:hAnsi="Arial"/>
          <w:b/>
          <w:bCs/>
          <w:color w:val="1A2744"/>
          <w:sz w:val="21"/>
          <w:szCs w:val="21"/>
        </w:rPr>
        <w:t xml:space="preserve">Value creation per dollar recovered above its pre-boom level</w:t>
      </w:r>
    </w:p>
    <w:p>
      <w:pPr>
        <w:spacing w:after="160" w:line="276"/>
        <w:jc w:val="left"/>
      </w:pPr>
      <w:r>
        <w:rPr>
          <w:rFonts w:ascii="Georgia" w:cs="Georgia" w:eastAsia="Georgia" w:hAnsi="Georgia"/>
          <w:color w:val="1F2733"/>
          <w:sz w:val="21"/>
          <w:szCs w:val="21"/>
        </w:rPr>
        <w:t xml:space="preserve">Median RVVC rose to 1.42x in 2026 from 0.93x in 2025 and a 0.23x low in 2023, back above the 0.73x pre-boom baseline. The 2.20x median step-up and 0.98-year cadence point the same way. RVVC above 1.0 means each dollar raised created more than a dollar of new valuation, a reversal from 2023, when rounds diluted more than they built. The 2.73x average RVVC against the 1.42x median carries the same skew as valuations: value creation sits in a few names, and the measure counts only companies that raised.</w:t>
      </w:r>
    </w:p>
    <w:p>
      <w:pPr>
        <w:pStyle w:val="Heading2"/>
        <w:spacing w:after="70" w:before="220"/>
      </w:pPr>
      <w:r>
        <w:rPr>
          <w:rFonts w:ascii="Arial" w:cs="Arial" w:eastAsia="Arial" w:hAnsi="Arial"/>
          <w:b/>
          <w:bCs/>
          <w:color w:val="1A2744"/>
          <w:sz w:val="21"/>
          <w:szCs w:val="21"/>
        </w:rPr>
        <w:t xml:space="preserve">The fall rate slowed while the untested backlog grew</w:t>
      </w:r>
    </w:p>
    <w:p>
      <w:pPr>
        <w:spacing w:after="160" w:line="276"/>
        <w:jc w:val="left"/>
      </w:pPr>
      <w:r>
        <w:rPr>
          <w:rFonts w:ascii="Georgia" w:cs="Georgia" w:eastAsia="Georgia" w:hAnsi="Georgia"/>
          <w:color w:val="1F2733"/>
          <w:sz w:val="21"/>
          <w:szCs w:val="21"/>
        </w:rPr>
        <w:t xml:space="preserve">245 unicorns have fallen to date, and new falls have nearly stopped, six down rounds in the first half of 2026 worth $3.85B against a peak of 34 falls in 2024. Falls are severe when they happen, with a median down-round post-money of $524.5M and a median markdown of 67% from the prior peak, leaving the typical fallen company at about a third of its high mark and just under the $1B line. The 2021 cohort includes 15 companies that fell at exit, booked as exits in the headline data while their backers lost money, the least-visible failure mode in the dataset. A low fall rate in a market where 47.6% of marks are untested is more a matter of timing than of health, because the stale middle is where the next markdowns will come from.</w:t>
      </w:r>
    </w:p>
    <w:p>
      <w:pPr>
        <w:pStyle w:val="Heading1"/>
        <w:pBdr>
          <w:bottom w:val="single" w:color="C9D2E0" w:sz="6" w:space="6"/>
        </w:pBdr>
        <w:spacing w:after="140" w:before="320"/>
      </w:pPr>
      <w:r>
        <w:rPr>
          <w:rFonts w:ascii="Arial" w:cs="Arial" w:eastAsia="Arial" w:hAnsi="Arial"/>
          <w:b/>
          <w:bCs/>
          <w:color w:val="1A2744"/>
          <w:sz w:val="26"/>
          <w:szCs w:val="26"/>
        </w:rPr>
        <w:t xml:space="preserve">What to watch</w:t>
      </w:r>
    </w:p>
    <w:p>
      <w:pPr>
        <w:spacing w:after="160" w:line="276"/>
        <w:jc w:val="left"/>
      </w:pPr>
      <w:r>
        <w:rPr>
          <w:rFonts w:ascii="Georgia" w:cs="Georgia" w:eastAsia="Georgia" w:hAnsi="Georgia"/>
          <w:color w:val="1F2733"/>
          <w:sz w:val="21"/>
          <w:szCs w:val="21"/>
        </w:rPr>
        <w:t xml:space="preserve">The $8.23T is real, heavily concentrated, and largely untested. Two names hold 22% of it, the top five took 62% of Q2 deal value, and 47.6% of all marks have gone more than two years without a financing to confirm them. The freshest marks, at the very top, are the ones secondaries price 20% to 30% below the model. The governing fact of the quarter is AI: it added more value in six months than the entire universe gained, and it now holds three-fifths of all private-tech value on two-fifths of the companies. The active market functions again, the IPO window has reopened on the strength of a single SpaceX listing, and falls have slowed, but the 2021 vintage shows what follows a boom of this shape, a quarter of the cohort impaired and three-quarters still illiquid five years on, resolving against a fund clock that runs 2028 to 2031.</w:t>
      </w:r>
    </w:p>
    <w:p>
      <w:pPr>
        <w:spacing w:after="160" w:line="276"/>
        <w:jc w:val="left"/>
      </w:pPr>
      <w:r>
        <w:rPr>
          <w:rFonts w:ascii="Georgia" w:cs="Georgia" w:eastAsia="Georgia" w:hAnsi="Georgia"/>
          <w:color w:val="1F2733"/>
          <w:sz w:val="21"/>
          <w:szCs w:val="21"/>
        </w:rPr>
        <w:t xml:space="preserve">The figure to track is not the aggregate, which will keep climbing on a dozen AI marks. It is the share of value sitting on tested marks against stale ones, and the event that will move it is the next set of frontier rounds. The secondary tape already prices the largest AI names 20% to 30% below their model marks. If the next Anthropic or SpaceX round clears below the model instead of above it, the markdown will not stay inside one company: on current correlations, a 25% cut to AI marks is $1.27T off the top of the universe.</w:t>
      </w:r>
    </w:p>
    <w:p>
      <w:pPr>
        <w:pBdr>
          <w:top w:val="single" w:color="C9D2E0" w:sz="4" w:space="8"/>
        </w:pBdr>
        <w:spacing w:after="0" w:before="360"/>
      </w:pPr>
      <w:r>
        <w:rPr>
          <w:rFonts w:ascii="Georgia" w:cs="Georgia" w:eastAsia="Georgia" w:hAnsi="Georgia"/>
          <w:i/>
          <w:iCs/>
          <w:color w:val="55637A"/>
          <w:sz w:val="16"/>
          <w:szCs w:val="16"/>
        </w:rPr>
        <w:t xml:space="preserve">Source: PitchBook deal-level unicorn tracker (Final Q2 2026 Quarterly Unicorn Tracker); Morningstar PitchBook Unicorn 20 Valuations and Pricing Data; Unicorn Monitor Data Q2 2026. As of June 30, 2026. Figures on the primary-tracker basis unless flagged; Monitor and Unicorn 20 figures are used only for the three-mark secondary validation and the vertical index returns, and are not blended.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E0" w:sz="4" w:space="6"/>
      </w:pBdr>
      <w:tabs>
        <w:tab w:val="right" w:pos="9360"/>
      </w:tabs>
    </w:pPr>
    <w:r>
      <w:rPr>
        <w:rFonts w:ascii="Arial" w:cs="Arial" w:eastAsia="Arial" w:hAnsi="Arial"/>
        <w:color w:val="55637A"/>
        <w:sz w:val="16"/>
        <w:szCs w:val="16"/>
      </w:rPr>
      <w:t xml:space="preserve">Global Unicorn Tracker  |  Q2 2026</w:t>
    </w:r>
    <w:r>
      <w:rPr>
        <w:sz w:val="16"/>
        <w:szCs w:val="16"/>
      </w:rPr>
      <w:t xml:space="preserve">	</w:t>
    </w:r>
    <w:r>
      <w:rPr>
        <w:rFonts w:ascii="Arial" w:cs="Arial" w:eastAsia="Arial" w:hAnsi="Arial"/>
        <w:color w:val="5563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A2744"/>
      <w:sz w:val="26"/>
      <w:szCs w:val="26"/>
    </w:rPr>
  </w:style>
  <w:style w:type="paragraph" w:styleId="Heading2">
    <w:name w:val="Heading 2"/>
    <w:basedOn w:val="Normal"/>
    <w:next w:val="Normal"/>
    <w:qFormat/>
    <w:rPr>
      <w:rFonts w:ascii="Arial" w:cs="Arial" w:eastAsia="Arial" w:hAnsi="Arial"/>
      <w:b/>
      <w:bCs/>
      <w:color w:val="1A27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Unicorn Tracker - Q2 2026</dc:title>
  <dc:creator>Late-Stage Company Research</dc:creator>
  <cp:lastModifiedBy>Un-named</cp:lastModifiedBy>
  <cp:revision>1</cp:revision>
  <dcterms:created xsi:type="dcterms:W3CDTF">2026-07-23T14:40:30.487Z</dcterms:created>
  <dcterms:modified xsi:type="dcterms:W3CDTF">2026-07-23T14:40:30.488Z</dcterms:modified>
</cp:coreProperties>
</file>

<file path=docProps/custom.xml><?xml version="1.0" encoding="utf-8"?>
<Properties xmlns="http://schemas.openxmlformats.org/officeDocument/2006/custom-properties" xmlns:vt="http://schemas.openxmlformats.org/officeDocument/2006/docPropsVTypes"/>
</file>