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sz w:val="28"/>
        </w:rPr>
        <w:t>Q3 2026 Databricks: Reading the $188 Billion Term Sheet</w:t>
      </w:r>
    </w:p>
    <w:p>
      <w:pPr>
        <w:spacing w:after="160"/>
      </w:pPr>
      <w:r>
        <w:rPr>
          <w:b/>
          <w:sz w:val="22"/>
        </w:rPr>
        <w:t>A signed bid 40% above the last mark, and the accelerating engine underneath it</w:t>
      </w:r>
    </w:p>
    <w:p>
      <w:pPr>
        <w:spacing w:after="40"/>
      </w:pPr>
      <w:r>
        <w:rPr>
          <w:b/>
          <w:sz w:val="20"/>
        </w:rPr>
        <w:t xml:space="preserve">Data filepath: </w:t>
      </w:r>
      <w:r>
        <w:rPr>
          <w:sz w:val="20"/>
        </w:rPr>
        <w:t>R&amp;E - Thematic Research\Emerging Tech\Databricks\Q3_2026_Vertical_Note</w:t>
      </w:r>
    </w:p>
    <w:p>
      <w:pPr>
        <w:spacing w:after="40"/>
      </w:pPr>
      <w:r>
        <w:rPr>
          <w:b/>
          <w:sz w:val="20"/>
        </w:rPr>
        <w:t xml:space="preserve">Chart as-of date: </w:t>
      </w:r>
      <w:r>
        <w:rPr>
          <w:sz w:val="20"/>
        </w:rPr>
        <w:t>August 10, 2026</w:t>
      </w:r>
    </w:p>
    <w:p>
      <w:pPr>
        <w:spacing w:after="40"/>
      </w:pPr>
      <w:r>
        <w:rPr>
          <w:b/>
          <w:sz w:val="20"/>
        </w:rPr>
        <w:t xml:space="preserve">Chart geography: </w:t>
      </w:r>
      <w:r>
        <w:rPr>
          <w:sz w:val="20"/>
        </w:rPr>
        <w:t>US</w:t>
      </w:r>
    </w:p>
    <w:p>
      <w:pPr>
        <w:spacing w:after="40"/>
      </w:pPr>
      <w:r>
        <w:rPr>
          <w:b/>
          <w:sz w:val="20"/>
        </w:rPr>
        <w:t xml:space="preserve">Research type (Core/Quant, Emerging Tech, Industry): </w:t>
      </w:r>
      <w:r>
        <w:rPr>
          <w:sz w:val="20"/>
        </w:rPr>
        <w:t>Emerging Tech</w:t>
      </w:r>
    </w:p>
    <w:p>
      <w:pPr>
        <w:spacing w:after="40"/>
      </w:pPr>
      <w:r>
        <w:rPr>
          <w:b/>
          <w:sz w:val="20"/>
        </w:rPr>
        <w:t xml:space="preserve">Access level: </w:t>
      </w:r>
      <w:r>
        <w:rPr>
          <w:sz w:val="20"/>
        </w:rPr>
        <w:t>Client only (Platform only, no preview on N&amp;A)</w:t>
      </w:r>
    </w:p>
    <w:p>
      <w:pPr>
        <w:spacing w:after="40"/>
        <w:jc w:val="both"/>
      </w:pPr>
    </w:p>
    <w:p>
      <w:pPr>
        <w:spacing w:after="40"/>
      </w:pPr>
      <w:r>
        <w:rPr>
          <w:b/>
          <w:sz w:val="20"/>
        </w:rPr>
        <w:t xml:space="preserve">Chart count: </w:t>
      </w:r>
      <w:r>
        <w:rPr>
          <w:sz w:val="20"/>
        </w:rPr>
        <w:t>3</w:t>
      </w:r>
    </w:p>
    <w:p>
      <w:pPr>
        <w:spacing w:after="40"/>
      </w:pPr>
      <w:r>
        <w:rPr>
          <w:b/>
          <w:sz w:val="20"/>
        </w:rPr>
        <w:t xml:space="preserve">Table count: </w:t>
      </w:r>
      <w:r>
        <w:rPr>
          <w:sz w:val="20"/>
        </w:rPr>
        <w:t>1</w:t>
      </w:r>
    </w:p>
    <w:p>
      <w:pPr>
        <w:pStyle w:val="Heading2"/>
      </w:pPr>
      <w:r>
        <w:t>Credits</w:t>
      </w:r>
    </w:p>
    <w:p>
      <w:pPr>
        <w:spacing w:after="40"/>
      </w:pPr>
      <w:r>
        <w:rPr>
          <w:b w:val="0"/>
          <w:sz w:val="20"/>
        </w:rPr>
      </w:r>
      <w:r>
        <w:rPr>
          <w:sz w:val="20"/>
        </w:rPr>
        <w:t>HARRISON ROLFES  Senior Research Analyst, Late-Stage Company Research</w:t>
      </w:r>
    </w:p>
    <w:p>
      <w:pPr>
        <w:spacing w:after="160"/>
        <w:jc w:val="left"/>
      </w:pPr>
      <w:r>
        <w:rPr>
          <w:b w:val="0"/>
          <w:i w:val="0"/>
          <w:color w:val="262B35"/>
          <w:sz w:val="20"/>
        </w:rPr>
        <w:t>Published on August 11, 2026</w:t>
      </w:r>
    </w:p>
    <w:p>
      <w:pPr>
        <w:pStyle w:val="Heading2"/>
      </w:pPr>
      <w:r>
        <w:t>Contents</w:t>
      </w:r>
    </w:p>
    <w:p>
      <w:pPr>
        <w:spacing w:after="20"/>
        <w:jc w:val="left"/>
      </w:pPr>
      <w:r>
        <w:rPr>
          <w:b w:val="0"/>
          <w:i w:val="0"/>
          <w:color w:val="262B35"/>
          <w:sz w:val="20"/>
        </w:rPr>
        <w:t>Key takeaways</w:t>
      </w:r>
    </w:p>
    <w:p>
      <w:pPr>
        <w:spacing w:after="20"/>
        <w:jc w:val="left"/>
      </w:pPr>
      <w:r>
        <w:rPr>
          <w:b w:val="0"/>
          <w:i w:val="0"/>
          <w:color w:val="262B35"/>
          <w:sz w:val="20"/>
        </w:rPr>
        <w:t>The term sheet: signed at $188 billion, unclosed</w:t>
      </w:r>
    </w:p>
    <w:p>
      <w:pPr>
        <w:spacing w:after="20"/>
        <w:jc w:val="left"/>
      </w:pPr>
      <w:r>
        <w:rPr>
          <w:b w:val="0"/>
          <w:i w:val="0"/>
          <w:color w:val="262B35"/>
          <w:sz w:val="20"/>
        </w:rPr>
        <w:t>The engine under the bid: four accelerating prints</w:t>
      </w:r>
    </w:p>
    <w:p>
      <w:pPr>
        <w:spacing w:after="20"/>
        <w:jc w:val="left"/>
      </w:pPr>
      <w:r>
        <w:rPr>
          <w:b w:val="0"/>
          <w:i w:val="0"/>
          <w:color w:val="262B35"/>
          <w:sz w:val="20"/>
        </w:rPr>
        <w:t>Pricing the quality: both marks stay on the cohort floor</w:t>
      </w:r>
    </w:p>
    <w:p>
      <w:pPr>
        <w:spacing w:after="20"/>
        <w:jc w:val="left"/>
      </w:pPr>
      <w:r>
        <w:rPr>
          <w:b w:val="0"/>
          <w:i w:val="0"/>
          <w:color w:val="262B35"/>
          <w:sz w:val="20"/>
        </w:rPr>
        <w:t>Estimative language</w:t>
      </w:r>
    </w:p>
    <w:p>
      <w:pPr>
        <w:spacing w:after="120"/>
        <w:jc w:val="left"/>
      </w:pPr>
      <w:r>
        <w:rPr>
          <w:b w:val="0"/>
          <w:i w:val="0"/>
          <w:color w:val="262B35"/>
          <w:sz w:val="20"/>
        </w:rPr>
        <w:t>References</w:t>
      </w:r>
    </w:p>
    <w:p>
      <w:pPr>
        <w:pStyle w:val="Heading2"/>
      </w:pPr>
      <w:r>
        <w:t>Landing page</w:t>
      </w:r>
    </w:p>
    <w:p>
      <w:pPr>
        <w:spacing w:after="40"/>
        <w:jc w:val="left"/>
      </w:pPr>
      <w:r>
        <w:rPr>
          <w:b w:val="0"/>
          <w:i/>
          <w:color w:val="2F5496"/>
          <w:sz w:val="20"/>
        </w:rPr>
        <w:t>CHART: The buyer still pays the least per unit of quality, at either mark</w:t>
      </w:r>
    </w:p>
    <w:p>
      <w:pPr>
        <w:spacing w:after="120"/>
        <w:jc w:val="left"/>
      </w:pPr>
      <w:r>
        <w:rPr>
          <w:b w:val="0"/>
          <w:i w:val="0"/>
          <w:color w:val="262B35"/>
          <w:sz w:val="20"/>
        </w:rPr>
        <w:t>Valuation per AIBQ point across the frontier cohort, with Databricks shown at both its completed $134 billion mark and the announced $188 billion term sheet.</w:t>
      </w:r>
    </w:p>
    <w:p>
      <w:pPr>
        <w:spacing w:after="40"/>
        <w:jc w:val="left"/>
      </w:pPr>
      <w:r>
        <w:rPr>
          <w:b/>
          <w:i w:val="0"/>
          <w:color w:val="262B35"/>
          <w:sz w:val="20"/>
        </w:rPr>
        <w:t>Databricks signs at $188 billion, and the quality math survives the re-rate</w:t>
      </w:r>
    </w:p>
    <w:p>
      <w:pPr>
        <w:spacing w:after="160"/>
        <w:jc w:val="left"/>
      </w:pPr>
      <w:r>
        <w:rPr>
          <w:b w:val="0"/>
          <w:i w:val="0"/>
          <w:color w:val="262B35"/>
          <w:sz w:val="20"/>
        </w:rPr>
        <w:t>Databricks signed a Coatue-led term sheet at $188 billion on July 17, 40% above February's completed mark, with the close expected later this summer. The revenue ladder under the bid is still accelerating at $7 billion scale. Even at the higher price, the company remains the cohort's cheapest asset per unit of business quality.</w:t>
      </w:r>
    </w:p>
    <w:p>
      <w:pPr>
        <w:pStyle w:val="Heading2"/>
      </w:pPr>
      <w:r>
        <w:t>Report picks</w:t>
      </w:r>
    </w:p>
    <w:p>
      <w:pPr>
        <w:spacing w:after="20"/>
        <w:jc w:val="left"/>
      </w:pPr>
      <w:r>
        <w:rPr>
          <w:b w:val="0"/>
          <w:i w:val="0"/>
          <w:color w:val="262B35"/>
          <w:sz w:val="20"/>
        </w:rPr>
        <w:t>Databricks: Brick by Brick (July 2026 initiation)</w:t>
      </w:r>
    </w:p>
    <w:p>
      <w:pPr>
        <w:spacing w:after="20"/>
        <w:jc w:val="left"/>
      </w:pPr>
      <w:r>
        <w:rPr>
          <w:b w:val="0"/>
          <w:i w:val="0"/>
          <w:color w:val="262B35"/>
          <w:sz w:val="20"/>
        </w:rPr>
        <w:t>Databricks Company Update: The Appraisal Moves (August 2026)</w:t>
      </w:r>
    </w:p>
    <w:p>
      <w:pPr>
        <w:pStyle w:val="Heading2"/>
      </w:pPr>
      <w:r>
        <w:t>Key takeaways</w:t>
      </w:r>
    </w:p>
    <w:p>
      <w:pPr>
        <w:pStyle w:val="ListBullet"/>
        <w:spacing w:after="120"/>
        <w:ind w:left="403"/>
      </w:pPr>
      <w:r>
        <w:rPr>
          <w:b/>
          <w:i w:val="0"/>
          <w:color w:val="1A1A1A"/>
          <w:sz w:val="20"/>
        </w:rPr>
        <w:t xml:space="preserve">Databricks signed a term sheet at $188 billion on July 17, 40% above its last completed mark. </w:t>
      </w:r>
      <w:r>
        <w:rPr>
          <w:b w:val="0"/>
          <w:i w:val="0"/>
          <w:color w:val="1A1A1A"/>
          <w:sz w:val="20"/>
        </w:rPr>
        <w:t>Coatue leads the round, joined by new and existing investors, and press reports put the size near $3 billion.</w:t>
      </w:r>
      <w:r>
        <w:rPr>
          <w:b w:val="0"/>
          <w:color w:val="1A1A1A"/>
          <w:sz w:val="20"/>
          <w:vertAlign w:val="superscript"/>
        </w:rPr>
        <w:t>1</w:t>
      </w:r>
      <w:r>
        <w:rPr>
          <w:b w:val="0"/>
          <w:color w:val="1A1A1A"/>
          <w:sz w:val="20"/>
          <w:vertAlign w:val="superscript"/>
        </w:rPr>
        <w:t>,3</w:t>
      </w:r>
      <w:r>
        <w:rPr>
          <w:b w:val="0"/>
          <w:i w:val="0"/>
          <w:color w:val="1A1A1A"/>
          <w:sz w:val="20"/>
        </w:rPr>
        <w:t xml:space="preserve"> The company expects to close later this summer; until funds settle, the $134 billion February mark anchors the base case.</w:t>
      </w:r>
    </w:p>
    <w:p>
      <w:pPr>
        <w:pStyle w:val="ListBullet"/>
        <w:spacing w:after="120"/>
        <w:ind w:left="403"/>
      </w:pPr>
      <w:r>
        <w:rPr>
          <w:b/>
          <w:i w:val="0"/>
          <w:color w:val="1A1A1A"/>
          <w:sz w:val="20"/>
        </w:rPr>
        <w:t xml:space="preserve">The same $6.9 billion run-rate now carries two prices: 19.4x at the completed mark and 27.2x at the announced one. </w:t>
      </w:r>
      <w:r>
        <w:rPr>
          <w:b w:val="0"/>
          <w:i w:val="0"/>
          <w:color w:val="1A1A1A"/>
          <w:sz w:val="20"/>
        </w:rPr>
        <w:t>No operating figure moved with the announcement, so the September print will decide which multiple the buyer actually paid.</w:t>
      </w:r>
      <w:r>
        <w:rPr>
          <w:b w:val="0"/>
          <w:color w:val="1A1A1A"/>
          <w:sz w:val="20"/>
          <w:vertAlign w:val="superscript"/>
        </w:rPr>
        <w:t>7</w:t>
      </w:r>
    </w:p>
    <w:p>
      <w:pPr>
        <w:pStyle w:val="ListBullet"/>
        <w:spacing w:after="120"/>
        <w:ind w:left="403"/>
      </w:pPr>
      <w:r>
        <w:rPr>
          <w:b/>
          <w:i w:val="0"/>
          <w:color w:val="1A1A1A"/>
          <w:sz w:val="20"/>
        </w:rPr>
        <w:t xml:space="preserve">Revenue is accelerating through $7 billion, with growth climbing across four straight prints from +50% to +80% YoY. </w:t>
      </w:r>
      <w:r>
        <w:rPr>
          <w:b w:val="0"/>
          <w:i w:val="0"/>
          <w:color w:val="1A1A1A"/>
          <w:sz w:val="20"/>
        </w:rPr>
        <w:t>Gross margin is the counterweight: 74%, guided lower, and four points above the 70% floor that would force a quality re-score regardless of the round.</w:t>
      </w:r>
      <w:r>
        <w:rPr>
          <w:b w:val="0"/>
          <w:color w:val="1A1A1A"/>
          <w:sz w:val="20"/>
          <w:vertAlign w:val="superscript"/>
        </w:rPr>
        <w:t>7</w:t>
      </w:r>
    </w:p>
    <w:p>
      <w:pPr>
        <w:pStyle w:val="ListBullet"/>
        <w:spacing w:after="120"/>
        <w:ind w:left="403"/>
      </w:pPr>
      <w:r>
        <w:rPr>
          <w:b/>
          <w:i w:val="0"/>
          <w:color w:val="1A1A1A"/>
          <w:sz w:val="20"/>
        </w:rPr>
        <w:t xml:space="preserve">At either mark, Databricks remains the cohort's cheapest quality-adjusted asset: $15.2 billion per point of business quality at the completed mark, roughly $21.3 billion at the announced one (est.). </w:t>
      </w:r>
      <w:r>
        <w:rPr>
          <w:b w:val="0"/>
          <w:i w:val="0"/>
          <w:color w:val="1A1A1A"/>
          <w:sz w:val="20"/>
        </w:rPr>
        <w:t>The nearest peer pays about $118 billion per point. We assess a close by October 31 as very likely (80-95%). Confidence: moderate; the size and terms remain press-sourced.</w:t>
      </w:r>
      <w:r>
        <w:rPr>
          <w:b w:val="0"/>
          <w:color w:val="1A1A1A"/>
          <w:sz w:val="20"/>
          <w:vertAlign w:val="superscript"/>
        </w:rPr>
        <w:t>3</w:t>
      </w:r>
    </w:p>
    <w:p>
      <w:pPr>
        <w:pStyle w:val="Heading2"/>
      </w:pPr>
      <w:r>
        <w:t>The term sheet: signed at $188 billion, unclosed</w:t>
      </w:r>
    </w:p>
    <w:p>
      <w:pPr>
        <w:spacing w:after="140"/>
        <w:jc w:val="both"/>
      </w:pPr>
      <w:r>
        <w:rPr>
          <w:b w:val="0"/>
          <w:i w:val="0"/>
          <w:color w:val="262B35"/>
          <w:sz w:val="21"/>
        </w:rPr>
        <w:t>The round spent June as a rumor and July as a fact. On July 17, Databricks signed a term sheet for a strategic round at $188 billion post-money, led by Coatue and joined by new and existing investors.</w:t>
      </w:r>
      <w:r>
        <w:rPr>
          <w:b w:val="0"/>
          <w:color w:val="262B35"/>
          <w:sz w:val="21"/>
          <w:vertAlign w:val="superscript"/>
        </w:rPr>
        <w:t>1</w:t>
      </w:r>
      <w:r>
        <w:rPr>
          <w:b w:val="0"/>
          <w:i w:val="0"/>
          <w:color w:val="262B35"/>
          <w:sz w:val="21"/>
        </w:rPr>
        <w:t xml:space="preserve"> The company has not said how much it is raising; press reports put the figure near $3 billion.</w:t>
      </w:r>
      <w:r>
        <w:rPr>
          <w:b w:val="0"/>
          <w:color w:val="262B35"/>
          <w:sz w:val="21"/>
          <w:vertAlign w:val="superscript"/>
        </w:rPr>
        <w:t>3</w:t>
      </w:r>
      <w:r>
        <w:rPr>
          <w:b w:val="0"/>
          <w:i w:val="0"/>
          <w:color w:val="262B35"/>
          <w:sz w:val="21"/>
        </w:rPr>
        <w:t xml:space="preserve"> Nor is the money in hand. The close is expected later this summer, and PitchBook carries the round as announced and in progress, the thirteenth in the company's history.</w:t>
      </w:r>
      <w:r>
        <w:rPr>
          <w:b w:val="0"/>
          <w:color w:val="262B35"/>
          <w:sz w:val="21"/>
          <w:vertAlign w:val="superscript"/>
        </w:rPr>
        <w:t>2</w:t>
      </w:r>
      <w:r>
        <w:rPr>
          <w:b w:val="0"/>
          <w:color w:val="262B35"/>
          <w:sz w:val="21"/>
          <w:vertAlign w:val="superscript"/>
        </w:rPr>
        <w:t>,5</w:t>
      </w:r>
    </w:p>
    <w:p>
      <w:pPr>
        <w:spacing w:after="140"/>
        <w:jc w:val="both"/>
      </w:pPr>
      <w:r>
        <w:rPr>
          <w:b w:val="0"/>
          <w:i w:val="0"/>
          <w:color w:val="262B35"/>
          <w:sz w:val="21"/>
        </w:rPr>
        <w:t>The price carries the first insight. February's completed mark was $134 billion; the term sheet lands 40% above it, and $13 billion above the top of the $165 billion to $175 billion range that circulated in June.</w:t>
      </w:r>
      <w:r>
        <w:rPr>
          <w:b w:val="0"/>
          <w:color w:val="262B35"/>
          <w:sz w:val="21"/>
          <w:vertAlign w:val="superscript"/>
        </w:rPr>
        <w:t>6</w:t>
      </w:r>
      <w:r>
        <w:rPr>
          <w:b w:val="0"/>
          <w:i w:val="0"/>
          <w:color w:val="262B35"/>
          <w:sz w:val="21"/>
        </w:rPr>
        <w:t xml:space="preserve"> Rumored rounds tend to shrink on contact with a term sheet, because talks leak at their most hopeful number. This one grew, and the growth is the clearest available reading of demand. Even so, the step is restrained by cohort standards: over the same five months, the nearest frontier peer moved from $380 billion to $965 billion.</w:t>
      </w:r>
      <w:r>
        <w:rPr>
          <w:b w:val="0"/>
          <w:color w:val="262B35"/>
          <w:sz w:val="21"/>
          <w:vertAlign w:val="superscript"/>
        </w:rPr>
        <w:t>4</w:t>
      </w:r>
    </w:p>
    <w:p>
      <w:pPr>
        <w:spacing w:after="140"/>
        <w:jc w:val="both"/>
      </w:pPr>
      <w:r>
        <w:rPr>
          <w:b w:val="0"/>
          <w:i w:val="0"/>
          <w:color w:val="262B35"/>
          <w:sz w:val="21"/>
        </w:rPr>
        <w:t>The size carries the second. Three billion dollars is less than half of February's $7.0 billion raise, and it is being sought by a business that already funds itself from operations.</w:t>
      </w:r>
      <w:r>
        <w:rPr>
          <w:b w:val="0"/>
          <w:color w:val="262B35"/>
          <w:sz w:val="21"/>
          <w:vertAlign w:val="superscript"/>
        </w:rPr>
        <w:t>6</w:t>
      </w:r>
      <w:r>
        <w:rPr>
          <w:b w:val="0"/>
          <w:i w:val="0"/>
          <w:color w:val="262B35"/>
          <w:sz w:val="21"/>
        </w:rPr>
        <w:t xml:space="preserve"> A company that raises small at a 40% markup is not covering a shortfall; it is setting a higher price on itself and adding reserves, on its own schedule, with the proceeds pointed at AI products: Genie, Unity AI Gateway, and Lakebase.</w:t>
      </w:r>
      <w:r>
        <w:rPr>
          <w:b w:val="0"/>
          <w:color w:val="262B35"/>
          <w:sz w:val="21"/>
          <w:vertAlign w:val="superscript"/>
        </w:rPr>
        <w:t>1</w:t>
      </w:r>
      <w:r>
        <w:rPr>
          <w:b w:val="0"/>
          <w:i w:val="0"/>
          <w:color w:val="262B35"/>
          <w:sz w:val="21"/>
        </w:rPr>
        <w:t xml:space="preserve"> None of this moves the base case. An unclosed round never anchors valuation under the house rule, so $134 billion remains the working mark until funds settle. Whether the higher price is earned is a question for the operating record, and the record has an answer.</w:t>
      </w:r>
    </w:p>
    <w:p>
      <w:pPr>
        <w:keepNext/>
        <w:spacing w:after="40"/>
        <w:jc w:val="center"/>
      </w:pPr>
      <w:r>
        <w:drawing>
          <wp:inline xmlns:a="http://schemas.openxmlformats.org/drawingml/2006/main" xmlns:pic="http://schemas.openxmlformats.org/drawingml/2006/picture">
            <wp:extent cx="5943600" cy="3321847"/>
            <wp:docPr id="1" name="Picture 1"/>
            <wp:cNvGraphicFramePr>
              <a:graphicFrameLocks noChangeAspect="1"/>
            </wp:cNvGraphicFramePr>
            <a:graphic>
              <a:graphicData uri="http://schemas.openxmlformats.org/drawingml/2006/picture">
                <pic:pic>
                  <pic:nvPicPr>
                    <pic:cNvPr id="0" name="val_ladder_aug2026.png"/>
                    <pic:cNvPicPr/>
                  </pic:nvPicPr>
                  <pic:blipFill>
                    <a:blip r:embed="rId9"/>
                    <a:stretch>
                      <a:fillRect/>
                    </a:stretch>
                  </pic:blipFill>
                  <pic:spPr>
                    <a:xfrm>
                      <a:off x="0" y="0"/>
                      <a:ext cx="5943600" cy="3321847"/>
                    </a:xfrm>
                    <a:prstGeom prst="rect"/>
                  </pic:spPr>
                </pic:pic>
              </a:graphicData>
            </a:graphic>
          </wp:inline>
        </w:drawing>
      </w:r>
    </w:p>
    <w:p>
      <w:pPr>
        <w:spacing w:after="240"/>
        <w:jc w:val="left"/>
      </w:pPr>
      <w:r>
        <w:rPr>
          <w:b w:val="0"/>
          <w:i/>
          <w:color w:val="6B7280"/>
          <w:sz w:val="15"/>
        </w:rPr>
        <w:t>Post-money marks, December 2024 to July 2026. Completed marks solid; the July 17, 2026 term sheet hatched: announced at $188B, unclosed, not adopted until funds settle.</w:t>
      </w:r>
    </w:p>
    <w:p>
      <w:pPr>
        <w:pStyle w:val="Heading2"/>
      </w:pPr>
      <w:r>
        <w:t>The engine under the bid: four accelerating prints</w:t>
      </w:r>
    </w:p>
    <w:p>
      <w:pPr>
        <w:spacing w:after="140"/>
        <w:jc w:val="both"/>
      </w:pPr>
      <w:r>
        <w:rPr>
          <w:b w:val="0"/>
          <w:i w:val="0"/>
          <w:color w:val="262B35"/>
          <w:sz w:val="21"/>
        </w:rPr>
        <w:t>The record's answer is acceleration. Nothing operational moved with the announcement; the bid re-rates an engine that has grown faster with every report. The latest print stands at $6.9 billion of annualized revenue, up 80% year over year, the fourth consecutive print in which growth accelerated.</w:t>
      </w:r>
      <w:r>
        <w:rPr>
          <w:b w:val="0"/>
          <w:color w:val="262B35"/>
          <w:sz w:val="21"/>
          <w:vertAlign w:val="superscript"/>
        </w:rPr>
        <w:t>7</w:t>
      </w:r>
      <w:r>
        <w:rPr>
          <w:b w:val="0"/>
          <w:i w:val="0"/>
          <w:color w:val="262B35"/>
          <w:sz w:val="21"/>
        </w:rPr>
        <w:t xml:space="preserve"> The ladder reads $4.0 billion, $4.8 billion, $5.4 billion, and $6.9 billion across ten months. Software companies at this scale are supposed to slow down. This one has been speeding up.</w:t>
      </w:r>
    </w:p>
    <w:p>
      <w:pPr>
        <w:spacing w:after="140"/>
        <w:jc w:val="both"/>
      </w:pPr>
      <w:r>
        <w:rPr>
          <w:b w:val="0"/>
          <w:i w:val="0"/>
          <w:color w:val="262B35"/>
          <w:sz w:val="21"/>
        </w:rPr>
        <w:t>Gross margin is the counterweight, and it is the number to watch. The margin stands at 74%, down from above 80%, and management guides it lower for a structural reason: agents fire queries at machine speed, and the compute bill lands in cost of revenue.</w:t>
      </w:r>
      <w:r>
        <w:rPr>
          <w:b w:val="0"/>
          <w:color w:val="262B35"/>
          <w:sz w:val="21"/>
          <w:vertAlign w:val="superscript"/>
        </w:rPr>
        <w:t>7</w:t>
      </w:r>
      <w:r>
        <w:rPr>
          <w:b w:val="0"/>
          <w:i w:val="0"/>
          <w:color w:val="262B35"/>
          <w:sz w:val="21"/>
        </w:rPr>
        <w:t xml:space="preserve"> That trade sits at the heart of the story because the fastest-growing revenue arrives with its own rising cost attached. The floor that matters is 70%. Break it, and the quality score gets rebuilt regardless of what the round does. The cushion today is four points.</w:t>
      </w:r>
    </w:p>
    <w:p>
      <w:pPr>
        <w:spacing w:after="140"/>
        <w:jc w:val="both"/>
      </w:pPr>
      <w:r>
        <w:rPr>
          <w:b w:val="0"/>
          <w:i w:val="0"/>
          <w:color w:val="262B35"/>
          <w:sz w:val="21"/>
        </w:rPr>
        <w:t>The rest of the record is firm but dated. At the February disclosure, free cash flow was positive on both trailing and fiscal-2025 bases, retention ran above 140%, and the platform served more than 20,000 organizations; each of those figures is now past its refresh window.</w:t>
      </w:r>
      <w:r>
        <w:rPr>
          <w:b w:val="0"/>
          <w:color w:val="262B35"/>
          <w:sz w:val="21"/>
          <w:vertAlign w:val="superscript"/>
        </w:rPr>
        <w:t>6</w:t>
      </w:r>
      <w:r>
        <w:rPr>
          <w:b w:val="0"/>
          <w:i w:val="0"/>
          <w:color w:val="262B35"/>
          <w:sz w:val="21"/>
        </w:rPr>
        <w:t xml:space="preserve"> Headcount stands at 9,000.</w:t>
      </w:r>
      <w:r>
        <w:rPr>
          <w:b w:val="0"/>
          <w:color w:val="262B35"/>
          <w:sz w:val="21"/>
          <w:vertAlign w:val="superscript"/>
        </w:rPr>
        <w:t>5</w:t>
      </w:r>
      <w:r>
        <w:rPr>
          <w:b w:val="0"/>
          <w:i w:val="0"/>
          <w:color w:val="262B35"/>
          <w:sz w:val="21"/>
        </w:rPr>
        <w:t xml:space="preserve"> The September-to-October window is the scheduled refresh; until then, the old numbers carry their dates. What can be priced today is the current part of the record: the growth, the margin, and the gap between the two marks.</w:t>
      </w:r>
    </w:p>
    <w:p>
      <w:pPr>
        <w:keepNext/>
        <w:spacing w:after="40"/>
        <w:jc w:val="center"/>
      </w:pPr>
      <w:r>
        <w:drawing>
          <wp:inline xmlns:a="http://schemas.openxmlformats.org/drawingml/2006/main" xmlns:pic="http://schemas.openxmlformats.org/drawingml/2006/picture">
            <wp:extent cx="5943600" cy="3033244"/>
            <wp:docPr id="2" name="Picture 2"/>
            <wp:cNvGraphicFramePr>
              <a:graphicFrameLocks noChangeAspect="1"/>
            </wp:cNvGraphicFramePr>
            <a:graphic>
              <a:graphicData uri="http://schemas.openxmlformats.org/drawingml/2006/picture">
                <pic:pic>
                  <pic:nvPicPr>
                    <pic:cNvPr id="0" name="acceleration_aug2026.png"/>
                    <pic:cNvPicPr/>
                  </pic:nvPicPr>
                  <pic:blipFill>
                    <a:blip r:embed="rId10"/>
                    <a:stretch>
                      <a:fillRect/>
                    </a:stretch>
                  </pic:blipFill>
                  <pic:spPr>
                    <a:xfrm>
                      <a:off x="0" y="0"/>
                      <a:ext cx="5943600" cy="3033244"/>
                    </a:xfrm>
                    <a:prstGeom prst="rect"/>
                  </pic:spPr>
                </pic:pic>
              </a:graphicData>
            </a:graphic>
          </wp:inline>
        </w:drawing>
      </w:r>
    </w:p>
    <w:p>
      <w:pPr>
        <w:spacing w:after="240"/>
        <w:jc w:val="left"/>
      </w:pPr>
      <w:r>
        <w:rPr>
          <w:b w:val="0"/>
          <w:i/>
          <w:color w:val="6B7280"/>
          <w:sz w:val="15"/>
        </w:rPr>
        <w:t>Annualized revenue run-rate (bars) and year-over-year growth (line), company disclosures September 2025 to June 2026. No new print since June 16.</w:t>
      </w:r>
    </w:p>
    <w:p>
      <w:pPr>
        <w:pStyle w:val="Heading2"/>
      </w:pPr>
      <w:r>
        <w:t>Pricing the quality: both marks stay on the cohort floor</w:t>
      </w:r>
    </w:p>
    <w:p>
      <w:pPr>
        <w:spacing w:after="140"/>
        <w:jc w:val="both"/>
      </w:pPr>
      <w:r>
        <w:rPr>
          <w:b w:val="0"/>
          <w:i w:val="0"/>
          <w:color w:val="262B35"/>
          <w:sz w:val="21"/>
        </w:rPr>
        <w:t>Pricing that record is straightforward because the bid re-prices the same June print. At $134 billion, the multiple is 19.4x run-rate; at $188 billion, it is 27.2x. Growth adjustment keeps both defensible. At 27.2x against 80% growth, a point of growth costs 0.34x, while the closest listed comparable trades at 15.3x against guided growth of 31%, or 0.49x per point.</w:t>
      </w:r>
      <w:r>
        <w:rPr>
          <w:b w:val="0"/>
          <w:color w:val="262B35"/>
          <w:sz w:val="21"/>
          <w:vertAlign w:val="superscript"/>
        </w:rPr>
        <w:t>9</w:t>
      </w:r>
      <w:r>
        <w:rPr>
          <w:b w:val="0"/>
          <w:i w:val="0"/>
          <w:color w:val="262B35"/>
          <w:sz w:val="21"/>
        </w:rPr>
        <w:t xml:space="preserve"> The buyer at the higher private price still pays less per unit of growth than the public market pays for the slower asset.</w:t>
      </w:r>
    </w:p>
    <w:p>
      <w:pPr>
        <w:spacing w:after="140"/>
        <w:jc w:val="both"/>
      </w:pPr>
      <w:r>
        <w:rPr>
          <w:b w:val="0"/>
          <w:i w:val="0"/>
          <w:color w:val="262B35"/>
          <w:sz w:val="21"/>
        </w:rPr>
        <w:t>The quality lens tells the same story from a different angle. On the desk's framework, the completed mark prices business quality at $15.2 billion per point, and the announced bid prices it at roughly $21.3 billion (est.). The nearest peer pays about $118 billion per point, the top of the cohort pays close to $188 billion, and the listed parent's implied AI segment pays roughly $279 billion (est.). At either mark, Databricks prices at least five times below its nearest peer. That spread, not the round, is the durable fact in this note.</w:t>
      </w:r>
    </w:p>
    <w:p>
      <w:pPr>
        <w:spacing w:after="140"/>
        <w:jc w:val="both"/>
      </w:pPr>
      <w:r>
        <w:rPr>
          <w:b w:val="0"/>
          <w:i w:val="0"/>
          <w:color w:val="262B35"/>
          <w:sz w:val="21"/>
        </w:rPr>
        <w:t>Two dates will decide the next quarter of this coverage. The first is the close: the company points to later this summer, and we assess completion by October 31 as very likely (80-95%). Confidence: moderate, because the size and terms rest on press sourcing the company has not confirmed.</w:t>
      </w:r>
      <w:r>
        <w:rPr>
          <w:b w:val="0"/>
          <w:color w:val="262B35"/>
          <w:sz w:val="21"/>
          <w:vertAlign w:val="superscript"/>
        </w:rPr>
        <w:t>3</w:t>
      </w:r>
      <w:r>
        <w:rPr>
          <w:b w:val="0"/>
          <w:i w:val="0"/>
          <w:color w:val="262B35"/>
          <w:sz w:val="21"/>
        </w:rPr>
        <w:t xml:space="preserve"> The second is the print: a September-to-October disclosure that tests the run-rate against $6.9 billion, the margin against the 70% floor, and February's metrics against fresh ones. The kill criterion is already written. A gross-margin print below 70% by the October disclosure forces a quality re-score, round or no round. The registry, meanwhile, stays quiet: no S-1 was on file at the last check.</w:t>
      </w:r>
      <w:r>
        <w:rPr>
          <w:b w:val="0"/>
          <w:color w:val="262B35"/>
          <w:sz w:val="21"/>
          <w:vertAlign w:val="superscript"/>
        </w:rPr>
        <w:t>8</w:t>
      </w:r>
    </w:p>
    <w:p>
      <w:pPr>
        <w:keepNext/>
        <w:spacing w:after="40"/>
        <w:jc w:val="center"/>
      </w:pPr>
      <w:r>
        <w:drawing>
          <wp:inline xmlns:a="http://schemas.openxmlformats.org/drawingml/2006/main" xmlns:pic="http://schemas.openxmlformats.org/drawingml/2006/picture">
            <wp:extent cx="5943600" cy="3826819"/>
            <wp:docPr id="3" name="Picture 3"/>
            <wp:cNvGraphicFramePr>
              <a:graphicFrameLocks noChangeAspect="1"/>
            </wp:cNvGraphicFramePr>
            <a:graphic>
              <a:graphicData uri="http://schemas.openxmlformats.org/drawingml/2006/picture">
                <pic:pic>
                  <pic:nvPicPr>
                    <pic:cNvPr id="0" name="per_point_aug2026.png"/>
                    <pic:cNvPicPr/>
                  </pic:nvPicPr>
                  <pic:blipFill>
                    <a:blip r:embed="rId11"/>
                    <a:stretch>
                      <a:fillRect/>
                    </a:stretch>
                  </pic:blipFill>
                  <pic:spPr>
                    <a:xfrm>
                      <a:off x="0" y="0"/>
                      <a:ext cx="5943600" cy="3826819"/>
                    </a:xfrm>
                    <a:prstGeom prst="rect"/>
                  </pic:spPr>
                </pic:pic>
              </a:graphicData>
            </a:graphic>
          </wp:inline>
        </w:drawing>
      </w:r>
    </w:p>
    <w:p>
      <w:pPr>
        <w:spacing w:after="240"/>
        <w:jc w:val="left"/>
      </w:pPr>
      <w:r>
        <w:rPr>
          <w:b w:val="0"/>
          <w:i/>
          <w:color w:val="6B7280"/>
          <w:sz w:val="15"/>
        </w:rPr>
        <w:t>Valuation per AIBQ point, August 10, 2026. Databricks shown at completed and announced marks; xAI implied inside its listed parent (est.); SSI excluded (pre-revenue).</w:t>
      </w:r>
    </w:p>
    <w:p>
      <w:pPr>
        <w:pStyle w:val="Heading2"/>
      </w:pPr>
      <w:r>
        <w:t>Estimative language</w:t>
      </w:r>
    </w:p>
    <w:p>
      <w:pPr>
        <w:spacing w:after="140"/>
        <w:jc w:val="both"/>
      </w:pPr>
      <w:r>
        <w:rPr>
          <w:b w:val="0"/>
          <w:i w:val="0"/>
          <w:color w:val="262B35"/>
          <w:sz w:val="21"/>
        </w:rPr>
        <w:t>Forward-looking judgments in this note use the desk lexicon below. Numbers in parentheses give the assessed probability range. Confidence is stated separately and describes the evidence base, not the event. 'Possible' is never modified; one odds-bearing word per sentence.</w:t>
      </w:r>
    </w:p>
    <w:p>
      <w:pPr>
        <w:keepNext/>
        <w:spacing w:after="60"/>
        <w:jc w:val="left"/>
      </w:pPr>
      <w:r>
        <w:rPr>
          <w:b/>
          <w:i w:val="0"/>
          <w:color w:val="1F2A44"/>
          <w:sz w:val="19"/>
        </w:rPr>
        <w:t>Probability bands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4680"/>
        <w:gridCol w:w="4680"/>
      </w:tblGrid>
      <w:tr>
        <w:trPr>
          <w:cantSplit/>
          <w:tblHeader w:val="true"/>
        </w:trPr>
        <w:tc>
          <w:tcPr>
            <w:tcW w:type="dxa" w:w="7920"/>
            <w:shd w:val="clear" w:fill="2F5496"/>
          </w:tcPr>
          <w:p>
            <w:pPr>
              <w:spacing w:after="0"/>
              <w:jc w:val="left"/>
            </w:pPr>
            <w:r/>
            <w:r>
              <w:rPr>
                <w:rFonts w:ascii="Segoe UI" w:hAnsi="Segoe UI"/>
                <w:b/>
                <w:i w:val="0"/>
                <w:color w:val="FFFFFF"/>
                <w:sz w:val="17"/>
              </w:rPr>
              <w:t>Term</w:t>
            </w:r>
          </w:p>
        </w:tc>
        <w:tc>
          <w:tcPr>
            <w:tcW w:type="dxa" w:w="1440"/>
            <w:shd w:val="clear" w:fill="2F5496"/>
          </w:tcPr>
          <w:p>
            <w:pPr>
              <w:spacing w:after="0"/>
              <w:jc w:val="right"/>
            </w:pPr>
            <w:r/>
            <w:r>
              <w:rPr>
                <w:rFonts w:ascii="Segoe UI" w:hAnsi="Segoe UI"/>
                <w:b/>
                <w:i w:val="0"/>
                <w:color w:val="FFFFFF"/>
                <w:sz w:val="17"/>
              </w:rPr>
              <w:t>Range</w:t>
            </w:r>
          </w:p>
        </w:tc>
      </w:tr>
      <w:tr>
        <w:trPr>
          <w:cantSplit/>
        </w:trPr>
        <w:tc>
          <w:tcPr>
            <w:tcW w:type="dxa" w:w="7920"/>
          </w:tcPr>
          <w:p>
            <w:pPr>
              <w:spacing w:after="0"/>
              <w:jc w:val="left"/>
            </w:pPr>
            <w:r/>
            <w:r>
              <w:rPr>
                <w:rFonts w:ascii="Segoe UI" w:hAnsi="Segoe UI"/>
                <w:b w:val="0"/>
                <w:i w:val="0"/>
                <w:color w:val="262B35"/>
                <w:sz w:val="16"/>
              </w:rPr>
              <w:t>Almost no chance / remote</w:t>
            </w:r>
          </w:p>
        </w:tc>
        <w:tc>
          <w:tcPr>
            <w:tcW w:type="dxa" w:w="1440"/>
          </w:tcPr>
          <w:p>
            <w:pPr>
              <w:spacing w:after="0"/>
              <w:jc w:val="right"/>
            </w:pPr>
            <w:r/>
            <w:r>
              <w:rPr>
                <w:rFonts w:ascii="Segoe UI" w:hAnsi="Segoe UI"/>
                <w:b w:val="0"/>
                <w:i w:val="0"/>
                <w:color w:val="262B35"/>
                <w:sz w:val="16"/>
              </w:rPr>
              <w:t>1-5%</w:t>
            </w:r>
          </w:p>
        </w:tc>
      </w:tr>
      <w:tr>
        <w:trPr>
          <w:cantSplit/>
        </w:trPr>
        <w:tc>
          <w:tcPr>
            <w:tcW w:type="dxa" w:w="7920"/>
            <w:shd w:val="clear" w:fill="F2F5F9"/>
          </w:tcPr>
          <w:p>
            <w:pPr>
              <w:spacing w:after="0"/>
              <w:jc w:val="left"/>
            </w:pPr>
            <w:r/>
            <w:r>
              <w:rPr>
                <w:rFonts w:ascii="Segoe UI" w:hAnsi="Segoe UI"/>
                <w:b w:val="0"/>
                <w:i w:val="0"/>
                <w:color w:val="262B35"/>
                <w:sz w:val="16"/>
              </w:rPr>
              <w:t>Very unlikely / highly improbable</w:t>
            </w:r>
          </w:p>
        </w:tc>
        <w:tc>
          <w:tcPr>
            <w:tcW w:type="dxa" w:w="1440"/>
            <w:shd w:val="clear" w:fill="F2F5F9"/>
          </w:tcPr>
          <w:p>
            <w:pPr>
              <w:spacing w:after="0"/>
              <w:jc w:val="right"/>
            </w:pPr>
            <w:r/>
            <w:r>
              <w:rPr>
                <w:rFonts w:ascii="Segoe UI" w:hAnsi="Segoe UI"/>
                <w:b w:val="0"/>
                <w:i w:val="0"/>
                <w:color w:val="262B35"/>
                <w:sz w:val="16"/>
              </w:rPr>
              <w:t>5-20%</w:t>
            </w:r>
          </w:p>
        </w:tc>
      </w:tr>
      <w:tr>
        <w:trPr>
          <w:cantSplit/>
        </w:trPr>
        <w:tc>
          <w:tcPr>
            <w:tcW w:type="dxa" w:w="7920"/>
          </w:tcPr>
          <w:p>
            <w:pPr>
              <w:spacing w:after="0"/>
              <w:jc w:val="left"/>
            </w:pPr>
            <w:r/>
            <w:r>
              <w:rPr>
                <w:rFonts w:ascii="Segoe UI" w:hAnsi="Segoe UI"/>
                <w:b w:val="0"/>
                <w:i w:val="0"/>
                <w:color w:val="262B35"/>
                <w:sz w:val="16"/>
              </w:rPr>
              <w:t>Unlikely / improbable</w:t>
            </w:r>
          </w:p>
        </w:tc>
        <w:tc>
          <w:tcPr>
            <w:tcW w:type="dxa" w:w="1440"/>
          </w:tcPr>
          <w:p>
            <w:pPr>
              <w:spacing w:after="0"/>
              <w:jc w:val="right"/>
            </w:pPr>
            <w:r/>
            <w:r>
              <w:rPr>
                <w:rFonts w:ascii="Segoe UI" w:hAnsi="Segoe UI"/>
                <w:b w:val="0"/>
                <w:i w:val="0"/>
                <w:color w:val="262B35"/>
                <w:sz w:val="16"/>
              </w:rPr>
              <w:t>20-45%</w:t>
            </w:r>
          </w:p>
        </w:tc>
      </w:tr>
      <w:tr>
        <w:trPr>
          <w:cantSplit/>
        </w:trPr>
        <w:tc>
          <w:tcPr>
            <w:tcW w:type="dxa" w:w="7920"/>
            <w:shd w:val="clear" w:fill="F2F5F9"/>
          </w:tcPr>
          <w:p>
            <w:pPr>
              <w:spacing w:after="0"/>
              <w:jc w:val="left"/>
            </w:pPr>
            <w:r/>
            <w:r>
              <w:rPr>
                <w:rFonts w:ascii="Segoe UI" w:hAnsi="Segoe UI"/>
                <w:b w:val="0"/>
                <w:i w:val="0"/>
                <w:color w:val="262B35"/>
                <w:sz w:val="16"/>
              </w:rPr>
              <w:t>Roughly even chance</w:t>
            </w:r>
          </w:p>
        </w:tc>
        <w:tc>
          <w:tcPr>
            <w:tcW w:type="dxa" w:w="1440"/>
            <w:shd w:val="clear" w:fill="F2F5F9"/>
          </w:tcPr>
          <w:p>
            <w:pPr>
              <w:spacing w:after="0"/>
              <w:jc w:val="right"/>
            </w:pPr>
            <w:r/>
            <w:r>
              <w:rPr>
                <w:rFonts w:ascii="Segoe UI" w:hAnsi="Segoe UI"/>
                <w:b w:val="0"/>
                <w:i w:val="0"/>
                <w:color w:val="262B35"/>
                <w:sz w:val="16"/>
              </w:rPr>
              <w:t>45-55%</w:t>
            </w:r>
          </w:p>
        </w:tc>
      </w:tr>
      <w:tr>
        <w:trPr>
          <w:cantSplit/>
        </w:trPr>
        <w:tc>
          <w:tcPr>
            <w:tcW w:type="dxa" w:w="7920"/>
          </w:tcPr>
          <w:p>
            <w:pPr>
              <w:spacing w:after="0"/>
              <w:jc w:val="left"/>
            </w:pPr>
            <w:r/>
            <w:r>
              <w:rPr>
                <w:rFonts w:ascii="Segoe UI" w:hAnsi="Segoe UI"/>
                <w:b w:val="0"/>
                <w:i w:val="0"/>
                <w:color w:val="262B35"/>
                <w:sz w:val="16"/>
              </w:rPr>
              <w:t>Likely / probable</w:t>
            </w:r>
          </w:p>
        </w:tc>
        <w:tc>
          <w:tcPr>
            <w:tcW w:type="dxa" w:w="1440"/>
          </w:tcPr>
          <w:p>
            <w:pPr>
              <w:spacing w:after="0"/>
              <w:jc w:val="right"/>
            </w:pPr>
            <w:r/>
            <w:r>
              <w:rPr>
                <w:rFonts w:ascii="Segoe UI" w:hAnsi="Segoe UI"/>
                <w:b w:val="0"/>
                <w:i w:val="0"/>
                <w:color w:val="262B35"/>
                <w:sz w:val="16"/>
              </w:rPr>
              <w:t>55-80%</w:t>
            </w:r>
          </w:p>
        </w:tc>
      </w:tr>
      <w:tr>
        <w:trPr>
          <w:cantSplit/>
        </w:trPr>
        <w:tc>
          <w:tcPr>
            <w:tcW w:type="dxa" w:w="7920"/>
            <w:shd w:val="clear" w:fill="F2F5F9"/>
          </w:tcPr>
          <w:p>
            <w:pPr>
              <w:spacing w:after="0"/>
              <w:jc w:val="left"/>
            </w:pPr>
            <w:r/>
            <w:r>
              <w:rPr>
                <w:rFonts w:ascii="Segoe UI" w:hAnsi="Segoe UI"/>
                <w:b w:val="0"/>
                <w:i w:val="0"/>
                <w:color w:val="262B35"/>
                <w:sz w:val="16"/>
              </w:rPr>
              <w:t>Very likely / highly probable</w:t>
            </w:r>
          </w:p>
        </w:tc>
        <w:tc>
          <w:tcPr>
            <w:tcW w:type="dxa" w:w="1440"/>
            <w:shd w:val="clear" w:fill="F2F5F9"/>
          </w:tcPr>
          <w:p>
            <w:pPr>
              <w:spacing w:after="0"/>
              <w:jc w:val="right"/>
            </w:pPr>
            <w:r/>
            <w:r>
              <w:rPr>
                <w:rFonts w:ascii="Segoe UI" w:hAnsi="Segoe UI"/>
                <w:b w:val="0"/>
                <w:i w:val="0"/>
                <w:color w:val="262B35"/>
                <w:sz w:val="16"/>
              </w:rPr>
              <w:t>80-95%</w:t>
            </w:r>
          </w:p>
        </w:tc>
      </w:tr>
      <w:tr>
        <w:trPr>
          <w:cantSplit/>
        </w:trPr>
        <w:tc>
          <w:tcPr>
            <w:tcW w:type="dxa" w:w="7920"/>
          </w:tcPr>
          <w:p>
            <w:pPr>
              <w:spacing w:after="0"/>
              <w:jc w:val="left"/>
            </w:pPr>
            <w:r/>
            <w:r>
              <w:rPr>
                <w:rFonts w:ascii="Segoe UI" w:hAnsi="Segoe UI"/>
                <w:b w:val="0"/>
                <w:i w:val="0"/>
                <w:color w:val="262B35"/>
                <w:sz w:val="16"/>
              </w:rPr>
              <w:t>Almost certain / nearly certain</w:t>
            </w:r>
          </w:p>
        </w:tc>
        <w:tc>
          <w:tcPr>
            <w:tcW w:type="dxa" w:w="1440"/>
          </w:tcPr>
          <w:p>
            <w:pPr>
              <w:spacing w:after="0"/>
              <w:jc w:val="right"/>
            </w:pPr>
            <w:r/>
            <w:r>
              <w:rPr>
                <w:rFonts w:ascii="Segoe UI" w:hAnsi="Segoe UI"/>
                <w:b w:val="0"/>
                <w:i w:val="0"/>
                <w:color w:val="262B35"/>
                <w:sz w:val="16"/>
              </w:rPr>
              <w:t>95-99%</w:t>
            </w:r>
          </w:p>
        </w:tc>
      </w:tr>
    </w:tbl>
    <w:p>
      <w:pPr>
        <w:spacing w:after="200"/>
        <w:jc w:val="left"/>
      </w:pPr>
      <w:r>
        <w:rPr>
          <w:b w:val="0"/>
          <w:i/>
          <w:color w:val="6B7280"/>
          <w:sz w:val="15"/>
        </w:rPr>
        <w:t>Desk adoption of the ICD 203 estimative standard; judgments are logged with dates and resolution criteria for calibration.</w:t>
      </w:r>
    </w:p>
    <w:p>
      <w:pPr>
        <w:pStyle w:val="Heading2"/>
      </w:pPr>
      <w:r>
        <w:t>References</w:t>
      </w:r>
    </w:p>
    <w:p>
      <w:pPr>
        <w:spacing w:after="60"/>
      </w:pPr>
      <w:r>
        <w:rPr>
          <w:b/>
          <w:sz w:val="18"/>
        </w:rPr>
        <w:t xml:space="preserve">1. </w:t>
      </w:r>
      <w:r>
        <w:rPr>
          <w:sz w:val="18"/>
        </w:rPr>
        <w:t xml:space="preserve">Databricks signs term sheet at $188B, Coatue lead (Reuters syndication), July 17, 2026.  </w:t>
      </w:r>
      <w:r>
        <w:rPr>
          <w:color w:val="0563C1"/>
          <w:sz w:val="18"/>
        </w:rPr>
        <w:t>https://www.dealstreetasia.com/stories/coatue-led-funding-round-to-value-databricks-at-188b-489409/</w:t>
      </w:r>
    </w:p>
    <w:p>
      <w:pPr>
        <w:spacing w:after="60"/>
      </w:pPr>
      <w:r>
        <w:rPr>
          <w:b/>
          <w:sz w:val="18"/>
        </w:rPr>
        <w:t xml:space="preserve">2. </w:t>
      </w:r>
      <w:r>
        <w:rPr>
          <w:sz w:val="18"/>
        </w:rPr>
        <w:t xml:space="preserve">Databricks hits $188B valuation (TechCrunch), July 17, 2026.  </w:t>
      </w:r>
      <w:r>
        <w:rPr>
          <w:color w:val="0563C1"/>
          <w:sz w:val="18"/>
        </w:rPr>
        <w:t>https://techcrunch.com/2026/07/17/databricks-hits-188b-valuation-extending-its-run-as-ais-favorite-second-act/</w:t>
      </w:r>
    </w:p>
    <w:p>
      <w:pPr>
        <w:spacing w:after="60"/>
      </w:pPr>
      <w:r>
        <w:rPr>
          <w:b/>
          <w:sz w:val="18"/>
        </w:rPr>
        <w:t xml:space="preserve">3. </w:t>
      </w:r>
      <w:r>
        <w:rPr>
          <w:sz w:val="18"/>
        </w:rPr>
        <w:t xml:space="preserve">Coatue-led $3B investment at $188B (WSJ, via Reuters/CNA), July 16-17, 2026.  </w:t>
      </w:r>
      <w:r>
        <w:rPr>
          <w:color w:val="0563C1"/>
          <w:sz w:val="18"/>
        </w:rPr>
        <w:t>https://www.channelnewsasia.com/business/databricks-valued-188-billion-after-coatue-led-investment-wsj-reports-6259931</w:t>
      </w:r>
    </w:p>
    <w:p>
      <w:pPr>
        <w:spacing w:after="60"/>
      </w:pPr>
      <w:r>
        <w:rPr>
          <w:b/>
          <w:sz w:val="18"/>
        </w:rPr>
        <w:t xml:space="preserve">4. </w:t>
      </w:r>
      <w:r>
        <w:rPr>
          <w:sz w:val="18"/>
        </w:rPr>
        <w:t xml:space="preserve">PitchBook News: Databricks' 40% valuation bump looks 'almost quaint' next to Anthropic, July 17, 2026.  </w:t>
      </w:r>
      <w:r>
        <w:rPr>
          <w:color w:val="0563C1"/>
          <w:sz w:val="18"/>
        </w:rPr>
        <w:t>https://my.pitchbook.com/news-center/pb208542455521588824</w:t>
      </w:r>
    </w:p>
    <w:p>
      <w:pPr>
        <w:spacing w:after="60"/>
      </w:pPr>
      <w:r>
        <w:rPr>
          <w:b/>
          <w:sz w:val="18"/>
        </w:rPr>
        <w:t xml:space="preserve">5. </w:t>
      </w:r>
      <w:r>
        <w:rPr>
          <w:sz w:val="18"/>
        </w:rPr>
        <w:t xml:space="preserve">PitchBook company profile 59199-40 (last updated August 10, 2026) and financing note, August 7, 2026.  </w:t>
      </w:r>
      <w:r>
        <w:rPr>
          <w:color w:val="0563C1"/>
          <w:sz w:val="18"/>
        </w:rPr>
        <w:t>https://my.pitchbook.com/profile/59199-40/company/profile</w:t>
      </w:r>
    </w:p>
    <w:p>
      <w:pPr>
        <w:spacing w:after="60"/>
      </w:pPr>
      <w:r>
        <w:rPr>
          <w:b/>
          <w:sz w:val="18"/>
        </w:rPr>
        <w:t xml:space="preserve">6. </w:t>
      </w:r>
      <w:r>
        <w:rPr>
          <w:sz w:val="18"/>
        </w:rPr>
        <w:t>Databricks company announcement: Series L final close and operating metrics, February 9, 2026.</w:t>
      </w:r>
    </w:p>
    <w:p>
      <w:pPr>
        <w:spacing w:after="60"/>
      </w:pPr>
      <w:r>
        <w:rPr>
          <w:b/>
          <w:sz w:val="18"/>
        </w:rPr>
        <w:t xml:space="preserve">7. </w:t>
      </w:r>
      <w:r>
        <w:rPr>
          <w:sz w:val="18"/>
        </w:rPr>
        <w:t>Databricks Data + AI Summit analyst-session disclosures ($6.9B run-rate, +80% YoY, 74% gross margin), June 16, 2026.</w:t>
      </w:r>
    </w:p>
    <w:p>
      <w:pPr>
        <w:spacing w:after="60"/>
      </w:pPr>
      <w:r>
        <w:rPr>
          <w:b/>
          <w:sz w:val="18"/>
        </w:rPr>
        <w:t xml:space="preserve">8. </w:t>
      </w:r>
      <w:r>
        <w:rPr>
          <w:sz w:val="18"/>
        </w:rPr>
        <w:t xml:space="preserve">SEC EDGAR submissions API, CIK 0001587468 (no registration statement on file), verified July 10, 2026.  </w:t>
      </w:r>
      <w:r>
        <w:rPr>
          <w:color w:val="0563C1"/>
          <w:sz w:val="18"/>
        </w:rPr>
        <w:t>https://data.sec.gov/submissions/CIK0001587468.json</w:t>
      </w:r>
    </w:p>
    <w:p>
      <w:pPr>
        <w:spacing w:after="60"/>
      </w:pPr>
      <w:r>
        <w:rPr>
          <w:b/>
          <w:sz w:val="18"/>
        </w:rPr>
        <w:t xml:space="preserve">9. </w:t>
      </w:r>
      <w:r>
        <w:rPr>
          <w:sz w:val="18"/>
        </w:rPr>
        <w:t>Snowflake 8-K, Q1 FY2027 results and FY2027 product revenue guidance ($5.84B, +31%), May 27, 2026.</w:t>
      </w:r>
    </w:p>
    <w:sectPr w:rsidR="00FC693F" w:rsidRPr="0006063C" w:rsidSect="00034616">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Theme="majorHAnsi" w:eastAsiaTheme="majorEastAsia" w:hAnsiTheme="majorHAnsi" w:cstheme="majorBidi" w:ascii="Segoe UI" w:hAnsi="Segoe UI"/>
      <w:b/>
      <w:bCs/>
      <w:i w:val="0"/>
      <w:color w:val="2F5496"/>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00"/>
      <w:outlineLvl w:val="1"/>
    </w:pPr>
    <w:rPr>
      <w:rFonts w:asciiTheme="majorHAnsi" w:eastAsiaTheme="majorEastAsia" w:hAnsiTheme="majorHAnsi" w:cstheme="majorBidi" w:ascii="Segoe UI" w:hAnsi="Segoe UI"/>
      <w:b/>
      <w:bCs/>
      <w:i w:val="0"/>
      <w:color w:val="2F5496"/>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Segoe UI" w:hAnsi="Segoe UI"/>
      <w:b/>
      <w:bCs/>
      <w:i w:val="0"/>
      <w:color w:val="2F549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