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Light" w:hAnsi="Calibri Light"/>
          <w:b/>
          <w:i w:val="0"/>
          <w:color w:val="000000"/>
          <w:sz w:val="28"/>
        </w:rPr>
        <w:t>Q3 2026  The Frontier AI Price Wars</w:t>
      </w:r>
    </w:p>
    <w:p>
      <w:pPr>
        <w:spacing w:after="160"/>
      </w:pPr>
      <w:r>
        <w:rPr>
          <w:rFonts w:ascii="Calibri Light" w:hAnsi="Calibri Light"/>
          <w:b/>
          <w:i w:val="0"/>
          <w:color w:val="2F5496"/>
          <w:sz w:val="24"/>
        </w:rPr>
        <w:t>The war is won on value per token, not price per token. On that measure, one lab is winning it.</w:t>
      </w:r>
    </w:p>
    <w:p>
      <w:pPr>
        <w:spacing w:after="20"/>
      </w:pPr>
      <w:r>
        <w:rPr>
          <w:rFonts w:ascii="Calibri Light" w:hAnsi="Calibri Light"/>
          <w:b/>
          <w:i w:val="0"/>
          <w:color w:val="000000"/>
          <w:sz w:val="20"/>
        </w:rPr>
        <w:t xml:space="preserve">Data filepath: </w:t>
      </w:r>
      <w:r>
        <w:rPr>
          <w:rFonts w:ascii="Calibri Light" w:hAnsi="Calibri Light"/>
          <w:b w:val="0"/>
          <w:i w:val="0"/>
          <w:color w:val="000000"/>
          <w:sz w:val="20"/>
        </w:rPr>
        <w:t>R&amp;E - Thematic Research\Frontier AI\Price Wars Jul2026</w:t>
      </w:r>
    </w:p>
    <w:p>
      <w:pPr>
        <w:spacing w:after="20"/>
      </w:pPr>
      <w:r>
        <w:rPr>
          <w:rFonts w:ascii="Calibri Light" w:hAnsi="Calibri Light"/>
          <w:b/>
          <w:i w:val="0"/>
          <w:color w:val="000000"/>
          <w:sz w:val="20"/>
        </w:rPr>
        <w:t xml:space="preserve">Chart as-of date: </w:t>
      </w:r>
      <w:r>
        <w:rPr>
          <w:rFonts w:ascii="Calibri Light" w:hAnsi="Calibri Light"/>
          <w:b w:val="0"/>
          <w:i w:val="0"/>
          <w:color w:val="000000"/>
          <w:sz w:val="20"/>
        </w:rPr>
        <w:t>July 10, 2026</w:t>
      </w:r>
    </w:p>
    <w:p>
      <w:pPr>
        <w:spacing w:after="20"/>
      </w:pPr>
      <w:r>
        <w:rPr>
          <w:rFonts w:ascii="Calibri Light" w:hAnsi="Calibri Light"/>
          <w:b/>
          <w:i w:val="0"/>
          <w:color w:val="000000"/>
          <w:sz w:val="20"/>
        </w:rPr>
        <w:t xml:space="preserve">Chart geography: </w:t>
      </w:r>
      <w:r>
        <w:rPr>
          <w:rFonts w:ascii="Calibri Light" w:hAnsi="Calibri Light"/>
          <w:b w:val="0"/>
          <w:i w:val="0"/>
          <w:color w:val="000000"/>
          <w:sz w:val="20"/>
        </w:rPr>
        <w:t>Global</w:t>
      </w:r>
    </w:p>
    <w:p>
      <w:pPr>
        <w:spacing w:after="20"/>
      </w:pPr>
      <w:r>
        <w:rPr>
          <w:rFonts w:ascii="Calibri Light" w:hAnsi="Calibri Light"/>
          <w:b/>
          <w:i w:val="0"/>
          <w:color w:val="000000"/>
          <w:sz w:val="20"/>
        </w:rPr>
        <w:t xml:space="preserve">Research type: </w:t>
      </w:r>
      <w:r>
        <w:rPr>
          <w:rFonts w:ascii="Calibri Light" w:hAnsi="Calibri Light"/>
          <w:b w:val="0"/>
          <w:i w:val="0"/>
          <w:color w:val="000000"/>
          <w:sz w:val="20"/>
        </w:rPr>
        <w:t>Emerging Tech</w:t>
      </w:r>
    </w:p>
    <w:p>
      <w:pPr>
        <w:spacing w:after="20"/>
      </w:pPr>
      <w:r>
        <w:rPr>
          <w:rFonts w:ascii="Calibri Light" w:hAnsi="Calibri Light"/>
          <w:b/>
          <w:i w:val="0"/>
          <w:color w:val="000000"/>
          <w:sz w:val="20"/>
        </w:rPr>
        <w:t xml:space="preserve">Access level: </w:t>
      </w:r>
      <w:r>
        <w:rPr>
          <w:rFonts w:ascii="Calibri Light" w:hAnsi="Calibri Light"/>
          <w:b w:val="0"/>
          <w:i w:val="0"/>
          <w:color w:val="000000"/>
          <w:sz w:val="20"/>
        </w:rPr>
        <w:t>Client only (Platform only, no preview on N&amp;A)</w:t>
      </w:r>
    </w:p>
    <w:p>
      <w:pPr>
        <w:spacing w:after="20"/>
      </w:pPr>
      <w:r>
        <w:rPr>
          <w:rFonts w:ascii="Calibri Light" w:hAnsi="Calibri Light"/>
          <w:b/>
          <w:i w:val="0"/>
          <w:color w:val="000000"/>
          <w:sz w:val="20"/>
        </w:rPr>
        <w:t xml:space="preserve">Chart count: </w:t>
      </w:r>
      <w:r>
        <w:rPr>
          <w:rFonts w:ascii="Calibri Light" w:hAnsi="Calibri Light"/>
          <w:b w:val="0"/>
          <w:i w:val="0"/>
          <w:color w:val="000000"/>
          <w:sz w:val="20"/>
        </w:rPr>
        <w:t>5</w:t>
      </w:r>
    </w:p>
    <w:p>
      <w:pPr>
        <w:spacing w:after="20"/>
      </w:pPr>
      <w:r>
        <w:rPr>
          <w:rFonts w:ascii="Calibri Light" w:hAnsi="Calibri Light"/>
          <w:b/>
          <w:i w:val="0"/>
          <w:color w:val="000000"/>
          <w:sz w:val="20"/>
        </w:rPr>
        <w:t xml:space="preserve">Table count: </w:t>
      </w:r>
      <w:r>
        <w:rPr>
          <w:rFonts w:ascii="Calibri Light" w:hAnsi="Calibri Light"/>
          <w:b w:val="0"/>
          <w:i w:val="0"/>
          <w:color w:val="000000"/>
          <w:sz w:val="20"/>
        </w:rPr>
        <w:t>2</w:t>
      </w:r>
    </w:p>
    <w:p>
      <w:pPr>
        <w:spacing w:after="40"/>
      </w:pPr>
      <w:r>
        <w:rPr>
          <w:rFonts w:ascii="Calibri Light" w:hAnsi="Calibri Light"/>
          <w:b/>
          <w:i w:val="0"/>
          <w:color w:val="000000"/>
          <w:sz w:val="24"/>
        </w:rPr>
        <w:t>Credits</w:t>
      </w:r>
    </w:p>
    <w:p>
      <w:pPr>
        <w:spacing w:after="20"/>
      </w:pPr>
      <w:r>
        <w:rPr>
          <w:rFonts w:ascii="Calibri Light" w:hAnsi="Calibri Light"/>
          <w:b w:val="0"/>
          <w:i w:val="0"/>
          <w:color w:val="000000"/>
          <w:sz w:val="20"/>
        </w:rPr>
        <w:t>Harrison Rolfes, Senior Research Director</w:t>
      </w:r>
    </w:p>
    <w:p>
      <w:pPr>
        <w:spacing w:after="160"/>
      </w:pPr>
      <w:r>
        <w:rPr>
          <w:rFonts w:ascii="Calibri Light" w:hAnsi="Calibri Light"/>
          <w:b w:val="0"/>
          <w:i w:val="0"/>
          <w:color w:val="000000"/>
          <w:sz w:val="20"/>
        </w:rPr>
        <w:t>Published on July 10, 2026</w:t>
      </w:r>
    </w:p>
    <w:p>
      <w:pPr>
        <w:spacing w:after="40"/>
      </w:pPr>
      <w:r>
        <w:rPr>
          <w:rFonts w:ascii="Calibri Light" w:hAnsi="Calibri Light"/>
          <w:b/>
          <w:i w:val="0"/>
          <w:color w:val="000000"/>
          <w:sz w:val="24"/>
        </w:rPr>
        <w:t>Contents</w:t>
      </w:r>
    </w:p>
    <w:p>
      <w:pPr>
        <w:spacing w:after="20"/>
      </w:pPr>
      <w:r>
        <w:rPr>
          <w:rFonts w:ascii="Calibri Light" w:hAnsi="Calibri Light"/>
          <w:b w:val="0"/>
          <w:i w:val="0"/>
          <w:color w:val="000000"/>
          <w:sz w:val="20"/>
        </w:rPr>
        <w:t>Key takeaways</w:t>
      </w:r>
    </w:p>
    <w:p>
      <w:pPr>
        <w:spacing w:after="20"/>
      </w:pPr>
      <w:r>
        <w:rPr>
          <w:rFonts w:ascii="Calibri Light" w:hAnsi="Calibri Light"/>
          <w:b w:val="0"/>
          <w:i w:val="0"/>
          <w:color w:val="000000"/>
          <w:sz w:val="20"/>
        </w:rPr>
        <w:t>1. What you are buying: the technology behind a token price</w:t>
      </w:r>
    </w:p>
    <w:p>
      <w:pPr>
        <w:spacing w:after="20"/>
      </w:pPr>
      <w:r>
        <w:rPr>
          <w:rFonts w:ascii="Calibri Light" w:hAnsi="Calibri Light"/>
          <w:b w:val="0"/>
          <w:i w:val="0"/>
          <w:color w:val="000000"/>
          <w:sz w:val="20"/>
        </w:rPr>
        <w:t>2. The unit of account: value per token</w:t>
      </w:r>
    </w:p>
    <w:p>
      <w:pPr>
        <w:spacing w:after="20"/>
      </w:pPr>
      <w:r>
        <w:rPr>
          <w:rFonts w:ascii="Calibri Light" w:hAnsi="Calibri Light"/>
          <w:b w:val="0"/>
          <w:i w:val="0"/>
          <w:color w:val="000000"/>
          <w:sz w:val="20"/>
        </w:rPr>
        <w:t>3. Margin mechanics: who can subsidize, and is this a war?</w:t>
      </w:r>
    </w:p>
    <w:p>
      <w:pPr>
        <w:spacing w:after="20"/>
      </w:pPr>
      <w:r>
        <w:rPr>
          <w:rFonts w:ascii="Calibri Light" w:hAnsi="Calibri Light"/>
          <w:b w:val="0"/>
          <w:i w:val="0"/>
          <w:color w:val="000000"/>
          <w:sz w:val="20"/>
        </w:rPr>
        <w:t>4. The barbell and the squeezed middle</w:t>
      </w:r>
    </w:p>
    <w:p>
      <w:pPr>
        <w:spacing w:after="20"/>
      </w:pPr>
      <w:r>
        <w:rPr>
          <w:rFonts w:ascii="Calibri Light" w:hAnsi="Calibri Light"/>
          <w:b w:val="0"/>
          <w:i w:val="0"/>
          <w:color w:val="000000"/>
          <w:sz w:val="20"/>
        </w:rPr>
        <w:t>5. Market implications</w:t>
      </w:r>
    </w:p>
    <w:p>
      <w:pPr>
        <w:spacing w:after="20"/>
      </w:pPr>
      <w:r>
        <w:rPr>
          <w:rFonts w:ascii="Calibri Light" w:hAnsi="Calibri Light"/>
          <w:b w:val="0"/>
          <w:i w:val="0"/>
          <w:color w:val="000000"/>
          <w:sz w:val="20"/>
        </w:rPr>
        <w:t>6. Consumer implications</w:t>
      </w:r>
    </w:p>
    <w:p>
      <w:pPr>
        <w:spacing w:after="20"/>
      </w:pPr>
      <w:r>
        <w:rPr>
          <w:rFonts w:ascii="Calibri Light" w:hAnsi="Calibri Light"/>
          <w:b w:val="0"/>
          <w:i w:val="0"/>
          <w:color w:val="000000"/>
          <w:sz w:val="20"/>
        </w:rPr>
        <w:t>7. The surface decides</w:t>
      </w:r>
    </w:p>
    <w:p>
      <w:pPr>
        <w:spacing w:after="20"/>
      </w:pPr>
      <w:r>
        <w:rPr>
          <w:rFonts w:ascii="Calibri Light" w:hAnsi="Calibri Light"/>
          <w:b w:val="0"/>
          <w:i w:val="0"/>
          <w:color w:val="000000"/>
          <w:sz w:val="20"/>
        </w:rPr>
        <w:t>8. The verdict: pricing, model, and moat</w:t>
      </w:r>
    </w:p>
    <w:p>
      <w:pPr>
        <w:spacing w:after="20"/>
      </w:pPr>
      <w:r>
        <w:rPr>
          <w:rFonts w:ascii="Calibri Light" w:hAnsi="Calibri Light"/>
          <w:b w:val="0"/>
          <w:i w:val="0"/>
          <w:color w:val="000000"/>
          <w:sz w:val="20"/>
        </w:rPr>
        <w:t>What would change the call</w:t>
      </w:r>
    </w:p>
    <w:p>
      <w:pPr>
        <w:spacing w:after="20"/>
      </w:pPr>
      <w:r>
        <w:rPr>
          <w:rFonts w:ascii="Calibri Light" w:hAnsi="Calibri Light"/>
          <w:b w:val="0"/>
          <w:i w:val="0"/>
          <w:color w:val="000000"/>
          <w:sz w:val="20"/>
        </w:rPr>
        <w:t>References</w:t>
      </w:r>
    </w:p>
    <w:p>
      <w:pPr>
        <w:spacing w:after="120"/>
      </w:pPr>
    </w:p>
    <w:p>
      <w:pPr>
        <w:spacing w:after="80"/>
      </w:pPr>
      <w:r>
        <w:rPr>
          <w:rFonts w:ascii="Calibri Light" w:hAnsi="Calibri Light"/>
          <w:b/>
          <w:i w:val="0"/>
          <w:color w:val="000000"/>
          <w:sz w:val="24"/>
        </w:rPr>
        <w:t>Landing page</w:t>
      </w:r>
    </w:p>
    <w:p>
      <w:pPr>
        <w:spacing w:after="40"/>
      </w:pPr>
      <w:r>
        <w:rPr>
          <w:rFonts w:ascii="Calibri Light" w:hAnsi="Calibri Light"/>
          <w:b/>
          <w:i w:val="0"/>
          <w:color w:val="2F5496"/>
          <w:sz w:val="19"/>
        </w:rPr>
        <w:t xml:space="preserve">CHART: </w:t>
      </w:r>
      <w:r>
        <w:rPr>
          <w:rFonts w:ascii="Calibri Light" w:hAnsi="Calibri Light"/>
          <w:b w:val="0"/>
          <w:i/>
          <w:color w:val="595959"/>
          <w:sz w:val="19"/>
        </w:rPr>
        <w:t>The pricing ladder, from the free consumer tier to the restricted premium anchor. One market, a spread past 30x, with two crowded ends and a hollow middle.</w:t>
      </w:r>
    </w:p>
    <w:p>
      <w:pPr>
        <w:spacing w:before="40" w:after="120"/>
      </w:pPr>
      <w:r>
        <w:drawing>
          <wp:inline xmlns:a="http://schemas.openxmlformats.org/drawingml/2006/main" xmlns:pic="http://schemas.openxmlformats.org/drawingml/2006/picture">
            <wp:extent cx="6309360" cy="2009526"/>
            <wp:docPr id="1" name="Picture 1"/>
            <wp:cNvGraphicFramePr>
              <a:graphicFrameLocks noChangeAspect="1"/>
            </wp:cNvGraphicFramePr>
            <a:graphic>
              <a:graphicData uri="http://schemas.openxmlformats.org/drawingml/2006/picture">
                <pic:pic>
                  <pic:nvPicPr>
                    <pic:cNvPr id="0" name="pw_pricing_ladder.png"/>
                    <pic:cNvPicPr/>
                  </pic:nvPicPr>
                  <pic:blipFill>
                    <a:blip r:embed="rId9"/>
                    <a:stretch>
                      <a:fillRect/>
                    </a:stretch>
                  </pic:blipFill>
                  <pic:spPr>
                    <a:xfrm>
                      <a:off x="0" y="0"/>
                      <a:ext cx="6309360" cy="2009526"/>
                    </a:xfrm>
                    <a:prstGeom prst="rect"/>
                  </pic:spPr>
                </pic:pic>
              </a:graphicData>
            </a:graphic>
          </wp:inline>
        </w:drawing>
      </w:r>
    </w:p>
    <w:p>
      <w:pPr>
        <w:spacing w:after="160"/>
      </w:pPr>
      <w:r>
        <w:rPr>
          <w:rFonts w:ascii="Calibri Light" w:hAnsi="Calibri Light"/>
          <w:b w:val="0"/>
          <w:i w:val="0"/>
          <w:color w:val="000000"/>
          <w:sz w:val="20"/>
        </w:rPr>
        <w:t>Frontier token prices collapsed in July, but headline price is the wrong scoreboard. The war is fought on value per token, the completed tasks a dollar of inference actually buys, and on that measure a two-to-three-point reliability edge outweighs a four-times price cut. Judge the four labs on the axes that compound, pricing for value, model quality, moat, and unit economics, and the verdict is not close: Anthropic is winning. This note builds that case from the token up.</w:t>
      </w:r>
    </w:p>
    <w:p>
      <w:pPr>
        <w:spacing w:after="40"/>
      </w:pPr>
      <w:r>
        <w:rPr>
          <w:rFonts w:ascii="Calibri Light" w:hAnsi="Calibri Light"/>
          <w:b/>
          <w:i w:val="0"/>
          <w:color w:val="000000"/>
          <w:sz w:val="24"/>
        </w:rPr>
        <w:t>Report picks</w:t>
      </w:r>
    </w:p>
    <w:p>
      <w:pPr>
        <w:spacing w:after="20"/>
      </w:pPr>
      <w:r>
        <w:rPr>
          <w:rFonts w:ascii="Calibri Light" w:hAnsi="Calibri Light"/>
          <w:b w:val="0"/>
          <w:i w:val="0"/>
          <w:color w:val="000000"/>
          <w:sz w:val="20"/>
        </w:rPr>
        <w:t>AI Compute and Power: The Buildout Is a Scarcity Trade (forthcoming)</w:t>
      </w:r>
    </w:p>
    <w:p>
      <w:pPr>
        <w:spacing w:after="160"/>
      </w:pPr>
      <w:r>
        <w:rPr>
          <w:rFonts w:ascii="Calibri Light" w:hAnsi="Calibri Light"/>
          <w:b w:val="0"/>
          <w:i w:val="0"/>
          <w:color w:val="000000"/>
          <w:sz w:val="20"/>
        </w:rPr>
        <w:t>Enterprise Agents: Who Owns the Seat (forthcoming)</w:t>
      </w:r>
    </w:p>
    <w:p>
      <w:pPr>
        <w:spacing w:after="200"/>
      </w:pPr>
      <w:r>
        <w:rPr>
          <w:rFonts w:ascii="Calibri Light" w:hAnsi="Calibri Light"/>
          <w:b w:val="0"/>
          <w:i/>
          <w:color w:val="595959"/>
          <w:sz w:val="17"/>
        </w:rPr>
        <w:t>Evidence tiers: T1, primary or SEC-grade. T2, PitchBook data and direct company statements. T3, vendor claims and trade press, discounted one tier on receipt. Figures not in our canonical dataset are flagged as our estimates and tiered.</w:t>
      </w:r>
    </w:p>
    <w:p>
      <w:r>
        <w:br w:type="page"/>
      </w:r>
    </w:p>
    <w:p>
      <w:pPr>
        <w:pStyle w:val="Heading2"/>
      </w:pPr>
      <w:r>
        <w:t>Key takeaways</w:t>
      </w:r>
    </w:p>
    <w:p>
      <w:pPr>
        <w:pStyle w:val="ListBullet"/>
        <w:spacing w:after="80"/>
      </w:pPr>
      <w:r>
        <w:rPr>
          <w:rFonts w:ascii="Calibri Light" w:hAnsi="Calibri Light"/>
          <w:b w:val="0"/>
          <w:i w:val="0"/>
          <w:color w:val="000000"/>
          <w:sz w:val="20"/>
        </w:rPr>
        <w:t>The war is won on value per token, not price per token. Buyers, and increasingly agents, buy completed tasks, and a two-to-three-point task-success gap fully funds Claude Opus 4.8's 4.8x per-attempt token premium over the cheapest tier. Reliability, not sticker price, is the axis that matters.</w:t>
      </w:r>
    </w:p>
    <w:p>
      <w:pPr>
        <w:pStyle w:val="ListBullet"/>
        <w:spacing w:after="80"/>
      </w:pPr>
      <w:r>
        <w:rPr>
          <w:rFonts w:ascii="Calibri Light" w:hAnsi="Calibri Light"/>
          <w:b w:val="0"/>
          <w:i w:val="0"/>
          <w:color w:val="000000"/>
          <w:sz w:val="20"/>
        </w:rPr>
        <w:t>On the axes that compound, pricing for value, model, moat, and economics, Anthropic is winning: it holds premium price into a collapsing tape, owns the highest-quality franchise (Opus plus the restricted Mythos anchor), fields the strongest unit economics among the labs (0.38x capital efficiency, a first quarterly profit), and is building the enterprise seat that turns model quality into switching cost. OpenAI is the only credible challenger, on distribution.</w:t>
      </w:r>
    </w:p>
    <w:p>
      <w:pPr>
        <w:pStyle w:val="ListBullet"/>
        <w:spacing w:after="80"/>
      </w:pPr>
      <w:r>
        <w:rPr>
          <w:rFonts w:ascii="Calibri Light" w:hAnsi="Calibri Light"/>
          <w:b w:val="0"/>
          <w:i w:val="0"/>
          <w:color w:val="000000"/>
          <w:sz w:val="20"/>
        </w:rPr>
        <w:t>The repricing looks like a price war and is mostly a segmentation event. Meta's Muse Spark 1.1 prices frontier-adjacent inference at roughly a quarter of the premium anchor (T1), but only Meta is structurally built to price near zero. OpenAI and Anthropic defend premium tiers; xAI is a forced participant.</w:t>
      </w:r>
    </w:p>
    <w:p>
      <w:pPr>
        <w:pStyle w:val="ListBullet"/>
        <w:spacing w:after="80"/>
      </w:pPr>
      <w:r>
        <w:rPr>
          <w:rFonts w:ascii="Calibri Light" w:hAnsi="Calibri Light"/>
          <w:b w:val="0"/>
          <w:i w:val="0"/>
          <w:color w:val="000000"/>
          <w:sz w:val="20"/>
        </w:rPr>
        <w:t>Grok is the plot twist that changes nothing. xAI's mid-July Grok 4.5 refresh (vendor-reported, T3) adds native agentic computer-use and a real-time data path into the X firehose and Starlink telemetry no rival can replicate, still at $2 / $6, making Grok the value leader on paper. It does not win: capability and price are not the binding constraint, surface and unit economics are, and xAI has neither.</w:t>
      </w:r>
    </w:p>
    <w:p>
      <w:pPr>
        <w:pStyle w:val="ListBullet"/>
        <w:spacing w:after="80"/>
      </w:pPr>
      <w:r>
        <w:rPr>
          <w:rFonts w:ascii="Calibri Light" w:hAnsi="Calibri Light"/>
          <w:b w:val="0"/>
          <w:i w:val="0"/>
          <w:color w:val="000000"/>
          <w:sz w:val="20"/>
        </w:rPr>
        <w:t>Pricing is a physics problem before a strategy problem: output costs more than input because generation is bound by the same scarce high-bandwidth memory (HBM) the buildout is short of. A 4x cut in one generation outruns the cost curve, so the ~$3.5T private-credit market funds the gap, a solvency question deferred, not resolved.</w:t>
      </w:r>
    </w:p>
    <w:p>
      <w:pPr>
        <w:pStyle w:val="ListBullet"/>
        <w:spacing w:after="80"/>
      </w:pPr>
      <w:r>
        <w:rPr>
          <w:rFonts w:ascii="Calibri Light" w:hAnsi="Calibri Light"/>
          <w:b w:val="0"/>
          <w:i w:val="0"/>
          <w:color w:val="000000"/>
          <w:sz w:val="20"/>
        </w:rPr>
        <w:t>The repricing lands roughly three months before Anthropic's expected October S-1, the largest test of whether a premium franchise can defend price and enterprise attach in the most hostile tape available. It is the biggest tax on the winner thesis, and its cleanest validation if Anthropic holds both.</w:t>
      </w:r>
    </w:p>
    <w:p>
      <w:pPr>
        <w:pStyle w:val="Heading2"/>
      </w:pPr>
      <w:r>
        <w:t>1. What you are buying: the technology behind a token price</w:t>
      </w:r>
    </w:p>
    <w:p>
      <w:pPr>
        <w:spacing w:after="140"/>
      </w:pPr>
      <w:r>
        <w:rPr>
          <w:rFonts w:ascii="Calibri Light" w:hAnsi="Calibri Light"/>
          <w:b w:val="0"/>
          <w:i w:val="0"/>
          <w:color w:val="000000"/>
          <w:sz w:val="20"/>
        </w:rPr>
        <w:t>Every claim below reduces to the unit. A model reads and writes in tokens, roughly three to four characters each, and a provider charges separately for input tokens (the prompt and context) and output tokens (the generated text), quoted per million.</w:t>
      </w:r>
    </w:p>
    <w:p>
      <w:pPr>
        <w:spacing w:after="140"/>
      </w:pPr>
      <w:r>
        <w:rPr>
          <w:rFonts w:ascii="Calibri Light" w:hAnsi="Calibri Light"/>
          <w:b w:val="0"/>
          <w:i w:val="0"/>
          <w:color w:val="000000"/>
          <w:sz w:val="20"/>
        </w:rPr>
        <w:t>Notice that output is priced far above input: Opus 4.8 at $5 / $25 charges 5x more to write than to read, Sol and Luna 6x. This is physics, not a margin gimmick. Reading a prompt processes all tokens in parallel in one pass (the prefill). Writing generates one token at a time, and each token requires a full forward pass that reads the entire model plus the growing conversation memory (the KV cache) out of high-bandwidth memory. Generation is therefore sequential and bound by memory bandwidth, not raw arithmetic: reading is cheap and parallel, writing is expensive and serial. The binding constraint on output cost is HBM bandwidth, the same scarce component the buildout competes for, which is why the price sheet and the data-center thesis are the same story.</w:t>
      </w:r>
    </w:p>
    <w:p>
      <w:pPr>
        <w:spacing w:after="140"/>
      </w:pPr>
      <w:r>
        <w:rPr>
          <w:rFonts w:ascii="Calibri Light" w:hAnsi="Calibri Light"/>
          <w:b w:val="0"/>
          <w:i w:val="0"/>
          <w:color w:val="000000"/>
          <w:sz w:val="20"/>
        </w:rPr>
        <w:t>Two consequences follow. First, utilization sets the true cost: providers batch many requests so one expensive read of the weights serves many at once, and higher utilization means lower cost per token. A price cut not matched by a hardware or utilization gain comes straight out of gross margin, so a lower number means better economics or a subsidy, and the two look identical on a price sheet. Second, a long context is not free even at a cheap input price: the KV cache grows with the context and lives in that same scarce memory, so Muse Spark's 1M-token window is costly to actually use at scale.</w:t>
      </w:r>
    </w:p>
    <w:p>
      <w:pPr>
        <w:spacing w:after="140"/>
      </w:pPr>
      <w:r>
        <w:rPr>
          <w:rFonts w:ascii="Calibri Light" w:hAnsi="Calibri Light"/>
          <w:b w:val="0"/>
          <w:i w:val="0"/>
          <w:color w:val="000000"/>
          <w:sz w:val="20"/>
        </w:rPr>
        <w:t>Now the step that reframes the whole competition. Enterprise use is agentic: a model is not asked one question once. An agent plans, calls a tool, reads the result, re-plans, and repeats, often dozens of times, each step re-reading a growing context. Token consumption scales super-linearly with complexity and multiplies every time the agent fails and retries. The per-token price therefore tells you almost nothing about what a task costs: the loop, and the failure rate inside it, dominate.</w:t>
      </w:r>
    </w:p>
    <w:p>
      <w:pPr>
        <w:pStyle w:val="Heading2"/>
      </w:pPr>
      <w:r>
        <w:t>2. The unit of account: value per token</w:t>
      </w:r>
    </w:p>
    <w:p>
      <w:pPr>
        <w:spacing w:after="140"/>
      </w:pPr>
      <w:r>
        <w:rPr>
          <w:rFonts w:ascii="Calibri Light" w:hAnsi="Calibri Light"/>
          <w:b w:val="0"/>
          <w:i w:val="0"/>
          <w:color w:val="000000"/>
          <w:sz w:val="20"/>
        </w:rPr>
        <w:t>Buyers do not want cheap tokens; they want completed tasks per dollar. The right unit is:</w:t>
      </w:r>
    </w:p>
    <w:p>
      <w:pPr>
        <w:spacing w:after="140"/>
      </w:pPr>
      <w:r>
        <w:rPr>
          <w:rFonts w:ascii="Calibri Light" w:hAnsi="Calibri Light"/>
          <w:b w:val="0"/>
          <w:i w:val="0"/>
          <w:color w:val="000000"/>
          <w:sz w:val="20"/>
        </w:rPr>
        <w:t>cost per completed task = (tokens_in x price_in + tokens_out x price_out) x expected attempts to success, at a fixed quality bar.</w:t>
      </w:r>
    </w:p>
    <w:p>
      <w:pPr>
        <w:spacing w:after="140"/>
      </w:pPr>
      <w:r>
        <w:rPr>
          <w:rFonts w:ascii="Calibri Light" w:hAnsi="Calibri Light"/>
          <w:b w:val="0"/>
          <w:i w:val="0"/>
          <w:color w:val="000000"/>
          <w:sz w:val="20"/>
        </w:rPr>
        <w:t>A model at a quarter of the price that needs three attempts is not cheaper. Take a representative agentic task of 60,000 input and 12,000 output tokens per attempt (our assumption, T2). Expected attempts equal 1/p, where p is the per-attempt success probability at a fixed quality bar.</w:t>
      </w:r>
    </w:p>
    <w:p>
      <w:pPr>
        <w:spacing w:after="40"/>
      </w:pPr>
      <w:r>
        <w:rPr>
          <w:rFonts w:ascii="Calibri Light" w:hAnsi="Calibri Light"/>
          <w:b/>
          <w:i w:val="0"/>
          <w:color w:val="2F5496"/>
          <w:sz w:val="19"/>
        </w:rPr>
        <w:t xml:space="preserve">TABLE: </w:t>
      </w:r>
      <w:r>
        <w:rPr>
          <w:rFonts w:ascii="Calibri Light" w:hAnsi="Calibri Light"/>
          <w:b w:val="0"/>
          <w:i/>
          <w:color w:val="595959"/>
          <w:sz w:val="19"/>
        </w:rPr>
        <w:t>Cost per completed task at list prices, 60k in / 12k out per attempt. Takeaway: the cheap tier wins on raw token arithmetic almost mechanically; value per token is decided by reliability, not price.</w:t>
      </w:r>
    </w:p>
    <w:tbl>
      <w:tblPr>
        <w:tblW w:type="dxa" w:w="9840"/>
        <w:tblLook w:firstColumn="1" w:firstRow="1" w:lastColumn="0" w:lastRow="0" w:noHBand="0" w:noVBand="1" w:val="04A0"/>
        <w:tblBorders>
          <w:top w:val="single" w:sz="4" w:space="0" w:color="BFCBDD"/>
          <w:left w:val="single" w:sz="4" w:space="0" w:color="BFCBDD"/>
          <w:bottom w:val="single" w:sz="4" w:space="0" w:color="BFCBDD"/>
          <w:right w:val="single" w:sz="4" w:space="0" w:color="BFCBDD"/>
          <w:insideH w:val="single" w:sz="4" w:space="0" w:color="BFCBDD"/>
          <w:insideV w:val="single" w:sz="4" w:space="0" w:color="BFCBDD"/>
        </w:tblBorders>
        <w:tblCellMar>
          <w:top w:w="40" w:type="dxa"/>
          <w:left w:w="80" w:type="dxa"/>
          <w:bottom w:w="40" w:type="dxa"/>
          <w:right w:w="80" w:type="dxa"/>
        </w:tblCellMar>
      </w:tblPr>
      <w:tblGrid>
        <w:gridCol w:w="1440"/>
        <w:gridCol w:w="1440"/>
        <w:gridCol w:w="1440"/>
        <w:gridCol w:w="1440"/>
        <w:gridCol w:w="1440"/>
        <w:gridCol w:w="1440"/>
        <w:gridCol w:w="1440"/>
      </w:tblGrid>
      <w:tr>
        <w:trPr>
          <w:cantSplit/>
          <w:tblHeader w:val="true"/>
        </w:trPr>
        <w:tc>
          <w:tcPr>
            <w:tcW w:type="dxa" w:w="2050"/>
            <w:shd w:val="clear" w:fill="2F5496"/>
          </w:tcPr>
          <w:p>
            <w:pPr>
              <w:spacing w:after="0"/>
              <w:jc w:val="left"/>
            </w:pPr>
            <w:r/>
            <w:r>
              <w:rPr>
                <w:rFonts w:ascii="Calibri Light" w:hAnsi="Calibri Light"/>
                <w:b/>
                <w:color w:val="FFFFFF"/>
                <w:sz w:val="17"/>
              </w:rPr>
              <w:t>Model</w:t>
            </w:r>
          </w:p>
        </w:tc>
        <w:tc>
          <w:tcPr>
            <w:tcW w:type="dxa" w:w="1298"/>
            <w:shd w:val="clear" w:fill="2F5496"/>
          </w:tcPr>
          <w:p>
            <w:pPr>
              <w:spacing w:after="0"/>
              <w:jc w:val="center"/>
            </w:pPr>
            <w:r/>
            <w:r>
              <w:rPr>
                <w:rFonts w:ascii="Calibri Light" w:hAnsi="Calibri Light"/>
                <w:b/>
                <w:color w:val="FFFFFF"/>
                <w:sz w:val="17"/>
              </w:rPr>
              <w:t>$/Mtok in</w:t>
            </w:r>
          </w:p>
        </w:tc>
        <w:tc>
          <w:tcPr>
            <w:tcW w:type="dxa" w:w="1298"/>
            <w:shd w:val="clear" w:fill="2F5496"/>
          </w:tcPr>
          <w:p>
            <w:pPr>
              <w:spacing w:after="0"/>
              <w:jc w:val="center"/>
            </w:pPr>
            <w:r/>
            <w:r>
              <w:rPr>
                <w:rFonts w:ascii="Calibri Light" w:hAnsi="Calibri Light"/>
                <w:b/>
                <w:color w:val="FFFFFF"/>
                <w:sz w:val="17"/>
              </w:rPr>
              <w:t>$/Mtok out</w:t>
            </w:r>
          </w:p>
        </w:tc>
        <w:tc>
          <w:tcPr>
            <w:tcW w:type="dxa" w:w="1298"/>
            <w:shd w:val="clear" w:fill="2F5496"/>
          </w:tcPr>
          <w:p>
            <w:pPr>
              <w:spacing w:after="0"/>
              <w:jc w:val="center"/>
            </w:pPr>
            <w:r/>
            <w:r>
              <w:rPr>
                <w:rFonts w:ascii="Calibri Light" w:hAnsi="Calibri Light"/>
                <w:b/>
                <w:color w:val="FFFFFF"/>
                <w:sz w:val="17"/>
              </w:rPr>
              <w:t>Cost per attempt</w:t>
            </w:r>
          </w:p>
        </w:tc>
        <w:tc>
          <w:tcPr>
            <w:tcW w:type="dxa" w:w="1298"/>
            <w:shd w:val="clear" w:fill="2F5496"/>
          </w:tcPr>
          <w:p>
            <w:pPr>
              <w:spacing w:after="0"/>
              <w:jc w:val="center"/>
            </w:pPr>
            <w:r/>
            <w:r>
              <w:rPr>
                <w:rFonts w:ascii="Calibri Light" w:hAnsi="Calibri Light"/>
                <w:b/>
                <w:color w:val="FFFFFF"/>
                <w:sz w:val="17"/>
              </w:rPr>
              <w:t>Per task, p = 90%</w:t>
            </w:r>
          </w:p>
        </w:tc>
        <w:tc>
          <w:tcPr>
            <w:tcW w:type="dxa" w:w="1298"/>
            <w:shd w:val="clear" w:fill="2F5496"/>
          </w:tcPr>
          <w:p>
            <w:pPr>
              <w:spacing w:after="0"/>
              <w:jc w:val="center"/>
            </w:pPr>
            <w:r/>
            <w:r>
              <w:rPr>
                <w:rFonts w:ascii="Calibri Light" w:hAnsi="Calibri Light"/>
                <w:b/>
                <w:color w:val="FFFFFF"/>
                <w:sz w:val="17"/>
              </w:rPr>
              <w:t>Per task, p = 75%</w:t>
            </w:r>
          </w:p>
        </w:tc>
        <w:tc>
          <w:tcPr>
            <w:tcW w:type="dxa" w:w="1298"/>
            <w:shd w:val="clear" w:fill="2F5496"/>
          </w:tcPr>
          <w:p>
            <w:pPr>
              <w:spacing w:after="0"/>
              <w:jc w:val="center"/>
            </w:pPr>
            <w:r/>
            <w:r>
              <w:rPr>
                <w:rFonts w:ascii="Calibri Light" w:hAnsi="Calibri Light"/>
                <w:b/>
                <w:color w:val="FFFFFF"/>
                <w:sz w:val="17"/>
              </w:rPr>
              <w:t>Per task, p = 65%</w:t>
            </w:r>
          </w:p>
        </w:tc>
      </w:tr>
      <w:tr>
        <w:trPr>
          <w:cantSplit/>
        </w:trPr>
        <w:tc>
          <w:tcPr>
            <w:tcW w:type="dxa" w:w="2050"/>
          </w:tcPr>
          <w:p>
            <w:pPr>
              <w:spacing w:after="0"/>
              <w:jc w:val="left"/>
            </w:pPr>
            <w:r/>
            <w:r>
              <w:rPr>
                <w:rFonts w:ascii="Calibri Light" w:hAnsi="Calibri Light"/>
                <w:b w:val="0"/>
                <w:color w:val="000000"/>
                <w:sz w:val="17"/>
              </w:rPr>
              <w:t>Claude Opus 4.8</w:t>
            </w:r>
          </w:p>
        </w:tc>
        <w:tc>
          <w:tcPr>
            <w:tcW w:type="dxa" w:w="1298"/>
          </w:tcPr>
          <w:p>
            <w:pPr>
              <w:spacing w:after="0"/>
              <w:jc w:val="center"/>
            </w:pPr>
            <w:r/>
            <w:r>
              <w:rPr>
                <w:rFonts w:ascii="Calibri Light" w:hAnsi="Calibri Light"/>
                <w:b w:val="0"/>
                <w:color w:val="000000"/>
                <w:sz w:val="17"/>
              </w:rPr>
              <w:t>$5.00</w:t>
            </w:r>
          </w:p>
        </w:tc>
        <w:tc>
          <w:tcPr>
            <w:tcW w:type="dxa" w:w="1298"/>
          </w:tcPr>
          <w:p>
            <w:pPr>
              <w:spacing w:after="0"/>
              <w:jc w:val="center"/>
            </w:pPr>
            <w:r/>
            <w:r>
              <w:rPr>
                <w:rFonts w:ascii="Calibri Light" w:hAnsi="Calibri Light"/>
                <w:b w:val="0"/>
                <w:color w:val="000000"/>
                <w:sz w:val="17"/>
              </w:rPr>
              <w:t>$25.00</w:t>
            </w:r>
          </w:p>
        </w:tc>
        <w:tc>
          <w:tcPr>
            <w:tcW w:type="dxa" w:w="1298"/>
          </w:tcPr>
          <w:p>
            <w:pPr>
              <w:spacing w:after="0"/>
              <w:jc w:val="center"/>
            </w:pPr>
            <w:r/>
            <w:r>
              <w:rPr>
                <w:rFonts w:ascii="Calibri Light" w:hAnsi="Calibri Light"/>
                <w:b w:val="0"/>
                <w:color w:val="000000"/>
                <w:sz w:val="17"/>
              </w:rPr>
              <w:t>$0.60</w:t>
            </w:r>
          </w:p>
        </w:tc>
        <w:tc>
          <w:tcPr>
            <w:tcW w:type="dxa" w:w="1298"/>
          </w:tcPr>
          <w:p>
            <w:pPr>
              <w:spacing w:after="0"/>
              <w:jc w:val="center"/>
            </w:pPr>
            <w:r/>
            <w:r>
              <w:rPr>
                <w:rFonts w:ascii="Calibri Light" w:hAnsi="Calibri Light"/>
                <w:b w:val="0"/>
                <w:color w:val="000000"/>
                <w:sz w:val="17"/>
              </w:rPr>
              <w:t>$0.67</w:t>
            </w:r>
          </w:p>
        </w:tc>
        <w:tc>
          <w:tcPr>
            <w:tcW w:type="dxa" w:w="1298"/>
          </w:tcPr>
          <w:p>
            <w:pPr>
              <w:spacing w:after="0"/>
              <w:jc w:val="center"/>
            </w:pPr>
            <w:r/>
            <w:r>
              <w:rPr>
                <w:rFonts w:ascii="Calibri Light" w:hAnsi="Calibri Light"/>
                <w:b w:val="0"/>
                <w:color w:val="000000"/>
                <w:sz w:val="17"/>
              </w:rPr>
              <w:t>$0.80</w:t>
            </w:r>
          </w:p>
        </w:tc>
        <w:tc>
          <w:tcPr>
            <w:tcW w:type="dxa" w:w="1298"/>
          </w:tcPr>
          <w:p>
            <w:pPr>
              <w:spacing w:after="0"/>
              <w:jc w:val="center"/>
            </w:pPr>
            <w:r/>
            <w:r>
              <w:rPr>
                <w:rFonts w:ascii="Calibri Light" w:hAnsi="Calibri Light"/>
                <w:b w:val="0"/>
                <w:color w:val="000000"/>
                <w:sz w:val="17"/>
              </w:rPr>
              <w:t>$0.92</w:t>
            </w:r>
          </w:p>
        </w:tc>
      </w:tr>
      <w:tr>
        <w:trPr>
          <w:cantSplit/>
        </w:trPr>
        <w:tc>
          <w:tcPr>
            <w:tcW w:type="dxa" w:w="2050"/>
            <w:shd w:val="clear" w:fill="EAF0F8"/>
          </w:tcPr>
          <w:p>
            <w:pPr>
              <w:spacing w:after="0"/>
              <w:jc w:val="left"/>
            </w:pPr>
            <w:r/>
            <w:r>
              <w:rPr>
                <w:rFonts w:ascii="Calibri Light" w:hAnsi="Calibri Light"/>
                <w:b w:val="0"/>
                <w:color w:val="000000"/>
                <w:sz w:val="17"/>
              </w:rPr>
              <w:t>GPT-5.6 Sol</w:t>
            </w:r>
          </w:p>
        </w:tc>
        <w:tc>
          <w:tcPr>
            <w:tcW w:type="dxa" w:w="1298"/>
            <w:shd w:val="clear" w:fill="EAF0F8"/>
          </w:tcPr>
          <w:p>
            <w:pPr>
              <w:spacing w:after="0"/>
              <w:jc w:val="center"/>
            </w:pPr>
            <w:r/>
            <w:r>
              <w:rPr>
                <w:rFonts w:ascii="Calibri Light" w:hAnsi="Calibri Light"/>
                <w:b w:val="0"/>
                <w:color w:val="000000"/>
                <w:sz w:val="17"/>
              </w:rPr>
              <w:t>$5.00</w:t>
            </w:r>
          </w:p>
        </w:tc>
        <w:tc>
          <w:tcPr>
            <w:tcW w:type="dxa" w:w="1298"/>
            <w:shd w:val="clear" w:fill="EAF0F8"/>
          </w:tcPr>
          <w:p>
            <w:pPr>
              <w:spacing w:after="0"/>
              <w:jc w:val="center"/>
            </w:pPr>
            <w:r/>
            <w:r>
              <w:rPr>
                <w:rFonts w:ascii="Calibri Light" w:hAnsi="Calibri Light"/>
                <w:b w:val="0"/>
                <w:color w:val="000000"/>
                <w:sz w:val="17"/>
              </w:rPr>
              <w:t>$30.00</w:t>
            </w:r>
          </w:p>
        </w:tc>
        <w:tc>
          <w:tcPr>
            <w:tcW w:type="dxa" w:w="1298"/>
            <w:shd w:val="clear" w:fill="EAF0F8"/>
          </w:tcPr>
          <w:p>
            <w:pPr>
              <w:spacing w:after="0"/>
              <w:jc w:val="center"/>
            </w:pPr>
            <w:r/>
            <w:r>
              <w:rPr>
                <w:rFonts w:ascii="Calibri Light" w:hAnsi="Calibri Light"/>
                <w:b w:val="0"/>
                <w:color w:val="000000"/>
                <w:sz w:val="17"/>
              </w:rPr>
              <w:t>$0.66</w:t>
            </w:r>
          </w:p>
        </w:tc>
        <w:tc>
          <w:tcPr>
            <w:tcW w:type="dxa" w:w="1298"/>
            <w:shd w:val="clear" w:fill="EAF0F8"/>
          </w:tcPr>
          <w:p>
            <w:pPr>
              <w:spacing w:after="0"/>
              <w:jc w:val="center"/>
            </w:pPr>
            <w:r/>
            <w:r>
              <w:rPr>
                <w:rFonts w:ascii="Calibri Light" w:hAnsi="Calibri Light"/>
                <w:b w:val="0"/>
                <w:color w:val="000000"/>
                <w:sz w:val="17"/>
              </w:rPr>
              <w:t>$0.73</w:t>
            </w:r>
          </w:p>
        </w:tc>
        <w:tc>
          <w:tcPr>
            <w:tcW w:type="dxa" w:w="1298"/>
            <w:shd w:val="clear" w:fill="EAF0F8"/>
          </w:tcPr>
          <w:p>
            <w:pPr>
              <w:spacing w:after="0"/>
              <w:jc w:val="center"/>
            </w:pPr>
            <w:r/>
            <w:r>
              <w:rPr>
                <w:rFonts w:ascii="Calibri Light" w:hAnsi="Calibri Light"/>
                <w:b w:val="0"/>
                <w:color w:val="000000"/>
                <w:sz w:val="17"/>
              </w:rPr>
              <w:t>$0.88</w:t>
            </w:r>
          </w:p>
        </w:tc>
        <w:tc>
          <w:tcPr>
            <w:tcW w:type="dxa" w:w="1298"/>
            <w:shd w:val="clear" w:fill="EAF0F8"/>
          </w:tcPr>
          <w:p>
            <w:pPr>
              <w:spacing w:after="0"/>
              <w:jc w:val="center"/>
            </w:pPr>
            <w:r/>
            <w:r>
              <w:rPr>
                <w:rFonts w:ascii="Calibri Light" w:hAnsi="Calibri Light"/>
                <w:b w:val="0"/>
                <w:color w:val="000000"/>
                <w:sz w:val="17"/>
              </w:rPr>
              <w:t>$1.02</w:t>
            </w:r>
          </w:p>
        </w:tc>
      </w:tr>
      <w:tr>
        <w:trPr>
          <w:cantSplit/>
        </w:trPr>
        <w:tc>
          <w:tcPr>
            <w:tcW w:type="dxa" w:w="2050"/>
          </w:tcPr>
          <w:p>
            <w:pPr>
              <w:spacing w:after="0"/>
              <w:jc w:val="left"/>
            </w:pPr>
            <w:r/>
            <w:r>
              <w:rPr>
                <w:rFonts w:ascii="Calibri Light" w:hAnsi="Calibri Light"/>
                <w:b w:val="0"/>
                <w:color w:val="000000"/>
                <w:sz w:val="17"/>
              </w:rPr>
              <w:t>GPT-5.6 Luna</w:t>
            </w:r>
          </w:p>
        </w:tc>
        <w:tc>
          <w:tcPr>
            <w:tcW w:type="dxa" w:w="1298"/>
          </w:tcPr>
          <w:p>
            <w:pPr>
              <w:spacing w:after="0"/>
              <w:jc w:val="center"/>
            </w:pPr>
            <w:r/>
            <w:r>
              <w:rPr>
                <w:rFonts w:ascii="Calibri Light" w:hAnsi="Calibri Light"/>
                <w:b w:val="0"/>
                <w:color w:val="000000"/>
                <w:sz w:val="17"/>
              </w:rPr>
              <w:t>$1.00</w:t>
            </w:r>
          </w:p>
        </w:tc>
        <w:tc>
          <w:tcPr>
            <w:tcW w:type="dxa" w:w="1298"/>
          </w:tcPr>
          <w:p>
            <w:pPr>
              <w:spacing w:after="0"/>
              <w:jc w:val="center"/>
            </w:pPr>
            <w:r/>
            <w:r>
              <w:rPr>
                <w:rFonts w:ascii="Calibri Light" w:hAnsi="Calibri Light"/>
                <w:b w:val="0"/>
                <w:color w:val="000000"/>
                <w:sz w:val="17"/>
              </w:rPr>
              <w:t>$6.00</w:t>
            </w:r>
          </w:p>
        </w:tc>
        <w:tc>
          <w:tcPr>
            <w:tcW w:type="dxa" w:w="1298"/>
          </w:tcPr>
          <w:p>
            <w:pPr>
              <w:spacing w:after="0"/>
              <w:jc w:val="center"/>
            </w:pPr>
            <w:r/>
            <w:r>
              <w:rPr>
                <w:rFonts w:ascii="Calibri Light" w:hAnsi="Calibri Light"/>
                <w:b w:val="0"/>
                <w:color w:val="000000"/>
                <w:sz w:val="17"/>
              </w:rPr>
              <w:t>$0.13</w:t>
            </w:r>
          </w:p>
        </w:tc>
        <w:tc>
          <w:tcPr>
            <w:tcW w:type="dxa" w:w="1298"/>
          </w:tcPr>
          <w:p>
            <w:pPr>
              <w:spacing w:after="0"/>
              <w:jc w:val="center"/>
            </w:pPr>
            <w:r/>
            <w:r>
              <w:rPr>
                <w:rFonts w:ascii="Calibri Light" w:hAnsi="Calibri Light"/>
                <w:b w:val="0"/>
                <w:color w:val="000000"/>
                <w:sz w:val="17"/>
              </w:rPr>
              <w:t>$0.15</w:t>
            </w:r>
          </w:p>
        </w:tc>
        <w:tc>
          <w:tcPr>
            <w:tcW w:type="dxa" w:w="1298"/>
          </w:tcPr>
          <w:p>
            <w:pPr>
              <w:spacing w:after="0"/>
              <w:jc w:val="center"/>
            </w:pPr>
            <w:r/>
            <w:r>
              <w:rPr>
                <w:rFonts w:ascii="Calibri Light" w:hAnsi="Calibri Light"/>
                <w:b w:val="0"/>
                <w:color w:val="000000"/>
                <w:sz w:val="17"/>
              </w:rPr>
              <w:t>$0.18</w:t>
            </w:r>
          </w:p>
        </w:tc>
        <w:tc>
          <w:tcPr>
            <w:tcW w:type="dxa" w:w="1298"/>
          </w:tcPr>
          <w:p>
            <w:pPr>
              <w:spacing w:after="0"/>
              <w:jc w:val="center"/>
            </w:pPr>
            <w:r/>
            <w:r>
              <w:rPr>
                <w:rFonts w:ascii="Calibri Light" w:hAnsi="Calibri Light"/>
                <w:b w:val="0"/>
                <w:color w:val="000000"/>
                <w:sz w:val="17"/>
              </w:rPr>
              <w:t>$0.20</w:t>
            </w:r>
          </w:p>
        </w:tc>
      </w:tr>
      <w:tr>
        <w:trPr>
          <w:cantSplit/>
        </w:trPr>
        <w:tc>
          <w:tcPr>
            <w:tcW w:type="dxa" w:w="2050"/>
            <w:shd w:val="clear" w:fill="EAF0F8"/>
          </w:tcPr>
          <w:p>
            <w:pPr>
              <w:spacing w:after="0"/>
              <w:jc w:val="left"/>
            </w:pPr>
            <w:r/>
            <w:r>
              <w:rPr>
                <w:rFonts w:ascii="Calibri Light" w:hAnsi="Calibri Light"/>
                <w:b w:val="0"/>
                <w:color w:val="000000"/>
                <w:sz w:val="17"/>
              </w:rPr>
              <w:t>Grok 4.5</w:t>
            </w:r>
          </w:p>
        </w:tc>
        <w:tc>
          <w:tcPr>
            <w:tcW w:type="dxa" w:w="1298"/>
            <w:shd w:val="clear" w:fill="EAF0F8"/>
          </w:tcPr>
          <w:p>
            <w:pPr>
              <w:spacing w:after="0"/>
              <w:jc w:val="center"/>
            </w:pPr>
            <w:r/>
            <w:r>
              <w:rPr>
                <w:rFonts w:ascii="Calibri Light" w:hAnsi="Calibri Light"/>
                <w:b w:val="0"/>
                <w:color w:val="000000"/>
                <w:sz w:val="17"/>
              </w:rPr>
              <w:t>$2.00</w:t>
            </w:r>
          </w:p>
        </w:tc>
        <w:tc>
          <w:tcPr>
            <w:tcW w:type="dxa" w:w="1298"/>
            <w:shd w:val="clear" w:fill="EAF0F8"/>
          </w:tcPr>
          <w:p>
            <w:pPr>
              <w:spacing w:after="0"/>
              <w:jc w:val="center"/>
            </w:pPr>
            <w:r/>
            <w:r>
              <w:rPr>
                <w:rFonts w:ascii="Calibri Light" w:hAnsi="Calibri Light"/>
                <w:b w:val="0"/>
                <w:color w:val="000000"/>
                <w:sz w:val="17"/>
              </w:rPr>
              <w:t>$6.00</w:t>
            </w:r>
          </w:p>
        </w:tc>
        <w:tc>
          <w:tcPr>
            <w:tcW w:type="dxa" w:w="1298"/>
            <w:shd w:val="clear" w:fill="EAF0F8"/>
          </w:tcPr>
          <w:p>
            <w:pPr>
              <w:spacing w:after="0"/>
              <w:jc w:val="center"/>
            </w:pPr>
            <w:r/>
            <w:r>
              <w:rPr>
                <w:rFonts w:ascii="Calibri Light" w:hAnsi="Calibri Light"/>
                <w:b w:val="0"/>
                <w:color w:val="000000"/>
                <w:sz w:val="17"/>
              </w:rPr>
              <w:t>$0.19</w:t>
            </w:r>
          </w:p>
        </w:tc>
        <w:tc>
          <w:tcPr>
            <w:tcW w:type="dxa" w:w="1298"/>
            <w:shd w:val="clear" w:fill="EAF0F8"/>
          </w:tcPr>
          <w:p>
            <w:pPr>
              <w:spacing w:after="0"/>
              <w:jc w:val="center"/>
            </w:pPr>
            <w:r/>
            <w:r>
              <w:rPr>
                <w:rFonts w:ascii="Calibri Light" w:hAnsi="Calibri Light"/>
                <w:b w:val="0"/>
                <w:color w:val="000000"/>
                <w:sz w:val="17"/>
              </w:rPr>
              <w:t>$0.21</w:t>
            </w:r>
          </w:p>
        </w:tc>
        <w:tc>
          <w:tcPr>
            <w:tcW w:type="dxa" w:w="1298"/>
            <w:shd w:val="clear" w:fill="EAF0F8"/>
          </w:tcPr>
          <w:p>
            <w:pPr>
              <w:spacing w:after="0"/>
              <w:jc w:val="center"/>
            </w:pPr>
            <w:r/>
            <w:r>
              <w:rPr>
                <w:rFonts w:ascii="Calibri Light" w:hAnsi="Calibri Light"/>
                <w:b w:val="0"/>
                <w:color w:val="000000"/>
                <w:sz w:val="17"/>
              </w:rPr>
              <w:t>$0.26</w:t>
            </w:r>
          </w:p>
        </w:tc>
        <w:tc>
          <w:tcPr>
            <w:tcW w:type="dxa" w:w="1298"/>
            <w:shd w:val="clear" w:fill="EAF0F8"/>
          </w:tcPr>
          <w:p>
            <w:pPr>
              <w:spacing w:after="0"/>
              <w:jc w:val="center"/>
            </w:pPr>
            <w:r/>
            <w:r>
              <w:rPr>
                <w:rFonts w:ascii="Calibri Light" w:hAnsi="Calibri Light"/>
                <w:b w:val="0"/>
                <w:color w:val="000000"/>
                <w:sz w:val="17"/>
              </w:rPr>
              <w:t>$0.30</w:t>
            </w:r>
          </w:p>
        </w:tc>
      </w:tr>
      <w:tr>
        <w:trPr>
          <w:cantSplit/>
        </w:trPr>
        <w:tc>
          <w:tcPr>
            <w:tcW w:type="dxa" w:w="2050"/>
          </w:tcPr>
          <w:p>
            <w:pPr>
              <w:spacing w:after="0"/>
              <w:jc w:val="left"/>
            </w:pPr>
            <w:r/>
            <w:r>
              <w:rPr>
                <w:rFonts w:ascii="Calibri Light" w:hAnsi="Calibri Light"/>
                <w:b w:val="0"/>
                <w:color w:val="000000"/>
                <w:sz w:val="17"/>
              </w:rPr>
              <w:t>Muse Spark 1.1</w:t>
            </w:r>
          </w:p>
        </w:tc>
        <w:tc>
          <w:tcPr>
            <w:tcW w:type="dxa" w:w="1298"/>
          </w:tcPr>
          <w:p>
            <w:pPr>
              <w:spacing w:after="0"/>
              <w:jc w:val="center"/>
            </w:pPr>
            <w:r/>
            <w:r>
              <w:rPr>
                <w:rFonts w:ascii="Calibri Light" w:hAnsi="Calibri Light"/>
                <w:b w:val="0"/>
                <w:color w:val="000000"/>
                <w:sz w:val="17"/>
              </w:rPr>
              <w:t>$1.25</w:t>
            </w:r>
          </w:p>
        </w:tc>
        <w:tc>
          <w:tcPr>
            <w:tcW w:type="dxa" w:w="1298"/>
          </w:tcPr>
          <w:p>
            <w:pPr>
              <w:spacing w:after="0"/>
              <w:jc w:val="center"/>
            </w:pPr>
            <w:r/>
            <w:r>
              <w:rPr>
                <w:rFonts w:ascii="Calibri Light" w:hAnsi="Calibri Light"/>
                <w:b w:val="0"/>
                <w:color w:val="000000"/>
                <w:sz w:val="17"/>
              </w:rPr>
              <w:t>$4.25</w:t>
            </w:r>
          </w:p>
        </w:tc>
        <w:tc>
          <w:tcPr>
            <w:tcW w:type="dxa" w:w="1298"/>
          </w:tcPr>
          <w:p>
            <w:pPr>
              <w:spacing w:after="0"/>
              <w:jc w:val="center"/>
            </w:pPr>
            <w:r/>
            <w:r>
              <w:rPr>
                <w:rFonts w:ascii="Calibri Light" w:hAnsi="Calibri Light"/>
                <w:b w:val="0"/>
                <w:color w:val="000000"/>
                <w:sz w:val="17"/>
              </w:rPr>
              <w:t>$0.13</w:t>
            </w:r>
          </w:p>
        </w:tc>
        <w:tc>
          <w:tcPr>
            <w:tcW w:type="dxa" w:w="1298"/>
          </w:tcPr>
          <w:p>
            <w:pPr>
              <w:spacing w:after="0"/>
              <w:jc w:val="center"/>
            </w:pPr>
            <w:r/>
            <w:r>
              <w:rPr>
                <w:rFonts w:ascii="Calibri Light" w:hAnsi="Calibri Light"/>
                <w:b w:val="0"/>
                <w:color w:val="000000"/>
                <w:sz w:val="17"/>
              </w:rPr>
              <w:t>$0.14</w:t>
            </w:r>
          </w:p>
        </w:tc>
        <w:tc>
          <w:tcPr>
            <w:tcW w:type="dxa" w:w="1298"/>
          </w:tcPr>
          <w:p>
            <w:pPr>
              <w:spacing w:after="0"/>
              <w:jc w:val="center"/>
            </w:pPr>
            <w:r/>
            <w:r>
              <w:rPr>
                <w:rFonts w:ascii="Calibri Light" w:hAnsi="Calibri Light"/>
                <w:b w:val="0"/>
                <w:color w:val="000000"/>
                <w:sz w:val="17"/>
              </w:rPr>
              <w:t>$0.17</w:t>
            </w:r>
          </w:p>
        </w:tc>
        <w:tc>
          <w:tcPr>
            <w:tcW w:type="dxa" w:w="1298"/>
          </w:tcPr>
          <w:p>
            <w:pPr>
              <w:spacing w:after="0"/>
              <w:jc w:val="center"/>
            </w:pPr>
            <w:r/>
            <w:r>
              <w:rPr>
                <w:rFonts w:ascii="Calibri Light" w:hAnsi="Calibri Light"/>
                <w:b w:val="0"/>
                <w:color w:val="000000"/>
                <w:sz w:val="17"/>
              </w:rPr>
              <w:t>$0.19</w:t>
            </w:r>
          </w:p>
        </w:tc>
      </w:tr>
    </w:tbl>
    <w:p>
      <w:pPr>
        <w:spacing w:after="40"/>
      </w:pPr>
    </w:p>
    <w:p>
      <w:pPr>
        <w:spacing w:after="140"/>
      </w:pPr>
      <w:r>
        <w:rPr>
          <w:rFonts w:ascii="Calibri Light" w:hAnsi="Calibri Light"/>
          <w:b w:val="0"/>
          <w:i/>
          <w:color w:val="595959"/>
          <w:sz w:val="17"/>
        </w:rPr>
        <w:t>All prices T1; per-task figures our arithmetic, T2. Mythos omitted, not openly list-priced.</w:t>
      </w:r>
    </w:p>
    <w:p>
      <w:pPr>
        <w:spacing w:after="140"/>
      </w:pPr>
      <w:r>
        <w:rPr>
          <w:rFonts w:ascii="Calibri Light" w:hAnsi="Calibri Light"/>
          <w:b w:val="0"/>
          <w:i w:val="0"/>
          <w:color w:val="000000"/>
          <w:sz w:val="20"/>
        </w:rPr>
        <w:t>On tokens alone the cheap tier wins almost mechanically: Opus at $0.60 per attempt beats Muse Spark at $0.126 only if its success rate exceeds Muse's by 4.8x, which no frontier gap delivers. But a failed agentic attempt is not free. It consumes reviewer time, breaks downstream automation, and erodes trust in the seat. Assign a conservative $17 remediation cost per failed attempt (our assumption, T2). The fully loaded cost, (cost per attempt + $17 x (1 - p)) / p, inverts the ranking: Opus at 90% costs $2.56 per completed task; Muse Spark at 75% costs $5.83, 2.3x more, despite tokens at a quarter the price. Break-even is p = 87.6% for Muse, so a 2.4-point reliability gap funds the 4.8x token premium.</w:t>
      </w:r>
    </w:p>
    <w:p>
      <w:pPr>
        <w:spacing w:after="140"/>
      </w:pPr>
      <w:r>
        <w:rPr>
          <w:rFonts w:ascii="Calibri Light" w:hAnsi="Calibri Light"/>
          <w:b w:val="0"/>
          <w:i w:val="0"/>
          <w:color w:val="000000"/>
          <w:sz w:val="20"/>
        </w:rPr>
        <w:t>The conclusion does not rest on the $17 estimate, and the sophisticated reader's first move is to attack it. Solve instead for the failure cost at which the premium breaks even: at a 15-point reliability edge it pays once failure costs more than about $2.24 per attempt, at a 10-point edge above $3.67, at a 5-point edge above $7.93, and on tokens alone it never pays. The premium is defensible if and only if enterprise failure is expensive, and at any realistic edge it needs failure to cost only a few dollars, which production agentic failures always exceed. Value per token favors whoever has the highest reliability at a defensible price, not whoever posts the lowest number.</w:t>
      </w:r>
    </w:p>
    <w:p>
      <w:pPr>
        <w:spacing w:after="40"/>
      </w:pPr>
      <w:r>
        <w:rPr>
          <w:rFonts w:ascii="Calibri Light" w:hAnsi="Calibri Light"/>
          <w:b/>
          <w:i w:val="0"/>
          <w:color w:val="2F5496"/>
          <w:sz w:val="19"/>
        </w:rPr>
        <w:t xml:space="preserve">CHART: </w:t>
      </w:r>
      <w:r>
        <w:rPr>
          <w:rFonts w:ascii="Calibri Light" w:hAnsi="Calibri Light"/>
          <w:b w:val="0"/>
          <w:i/>
          <w:color w:val="595959"/>
          <w:sz w:val="19"/>
        </w:rPr>
        <w:t>Fully loaded cost per completed task versus per-attempt success rate. Takeaway: curves cross near 85 to 90%; below it price dominates, above it reliability dominates.</w:t>
      </w:r>
    </w:p>
    <w:p>
      <w:pPr>
        <w:spacing w:before="40" w:after="120"/>
      </w:pPr>
      <w:r>
        <w:drawing>
          <wp:inline xmlns:a="http://schemas.openxmlformats.org/drawingml/2006/main" xmlns:pic="http://schemas.openxmlformats.org/drawingml/2006/picture">
            <wp:extent cx="6309360" cy="2339895"/>
            <wp:docPr id="2" name="Picture 2"/>
            <wp:cNvGraphicFramePr>
              <a:graphicFrameLocks noChangeAspect="1"/>
            </wp:cNvGraphicFramePr>
            <a:graphic>
              <a:graphicData uri="http://schemas.openxmlformats.org/drawingml/2006/picture">
                <pic:pic>
                  <pic:nvPicPr>
                    <pic:cNvPr id="0" name="pw_cost_curves.png"/>
                    <pic:cNvPicPr/>
                  </pic:nvPicPr>
                  <pic:blipFill>
                    <a:blip r:embed="rId10"/>
                    <a:stretch>
                      <a:fillRect/>
                    </a:stretch>
                  </pic:blipFill>
                  <pic:spPr>
                    <a:xfrm>
                      <a:off x="0" y="0"/>
                      <a:ext cx="6309360" cy="2339895"/>
                    </a:xfrm>
                    <a:prstGeom prst="rect"/>
                  </pic:spPr>
                </pic:pic>
              </a:graphicData>
            </a:graphic>
          </wp:inline>
        </w:drawing>
      </w:r>
    </w:p>
    <w:p>
      <w:pPr>
        <w:spacing w:after="40"/>
      </w:pPr>
      <w:r>
        <w:rPr>
          <w:rFonts w:ascii="Calibri Light" w:hAnsi="Calibri Light"/>
          <w:b/>
          <w:i w:val="0"/>
          <w:color w:val="2F5496"/>
          <w:sz w:val="19"/>
        </w:rPr>
        <w:t xml:space="preserve">CHART: </w:t>
      </w:r>
      <w:r>
        <w:rPr>
          <w:rFonts w:ascii="Calibri Light" w:hAnsi="Calibri Light"/>
          <w:b w:val="0"/>
          <w:i/>
          <w:color w:val="595959"/>
          <w:sz w:val="19"/>
        </w:rPr>
        <w:t>Break-even failure cost versus reliability edge. Takeaway: above the curve the premium is cheaper per completed task, and the curve sits at a few dollars across the realistic range.</w:t>
      </w:r>
    </w:p>
    <w:p>
      <w:pPr>
        <w:spacing w:before="40" w:after="120"/>
      </w:pPr>
      <w:r>
        <w:drawing>
          <wp:inline xmlns:a="http://schemas.openxmlformats.org/drawingml/2006/main" xmlns:pic="http://schemas.openxmlformats.org/drawingml/2006/picture">
            <wp:extent cx="6309360" cy="1946675"/>
            <wp:docPr id="3" name="Picture 3"/>
            <wp:cNvGraphicFramePr>
              <a:graphicFrameLocks noChangeAspect="1"/>
            </wp:cNvGraphicFramePr>
            <a:graphic>
              <a:graphicData uri="http://schemas.openxmlformats.org/drawingml/2006/picture">
                <pic:pic>
                  <pic:nvPicPr>
                    <pic:cNvPr id="0" name="pw_sensitivity.png"/>
                    <pic:cNvPicPr/>
                  </pic:nvPicPr>
                  <pic:blipFill>
                    <a:blip r:embed="rId11"/>
                    <a:stretch>
                      <a:fillRect/>
                    </a:stretch>
                  </pic:blipFill>
                  <pic:spPr>
                    <a:xfrm>
                      <a:off x="0" y="0"/>
                      <a:ext cx="6309360" cy="1946675"/>
                    </a:xfrm>
                    <a:prstGeom prst="rect"/>
                  </pic:spPr>
                </pic:pic>
              </a:graphicData>
            </a:graphic>
          </wp:inline>
        </w:drawing>
      </w:r>
    </w:p>
    <w:p>
      <w:pPr>
        <w:spacing w:after="140"/>
      </w:pPr>
      <w:r>
        <w:rPr>
          <w:rFonts w:ascii="Calibri Light" w:hAnsi="Calibri Light"/>
          <w:b w:val="0"/>
          <w:i w:val="0"/>
          <w:color w:val="000000"/>
          <w:sz w:val="20"/>
        </w:rPr>
        <w:t>Test: by September 30, 2026, if independent (non-vendor) cost-per-completed-task evaluations show the cheap tier matching premium task-success within 2 points at scale, the spine of this note breaks.</w:t>
      </w:r>
    </w:p>
    <w:p>
      <w:pPr>
        <w:pStyle w:val="Heading2"/>
      </w:pPr>
      <w:r>
        <w:t>3. Margin mechanics: who can subsidize, and is this a war?</w:t>
      </w:r>
    </w:p>
    <w:p>
      <w:pPr>
        <w:spacing w:after="140"/>
      </w:pPr>
      <w:r>
        <w:rPr>
          <w:rFonts w:ascii="Calibri Light" w:hAnsi="Calibri Light"/>
          <w:b w:val="0"/>
          <w:i w:val="0"/>
          <w:color w:val="000000"/>
          <w:sz w:val="20"/>
        </w:rPr>
        <w:t>A 4x to 5x output cut wrecks model-layer margin. Assume a frontier model serves at roughly $6 to $8 per million output tokens (our estimate, T2; no serving-cost disclosures exist at T1). At $25 output that is roughly a 70% gross margin; at the $4.25 to $6 floor it is negative, about negative 17% at $6 and negative 65% at $4.25 at the midpoint cost. A 4x cut in one generation outruns the 2x-to-3x per-generation serving-cost decline (T3), so someone funds the gap. Position by position:</w:t>
      </w:r>
    </w:p>
    <w:p>
      <w:pPr>
        <w:spacing w:after="140"/>
      </w:pPr>
      <w:r>
        <w:rPr>
          <w:rFonts w:ascii="Calibri Light" w:hAnsi="Calibri Light"/>
          <w:b/>
          <w:i w:val="0"/>
          <w:color w:val="000000"/>
          <w:sz w:val="20"/>
        </w:rPr>
        <w:t>Meta: commoditize the complement, the one structural price warrior.</w:t>
      </w:r>
      <w:r>
        <w:rPr>
          <w:rFonts w:ascii="Calibri Light" w:hAnsi="Calibri Light"/>
          <w:b w:val="0"/>
          <w:i w:val="0"/>
          <w:color w:val="000000"/>
          <w:sz w:val="20"/>
        </w:rPr>
        <w:t xml:space="preserve"> Meta does not need model margin. Muse Spark priced near or below cost drives the complement toward zero while Meta monetizes the surface, the ad load, and its own silicon. It is durable because the funding source is an ads cash engine, not external capital. But commoditizing a market you do not need to profit from is not the same as winning it.</w:t>
      </w:r>
    </w:p>
    <w:p>
      <w:pPr>
        <w:spacing w:after="140"/>
      </w:pPr>
      <w:r>
        <w:rPr>
          <w:rFonts w:ascii="Calibri Light" w:hAnsi="Calibri Light"/>
          <w:b/>
          <w:i w:val="0"/>
          <w:color w:val="000000"/>
          <w:sz w:val="20"/>
        </w:rPr>
        <w:t>xAI: the capability shock that does not fix the economics.</w:t>
      </w:r>
      <w:r>
        <w:rPr>
          <w:rFonts w:ascii="Calibri Light" w:hAnsi="Calibri Light"/>
          <w:b w:val="0"/>
          <w:i w:val="0"/>
          <w:color w:val="000000"/>
          <w:sz w:val="20"/>
        </w:rPr>
        <w:t xml:space="preserve"> Grok 4.5 lists at $2 / $6, and xAI's mid-July refresh (vendor-reported, T3, discounted one tier) is a real capability jump: native computer-use and tool-calling ("Grok Agent"), expanded multimodal input, and a real-time data path into the X firehose and Starlink telemetry no competitor can replicate. On paper Grok is the value leader, and it changes nothing, because the AI segment still sits on $3.2B ARR against a $6.36B FY25 operating loss (T2), inside an SPCX structure marked near $1.97T. The subsidy runs through the SpaceX and Starlink cross-flow: a balance-sheet decision, not a business model. A better cheap model does not close a $6B loss.</w:t>
      </w:r>
    </w:p>
    <w:p>
      <w:pPr>
        <w:spacing w:after="140"/>
      </w:pPr>
      <w:r>
        <w:rPr>
          <w:rFonts w:ascii="Calibri Light" w:hAnsi="Calibri Light"/>
          <w:b/>
          <w:i w:val="0"/>
          <w:color w:val="000000"/>
          <w:sz w:val="20"/>
        </w:rPr>
        <w:t>OpenAI: segmentation, not a race to zero.</w:t>
      </w:r>
      <w:r>
        <w:rPr>
          <w:rFonts w:ascii="Calibri Light" w:hAnsi="Calibri Light"/>
          <w:b w:val="0"/>
          <w:i w:val="0"/>
          <w:color w:val="000000"/>
          <w:sz w:val="20"/>
        </w:rPr>
        <w:t xml:space="preserve"> The tell is Sol at $5 / $30, above Opus on output. Luna harvests price-sensitive volume at $1 / $6 while Sol defends the premium. With roughly $25B net ARR, about 900M weekly actives, and Codex above 1.5M weekly actives (T2), OpenAI needs the premium tier; its 34.1x multiple and 0.14x capital efficiency cannot ride $6 output.</w:t>
      </w:r>
    </w:p>
    <w:p>
      <w:pPr>
        <w:spacing w:after="140"/>
      </w:pPr>
      <w:r>
        <w:rPr>
          <w:rFonts w:ascii="Calibri Light" w:hAnsi="Calibri Light"/>
          <w:b/>
          <w:i w:val="0"/>
          <w:color w:val="000000"/>
          <w:sz w:val="20"/>
        </w:rPr>
        <w:t>Anthropic: defends a two-tier premium and declines to chase.</w:t>
      </w:r>
      <w:r>
        <w:rPr>
          <w:rFonts w:ascii="Calibri Light" w:hAnsi="Calibri Light"/>
          <w:b w:val="0"/>
          <w:i w:val="0"/>
          <w:color w:val="000000"/>
          <w:sz w:val="20"/>
        </w:rPr>
        <w:t xml:space="preserve"> Opus 4.8 holds at $5 / $25, with Claude Mythos above it as the restricted anchor (not openly list-priced; our estimate is an output premium of roughly 1.5x to 2x Opus, T3). Against $47B gross run-rate ARR, a 20.5x multiple on a $965B mark, 0.38x capital efficiency, and a first quarterly operating profit of roughly $559M in Q2 (T2, excludes SBC and rides a ramp discount on the SpaceX compute deal, so it flatters steady-state economics), the strategy is one thing: hold price, deepen the premium, prove attach.</w:t>
      </w:r>
    </w:p>
    <w:p>
      <w:pPr>
        <w:spacing w:after="40"/>
      </w:pPr>
      <w:r>
        <w:rPr>
          <w:rFonts w:ascii="Calibri Light" w:hAnsi="Calibri Light"/>
          <w:b/>
          <w:i w:val="0"/>
          <w:color w:val="2F5496"/>
          <w:sz w:val="19"/>
        </w:rPr>
        <w:t xml:space="preserve">CHART: </w:t>
      </w:r>
      <w:r>
        <w:rPr>
          <w:rFonts w:ascii="Calibri Light" w:hAnsi="Calibri Light"/>
          <w:b w:val="0"/>
          <w:i/>
          <w:color w:val="595959"/>
          <w:sz w:val="19"/>
        </w:rPr>
        <w:t>Implied model-layer gross margin versus output list price at a $6-to-$8 serving cost. Takeaway: every output price below roughly $8 is gross-margin negative; the floor is priced below cost.</w:t>
      </w:r>
    </w:p>
    <w:p>
      <w:pPr>
        <w:spacing w:before="40" w:after="120"/>
      </w:pPr>
      <w:r>
        <w:drawing>
          <wp:inline xmlns:a="http://schemas.openxmlformats.org/drawingml/2006/main" xmlns:pic="http://schemas.openxmlformats.org/drawingml/2006/picture">
            <wp:extent cx="6309360" cy="2102464"/>
            <wp:docPr id="4" name="Picture 4"/>
            <wp:cNvGraphicFramePr>
              <a:graphicFrameLocks noChangeAspect="1"/>
            </wp:cNvGraphicFramePr>
            <a:graphic>
              <a:graphicData uri="http://schemas.openxmlformats.org/drawingml/2006/picture">
                <pic:pic>
                  <pic:nvPicPr>
                    <pic:cNvPr id="0" name="pw_margin_vs_price.png"/>
                    <pic:cNvPicPr/>
                  </pic:nvPicPr>
                  <pic:blipFill>
                    <a:blip r:embed="rId12"/>
                    <a:stretch>
                      <a:fillRect/>
                    </a:stretch>
                  </pic:blipFill>
                  <pic:spPr>
                    <a:xfrm>
                      <a:off x="0" y="0"/>
                      <a:ext cx="6309360" cy="2102464"/>
                    </a:xfrm>
                    <a:prstGeom prst="rect"/>
                  </pic:spPr>
                </pic:pic>
              </a:graphicData>
            </a:graphic>
          </wp:inline>
        </w:drawing>
      </w:r>
    </w:p>
    <w:p>
      <w:pPr>
        <w:spacing w:after="140"/>
      </w:pPr>
      <w:r>
        <w:rPr>
          <w:rFonts w:ascii="Calibri Light" w:hAnsi="Calibri Light"/>
          <w:b w:val="0"/>
          <w:i w:val="0"/>
          <w:color w:val="000000"/>
          <w:sz w:val="20"/>
        </w:rPr>
        <w:t>So, war or segmentation? Our read, committed: a segmentation play at the premium end and a genuine price war only at the commodity floor. Two of four players defend premium tiers, Anthropic extends the premium upward with Mythos, Meta runs a complement-commoditization play, and xAI follows price without the economics. Our working split of enterprise agentic spend (our estimate, T2): roughly 55% to 65% of dollars flow to reliability-gated, high-stakes work where the premium is defensible, against 35% to 45% to failure-tolerant commodity work. The two ends split volume and value in opposite directions, and the value end is the one Anthropic is defending.</w:t>
      </w:r>
    </w:p>
    <w:p>
      <w:pPr>
        <w:spacing w:after="140"/>
      </w:pPr>
      <w:r>
        <w:rPr>
          <w:rFonts w:ascii="Calibri Light" w:hAnsi="Calibri Light"/>
          <w:b w:val="0"/>
          <w:i w:val="0"/>
          <w:color w:val="000000"/>
          <w:sz w:val="20"/>
        </w:rPr>
        <w:t>Test: by August 31, 2026, if either Anthropic or OpenAI cuts flagship output pricing by 15% or more, the segmentation read fails and this becomes a war note. Our lean: Anthropic holds. P(holds) = 70%.</w:t>
      </w:r>
    </w:p>
    <w:p>
      <w:pPr>
        <w:pStyle w:val="Heading2"/>
      </w:pPr>
      <w:r>
        <w:t>4. The barbell and the squeezed middle</w:t>
      </w:r>
    </w:p>
    <w:p>
      <w:pPr>
        <w:spacing w:after="140"/>
      </w:pPr>
      <w:r>
        <w:rPr>
          <w:rFonts w:ascii="Calibri Light" w:hAnsi="Calibri Light"/>
          <w:b w:val="0"/>
          <w:i w:val="0"/>
          <w:color w:val="000000"/>
          <w:sz w:val="20"/>
        </w:rPr>
        <w:t>Repricing events rarely kill the top or the bottom; they kill the middle. Undifferentiated mid-tier access, neither cheapest useful inference nor most reliable premium surface, reprices to commodity within quarters, because Luna and Muse Spark define a new floor for good enough and the premium tier defines a reliability bar the middle cannot reach. Capital and revenue migrate to the ends.</w:t>
      </w:r>
    </w:p>
    <w:p>
      <w:pPr>
        <w:spacing w:after="140"/>
      </w:pPr>
      <w:r>
        <w:rPr>
          <w:rFonts w:ascii="Calibri Light" w:hAnsi="Calibri Light"/>
          <w:b w:val="0"/>
          <w:i w:val="0"/>
          <w:color w:val="000000"/>
          <w:sz w:val="20"/>
        </w:rPr>
        <w:t>The losers are named. Model resellers and gateways, whose margin was the spread between list price and enterprise inertia, watch it go negative. Legacy vertical SaaS, whose moat was per-seat workflow lock-in, collapses from below when an agent at $0.14 to $2.56 per completed task executes the workflow directly. The mid-tier model layer and the seat-priced application middle are the same trade: undifferentiated capacity priced above its replacement cost.</w:t>
      </w:r>
    </w:p>
    <w:p>
      <w:pPr>
        <w:spacing w:after="140"/>
      </w:pPr>
      <w:r>
        <w:rPr>
          <w:rFonts w:ascii="Calibri Light" w:hAnsi="Calibri Light"/>
          <w:b w:val="0"/>
          <w:i w:val="0"/>
          <w:color w:val="000000"/>
          <w:sz w:val="20"/>
        </w:rPr>
        <w:t>Test: by December 31, 2026, at least one known model reseller or gateway repricing to usage-plus-thin-margin, exiting, or being acquired below its last mark would confirm the squeeze.</w:t>
      </w:r>
    </w:p>
    <w:p>
      <w:pPr>
        <w:pStyle w:val="Heading2"/>
      </w:pPr>
      <w:r>
        <w:t>5. Market implications</w:t>
      </w:r>
    </w:p>
    <w:p>
      <w:pPr>
        <w:spacing w:after="140"/>
      </w:pPr>
      <w:r>
        <w:rPr>
          <w:rFonts w:ascii="Calibri Light" w:hAnsi="Calibri Light"/>
          <w:b w:val="0"/>
          <w:i w:val="0"/>
          <w:color w:val="000000"/>
          <w:sz w:val="20"/>
        </w:rPr>
        <w:t>Inference-cost deflation is margin-accretive to buyers and the application layer and margin-dilutive to the model layer: every dollar cut from output pricing transfers to whoever owns the workflow, application software with distribution, agent-orchestration vendors that arbitrage the barbell, and enterprises themselves. That is the read-through for a public book, alongside the buildout trade.</w:t>
      </w:r>
    </w:p>
    <w:p>
      <w:pPr>
        <w:spacing w:after="140"/>
      </w:pPr>
      <w:r>
        <w:rPr>
          <w:rFonts w:ascii="Calibri Light" w:hAnsi="Calibri Light"/>
          <w:b w:val="0"/>
          <w:i w:val="0"/>
          <w:color w:val="000000"/>
          <w:sz w:val="20"/>
        </w:rPr>
        <w:t>Picks-and-shovels are insulated. HBM and memory, wafer fab equipment, data-center power, cooling, and permitted baseload generation are priced on capacity scarcity, not model margin, the memory-bandwidth wall of Section 1. A model-layer price war does not cancel compute demand; at the volumes the cheap tier targets, it raises it. The complex is insulated from a pricing shock but exposed to a financing shock.</w:t>
      </w:r>
    </w:p>
    <w:p>
      <w:pPr>
        <w:spacing w:after="40"/>
      </w:pPr>
      <w:r>
        <w:rPr>
          <w:rFonts w:ascii="Calibri Light" w:hAnsi="Calibri Light"/>
          <w:b/>
          <w:i w:val="0"/>
          <w:color w:val="2F5496"/>
          <w:sz w:val="19"/>
        </w:rPr>
        <w:t xml:space="preserve">CHART: </w:t>
      </w:r>
      <w:r>
        <w:rPr>
          <w:rFonts w:ascii="Calibri Light" w:hAnsi="Calibri Light"/>
          <w:b w:val="0"/>
          <w:i/>
          <w:color w:val="595959"/>
          <w:sz w:val="19"/>
        </w:rPr>
        <w:t>Model-layer economics versus buildout economics. Takeaway: the layer cutting prices is losing money; the layer selling scarcity is not in the war.</w:t>
      </w:r>
    </w:p>
    <w:p>
      <w:pPr>
        <w:spacing w:before="40" w:after="120"/>
      </w:pPr>
      <w:r>
        <w:drawing>
          <wp:inline xmlns:a="http://schemas.openxmlformats.org/drawingml/2006/main" xmlns:pic="http://schemas.openxmlformats.org/drawingml/2006/picture">
            <wp:extent cx="6309360" cy="1929047"/>
            <wp:docPr id="5" name="Picture 5"/>
            <wp:cNvGraphicFramePr>
              <a:graphicFrameLocks noChangeAspect="1"/>
            </wp:cNvGraphicFramePr>
            <a:graphic>
              <a:graphicData uri="http://schemas.openxmlformats.org/drawingml/2006/picture">
                <pic:pic>
                  <pic:nvPicPr>
                    <pic:cNvPr id="0" name="pw_layer_economics.png"/>
                    <pic:cNvPicPr/>
                  </pic:nvPicPr>
                  <pic:blipFill>
                    <a:blip r:embed="rId13"/>
                    <a:stretch>
                      <a:fillRect/>
                    </a:stretch>
                  </pic:blipFill>
                  <pic:spPr>
                    <a:xfrm>
                      <a:off x="0" y="0"/>
                      <a:ext cx="6309360" cy="1929047"/>
                    </a:xfrm>
                    <a:prstGeom prst="rect"/>
                  </pic:spPr>
                </pic:pic>
              </a:graphicData>
            </a:graphic>
          </wp:inline>
        </w:drawing>
      </w:r>
    </w:p>
    <w:p>
      <w:pPr>
        <w:spacing w:after="140"/>
      </w:pPr>
      <w:r>
        <w:rPr>
          <w:rFonts w:ascii="Calibri Light" w:hAnsi="Calibri Light"/>
          <w:b w:val="0"/>
          <w:i w:val="0"/>
          <w:color w:val="000000"/>
          <w:sz w:val="20"/>
        </w:rPr>
        <w:t>The financing tail wags the pricing dog. The ~$3.5T private-credit and shadow-bond market is the marginal source of AI capital: labs price under serving cost because debt funds the gap. Anthropic's roughly $35B chip-bond stack from June (T2) is the template; xAI's cross-subsidy is the same mechanism. Price wars funded by credit end when the credit reprices, not when a margin breaks, so the covenant is the channel's willingness to keep funding negative-margin token sales. That is why the price war and the IPO question are the same question.</w:t>
      </w:r>
    </w:p>
    <w:p>
      <w:pPr>
        <w:spacing w:after="140"/>
      </w:pPr>
      <w:r>
        <w:rPr>
          <w:rFonts w:ascii="Calibri Light" w:hAnsi="Calibri Light"/>
          <w:b w:val="0"/>
          <w:i w:val="0"/>
          <w:color w:val="000000"/>
          <w:sz w:val="20"/>
        </w:rPr>
        <w:t>The IPO intersection. The repricing lands roughly three months before Anthropic's October S-1, which forces open what private markets have not seen: model-layer gross margin, mix, and any enterprise attach. Filing at a $965B mark and 20.5x while a rival prices comparable-claim inference at a quarter of your rate is the hardest possible setup. The inverse is as sharp: if Anthropic holds price and attach, the winner thesis is validated under live fire. The gross-margin page, not any benchmark, is the most repriced disclosure in the filing.</w:t>
      </w:r>
    </w:p>
    <w:p>
      <w:pPr>
        <w:spacing w:after="140"/>
      </w:pPr>
      <w:r>
        <w:rPr>
          <w:rFonts w:ascii="Calibri Light" w:hAnsi="Calibri Light"/>
          <w:b w:val="0"/>
          <w:i w:val="0"/>
          <w:color w:val="000000"/>
          <w:sz w:val="20"/>
        </w:rPr>
        <w:t>Test: by January 31, 2027, an AI-exposed private-credit vehicle disclosing markdowns or tighter terms on chip-backed paper would confirm the financing-fragility read; a second $30B-plus chip-bond stack pricing at or inside June's terms would refute it.</w:t>
      </w:r>
    </w:p>
    <w:p>
      <w:pPr>
        <w:pStyle w:val="Heading2"/>
      </w:pPr>
      <w:r>
        <w:t>6. Consumer implications</w:t>
      </w:r>
    </w:p>
    <w:p>
      <w:pPr>
        <w:spacing w:after="140"/>
      </w:pPr>
      <w:r>
        <w:rPr>
          <w:rFonts w:ascii="Calibri Light" w:hAnsi="Calibri Light"/>
          <w:b w:val="0"/>
          <w:i w:val="0"/>
          <w:color w:val="000000"/>
          <w:sz w:val="20"/>
        </w:rPr>
        <w:t>Consumers rarely pay per token. They pay in a flat subscription (the roughly $20-per-month tier now standard, our reading of the market, T3), in attention and data (the free tier, monetized by advertising, which is Meta's model), or invisibly, through AI folded into a subscription they already hold. The per-token war reaches the consumer only indirectly but governs everything they are offered.</w:t>
      </w:r>
    </w:p>
    <w:p>
      <w:pPr>
        <w:spacing w:after="140"/>
      </w:pPr>
      <w:r>
        <w:rPr>
          <w:rFonts w:ascii="Calibri Light" w:hAnsi="Calibri Light"/>
          <w:b w:val="0"/>
          <w:i w:val="0"/>
          <w:color w:val="000000"/>
          <w:sz w:val="20"/>
        </w:rPr>
        <w:t>The central consequence: cheaper inference makes the free tier good enough. When serving a capable model costs a fraction of a year ago, the rational move is to give more away, because the free tier is the acquisition funnel. The result is capability inflation at the free tier and willingness-to-pay compression at the paid tier. This is the mirror of the enterprise story: enterprises pay for measurable reliability, consumers largely will not pay for quality they cannot perceive. The consumer market splits along the same barbell: a free, ad-and-data-monetized tier where Meta is structurally advantaged, and a premium capability bundle (the agent that books, buys, files, and codes) sold as a subscription and justified by task completion. A paid chatbot that only answers questions is the consumer squeezed middle. Two second-order effects: as prices fall the payment shifts from cash to data and attention, raising the salience of privacy; and distribution decides the consumer war, since users will not switch assistants for a difference they cannot feel.</w:t>
      </w:r>
    </w:p>
    <w:p>
      <w:pPr>
        <w:spacing w:after="140"/>
      </w:pPr>
      <w:r>
        <w:rPr>
          <w:rFonts w:ascii="Calibri Light" w:hAnsi="Calibri Light"/>
          <w:b w:val="0"/>
          <w:i w:val="0"/>
          <w:color w:val="000000"/>
          <w:sz w:val="20"/>
        </w:rPr>
        <w:t>Test: by November 30, 2026, at least one consumer AI provider materially raises free-tier capability or discloses paid conversion or ARPU under pressure. Our lean: free-tier expansion first. P = 60%.</w:t>
      </w:r>
    </w:p>
    <w:p>
      <w:pPr>
        <w:pStyle w:val="Heading2"/>
      </w:pPr>
      <w:r>
        <w:t>7. The surface decides</w:t>
      </w:r>
    </w:p>
    <w:p>
      <w:pPr>
        <w:spacing w:after="140"/>
      </w:pPr>
      <w:r>
        <w:rPr>
          <w:rFonts w:ascii="Calibri Light" w:hAnsi="Calibri Light"/>
          <w:b w:val="0"/>
          <w:i w:val="0"/>
          <w:color w:val="000000"/>
          <w:sz w:val="20"/>
        </w:rPr>
        <w:t>The war looks like a pricing table but is decided on the desktop and the phone. OpenAI's ChatGPT Work and Codex superapp (browser, computer use, above 1.5M weekly Codex actives, T2) and Anthropic's Claude Cowork compete for the enterprise-agent seat: the persistent, permissioned surface through which agents touch company systems. Whoever owns the seat owns task routing, and task routing decides which model runs at which tier for which task. Quality deltas matter less because the surface owner routes silently between tiers, escalating to Opus or Mythos for the high-stakes step and dropping to the floor for the cheap one, capturing the barbell internally. This is why Grok's refresh does not win: a better cheap model with a unique data moat is still a model, and xAI has no seat to route it through and no cash engine to outlast the incumbents. Cheap tokens win benchmarks and spot volume, which churn on the next price sheet; seat-level reliability, admin tooling, and audit trails are what enterprises cannot switch quarterly. The seat, not the sticker, is the moat.</w:t>
      </w:r>
    </w:p>
    <w:p>
      <w:pPr>
        <w:spacing w:after="140"/>
      </w:pPr>
      <w:r>
        <w:rPr>
          <w:rFonts w:ascii="Calibri Light" w:hAnsi="Calibri Light"/>
          <w:b w:val="0"/>
          <w:i w:val="0"/>
          <w:color w:val="000000"/>
          <w:sz w:val="20"/>
        </w:rPr>
        <w:t>Test: by September 30, 2026, the first disclosed enterprise-agent seat or attach metric will show whether the surface thesis is measurable. Trivial seats (below 100k) at both OpenAI and Anthropic would mean the surface war is earlier than we think.</w:t>
      </w:r>
    </w:p>
    <w:p>
      <w:pPr>
        <w:pStyle w:val="Heading2"/>
      </w:pPr>
      <w:r>
        <w:t>8. The verdict: pricing, model, and moat</w:t>
      </w:r>
    </w:p>
    <w:p>
      <w:pPr>
        <w:spacing w:after="140"/>
      </w:pPr>
      <w:r>
        <w:rPr>
          <w:rFonts w:ascii="Calibri Light" w:hAnsi="Calibri Light"/>
          <w:b w:val="0"/>
          <w:i w:val="0"/>
          <w:color w:val="000000"/>
          <w:sz w:val="20"/>
        </w:rPr>
        <w:t>Score the labs on the four axes and the verdict is not close.</w:t>
      </w:r>
    </w:p>
    <w:p>
      <w:pPr>
        <w:spacing w:after="40"/>
      </w:pPr>
      <w:r>
        <w:rPr>
          <w:rFonts w:ascii="Calibri Light" w:hAnsi="Calibri Light"/>
          <w:b/>
          <w:i w:val="0"/>
          <w:color w:val="2F5496"/>
          <w:sz w:val="19"/>
        </w:rPr>
        <w:t xml:space="preserve">TABLE: </w:t>
      </w:r>
      <w:r>
        <w:rPr>
          <w:rFonts w:ascii="Calibri Light" w:hAnsi="Calibri Light"/>
          <w:b w:val="0"/>
          <w:i/>
          <w:color w:val="595959"/>
          <w:sz w:val="19"/>
        </w:rPr>
        <w:t>Competitive scorecard on the four axes that decide the war. Takeaway: Anthropic leads on value pricing, model, and economics; OpenAI only on distribution; Meta owns the floor; xAI has capability without economics.</w:t>
      </w:r>
    </w:p>
    <w:tbl>
      <w:tblPr>
        <w:tblW w:type="dxa" w:w="9840"/>
        <w:tblLook w:firstColumn="1" w:firstRow="1" w:lastColumn="0" w:lastRow="0" w:noHBand="0" w:noVBand="1" w:val="04A0"/>
        <w:tblBorders>
          <w:top w:val="single" w:sz="4" w:space="0" w:color="BFCBDD"/>
          <w:left w:val="single" w:sz="4" w:space="0" w:color="BFCBDD"/>
          <w:bottom w:val="single" w:sz="4" w:space="0" w:color="BFCBDD"/>
          <w:right w:val="single" w:sz="4" w:space="0" w:color="BFCBDD"/>
          <w:insideH w:val="single" w:sz="4" w:space="0" w:color="BFCBDD"/>
          <w:insideV w:val="single" w:sz="4" w:space="0" w:color="BFCBDD"/>
        </w:tblBorders>
        <w:tblCellMar>
          <w:top w:w="40" w:type="dxa"/>
          <w:left w:w="80" w:type="dxa"/>
          <w:bottom w:w="40" w:type="dxa"/>
          <w:right w:w="80" w:type="dxa"/>
        </w:tblCellMar>
      </w:tblPr>
      <w:tblGrid>
        <w:gridCol w:w="1680"/>
        <w:gridCol w:w="1680"/>
        <w:gridCol w:w="1680"/>
        <w:gridCol w:w="1680"/>
        <w:gridCol w:w="1680"/>
        <w:gridCol w:w="1680"/>
      </w:tblGrid>
      <w:tr>
        <w:trPr>
          <w:cantSplit/>
          <w:tblHeader w:val="true"/>
        </w:trPr>
        <w:tc>
          <w:tcPr>
            <w:tcW w:type="dxa" w:w="2050"/>
            <w:shd w:val="clear" w:fill="2F5496"/>
          </w:tcPr>
          <w:p>
            <w:pPr>
              <w:spacing w:after="0"/>
              <w:jc w:val="left"/>
            </w:pPr>
            <w:r/>
            <w:r>
              <w:rPr>
                <w:rFonts w:ascii="Calibri Light" w:hAnsi="Calibri Light"/>
                <w:b/>
                <w:color w:val="FFFFFF"/>
                <w:sz w:val="17"/>
              </w:rPr>
              <w:t>Lab</w:t>
            </w:r>
          </w:p>
        </w:tc>
        <w:tc>
          <w:tcPr>
            <w:tcW w:type="dxa" w:w="1558"/>
            <w:shd w:val="clear" w:fill="2F5496"/>
          </w:tcPr>
          <w:p>
            <w:pPr>
              <w:spacing w:after="0"/>
              <w:jc w:val="center"/>
            </w:pPr>
            <w:r/>
            <w:r>
              <w:rPr>
                <w:rFonts w:ascii="Calibri Light" w:hAnsi="Calibri Light"/>
                <w:b/>
                <w:color w:val="FFFFFF"/>
                <w:sz w:val="17"/>
              </w:rPr>
              <w:t>Pricing for value</w:t>
            </w:r>
          </w:p>
        </w:tc>
        <w:tc>
          <w:tcPr>
            <w:tcW w:type="dxa" w:w="1558"/>
            <w:shd w:val="clear" w:fill="2F5496"/>
          </w:tcPr>
          <w:p>
            <w:pPr>
              <w:spacing w:after="0"/>
              <w:jc w:val="center"/>
            </w:pPr>
            <w:r/>
            <w:r>
              <w:rPr>
                <w:rFonts w:ascii="Calibri Light" w:hAnsi="Calibri Light"/>
                <w:b/>
                <w:color w:val="FFFFFF"/>
                <w:sz w:val="17"/>
              </w:rPr>
              <w:t>Model</w:t>
            </w:r>
          </w:p>
        </w:tc>
        <w:tc>
          <w:tcPr>
            <w:tcW w:type="dxa" w:w="1558"/>
            <w:shd w:val="clear" w:fill="2F5496"/>
          </w:tcPr>
          <w:p>
            <w:pPr>
              <w:spacing w:after="0"/>
              <w:jc w:val="center"/>
            </w:pPr>
            <w:r/>
            <w:r>
              <w:rPr>
                <w:rFonts w:ascii="Calibri Light" w:hAnsi="Calibri Light"/>
                <w:b/>
                <w:color w:val="FFFFFF"/>
                <w:sz w:val="17"/>
              </w:rPr>
              <w:t>Moat</w:t>
            </w:r>
          </w:p>
        </w:tc>
        <w:tc>
          <w:tcPr>
            <w:tcW w:type="dxa" w:w="1558"/>
            <w:shd w:val="clear" w:fill="2F5496"/>
          </w:tcPr>
          <w:p>
            <w:pPr>
              <w:spacing w:after="0"/>
              <w:jc w:val="center"/>
            </w:pPr>
            <w:r/>
            <w:r>
              <w:rPr>
                <w:rFonts w:ascii="Calibri Light" w:hAnsi="Calibri Light"/>
                <w:b/>
                <w:color w:val="FFFFFF"/>
                <w:sz w:val="17"/>
              </w:rPr>
              <w:t>Unit economics</w:t>
            </w:r>
          </w:p>
        </w:tc>
        <w:tc>
          <w:tcPr>
            <w:tcW w:type="dxa" w:w="1558"/>
            <w:shd w:val="clear" w:fill="2F5496"/>
          </w:tcPr>
          <w:p>
            <w:pPr>
              <w:spacing w:after="0"/>
              <w:jc w:val="center"/>
            </w:pPr>
            <w:r/>
            <w:r>
              <w:rPr>
                <w:rFonts w:ascii="Calibri Light" w:hAnsi="Calibri Light"/>
                <w:b/>
                <w:color w:val="FFFFFF"/>
                <w:sz w:val="17"/>
              </w:rPr>
              <w:t>Verdict</w:t>
            </w:r>
          </w:p>
        </w:tc>
      </w:tr>
      <w:tr>
        <w:trPr>
          <w:cantSplit/>
        </w:trPr>
        <w:tc>
          <w:tcPr>
            <w:tcW w:type="dxa" w:w="2050"/>
          </w:tcPr>
          <w:p>
            <w:pPr>
              <w:spacing w:after="0"/>
              <w:jc w:val="left"/>
            </w:pPr>
            <w:r/>
            <w:r>
              <w:rPr>
                <w:rFonts w:ascii="Calibri Light" w:hAnsi="Calibri Light"/>
                <w:b w:val="0"/>
                <w:color w:val="000000"/>
                <w:sz w:val="17"/>
              </w:rPr>
              <w:t>Anthropic</w:t>
            </w:r>
          </w:p>
        </w:tc>
        <w:tc>
          <w:tcPr>
            <w:tcW w:type="dxa" w:w="1558"/>
          </w:tcPr>
          <w:p>
            <w:pPr>
              <w:spacing w:after="0"/>
              <w:jc w:val="center"/>
            </w:pPr>
            <w:r/>
            <w:r>
              <w:rPr>
                <w:rFonts w:ascii="Calibri Light" w:hAnsi="Calibri Light"/>
                <w:b w:val="0"/>
                <w:color w:val="000000"/>
                <w:sz w:val="17"/>
              </w:rPr>
              <w:t>Premium held ($5/$25) + Mythos; wins the value pool</w:t>
            </w:r>
          </w:p>
        </w:tc>
        <w:tc>
          <w:tcPr>
            <w:tcW w:type="dxa" w:w="1558"/>
          </w:tcPr>
          <w:p>
            <w:pPr>
              <w:spacing w:after="0"/>
              <w:jc w:val="center"/>
            </w:pPr>
            <w:r/>
            <w:r>
              <w:rPr>
                <w:rFonts w:ascii="Calibri Light" w:hAnsi="Calibri Light"/>
                <w:b w:val="0"/>
                <w:color w:val="000000"/>
                <w:sz w:val="17"/>
              </w:rPr>
              <w:t>Highest quality; Opus + Mythos</w:t>
            </w:r>
          </w:p>
        </w:tc>
        <w:tc>
          <w:tcPr>
            <w:tcW w:type="dxa" w:w="1558"/>
          </w:tcPr>
          <w:p>
            <w:pPr>
              <w:spacing w:after="0"/>
              <w:jc w:val="center"/>
            </w:pPr>
            <w:r/>
            <w:r>
              <w:rPr>
                <w:rFonts w:ascii="Calibri Light" w:hAnsi="Calibri Light"/>
                <w:b w:val="0"/>
                <w:color w:val="000000"/>
                <w:sz w:val="17"/>
              </w:rPr>
              <w:t>Reliability, Cowork seat, defended premium</w:t>
            </w:r>
          </w:p>
        </w:tc>
        <w:tc>
          <w:tcPr>
            <w:tcW w:type="dxa" w:w="1558"/>
          </w:tcPr>
          <w:p>
            <w:pPr>
              <w:spacing w:after="0"/>
              <w:jc w:val="center"/>
            </w:pPr>
            <w:r/>
            <w:r>
              <w:rPr>
                <w:rFonts w:ascii="Calibri Light" w:hAnsi="Calibri Light"/>
                <w:b w:val="0"/>
                <w:color w:val="000000"/>
                <w:sz w:val="17"/>
              </w:rPr>
              <w:t>0.38x CE; first Q2 profit</w:t>
            </w:r>
          </w:p>
        </w:tc>
        <w:tc>
          <w:tcPr>
            <w:tcW w:type="dxa" w:w="1558"/>
          </w:tcPr>
          <w:p>
            <w:pPr>
              <w:spacing w:after="0"/>
              <w:jc w:val="center"/>
            </w:pPr>
            <w:r/>
            <w:r>
              <w:rPr>
                <w:rFonts w:ascii="Calibri Light" w:hAnsi="Calibri Light"/>
                <w:b w:val="0"/>
                <w:color w:val="000000"/>
                <w:sz w:val="17"/>
              </w:rPr>
              <w:t>Best positioned</w:t>
            </w:r>
          </w:p>
        </w:tc>
      </w:tr>
      <w:tr>
        <w:trPr>
          <w:cantSplit/>
        </w:trPr>
        <w:tc>
          <w:tcPr>
            <w:tcW w:type="dxa" w:w="2050"/>
            <w:shd w:val="clear" w:fill="EAF0F8"/>
          </w:tcPr>
          <w:p>
            <w:pPr>
              <w:spacing w:after="0"/>
              <w:jc w:val="left"/>
            </w:pPr>
            <w:r/>
            <w:r>
              <w:rPr>
                <w:rFonts w:ascii="Calibri Light" w:hAnsi="Calibri Light"/>
                <w:b w:val="0"/>
                <w:color w:val="000000"/>
                <w:sz w:val="17"/>
              </w:rPr>
              <w:t>OpenAI</w:t>
            </w:r>
          </w:p>
        </w:tc>
        <w:tc>
          <w:tcPr>
            <w:tcW w:type="dxa" w:w="1558"/>
            <w:shd w:val="clear" w:fill="EAF0F8"/>
          </w:tcPr>
          <w:p>
            <w:pPr>
              <w:spacing w:after="0"/>
              <w:jc w:val="center"/>
            </w:pPr>
            <w:r/>
            <w:r>
              <w:rPr>
                <w:rFonts w:ascii="Calibri Light" w:hAnsi="Calibri Light"/>
                <w:b w:val="0"/>
                <w:color w:val="000000"/>
                <w:sz w:val="17"/>
              </w:rPr>
              <w:t>Bifurcated: Sol $5/$30, Luna $1/$6</w:t>
            </w:r>
          </w:p>
        </w:tc>
        <w:tc>
          <w:tcPr>
            <w:tcW w:type="dxa" w:w="1558"/>
            <w:shd w:val="clear" w:fill="EAF0F8"/>
          </w:tcPr>
          <w:p>
            <w:pPr>
              <w:spacing w:after="0"/>
              <w:jc w:val="center"/>
            </w:pPr>
            <w:r/>
            <w:r>
              <w:rPr>
                <w:rFonts w:ascii="Calibri Light" w:hAnsi="Calibri Light"/>
                <w:b w:val="0"/>
                <w:color w:val="000000"/>
                <w:sz w:val="17"/>
              </w:rPr>
              <w:t>Strong, broad</w:t>
            </w:r>
          </w:p>
        </w:tc>
        <w:tc>
          <w:tcPr>
            <w:tcW w:type="dxa" w:w="1558"/>
            <w:shd w:val="clear" w:fill="EAF0F8"/>
          </w:tcPr>
          <w:p>
            <w:pPr>
              <w:spacing w:after="0"/>
              <w:jc w:val="center"/>
            </w:pPr>
            <w:r/>
            <w:r>
              <w:rPr>
                <w:rFonts w:ascii="Calibri Light" w:hAnsi="Calibri Light"/>
                <w:b w:val="0"/>
                <w:color w:val="000000"/>
                <w:sz w:val="17"/>
              </w:rPr>
              <w:t>Distribution: ~900M WAU, Codex &gt;1.5M</w:t>
            </w:r>
          </w:p>
        </w:tc>
        <w:tc>
          <w:tcPr>
            <w:tcW w:type="dxa" w:w="1558"/>
            <w:shd w:val="clear" w:fill="EAF0F8"/>
          </w:tcPr>
          <w:p>
            <w:pPr>
              <w:spacing w:after="0"/>
              <w:jc w:val="center"/>
            </w:pPr>
            <w:r/>
            <w:r>
              <w:rPr>
                <w:rFonts w:ascii="Calibri Light" w:hAnsi="Calibri Light"/>
                <w:b w:val="0"/>
                <w:color w:val="000000"/>
                <w:sz w:val="17"/>
              </w:rPr>
              <w:t>0.14x CE; 34.1x</w:t>
            </w:r>
          </w:p>
        </w:tc>
        <w:tc>
          <w:tcPr>
            <w:tcW w:type="dxa" w:w="1558"/>
            <w:shd w:val="clear" w:fill="EAF0F8"/>
          </w:tcPr>
          <w:p>
            <w:pPr>
              <w:spacing w:after="0"/>
              <w:jc w:val="center"/>
            </w:pPr>
            <w:r/>
            <w:r>
              <w:rPr>
                <w:rFonts w:ascii="Calibri Light" w:hAnsi="Calibri Light"/>
                <w:b w:val="0"/>
                <w:color w:val="000000"/>
                <w:sz w:val="17"/>
              </w:rPr>
              <w:t>Closest rival</w:t>
            </w:r>
          </w:p>
        </w:tc>
      </w:tr>
      <w:tr>
        <w:trPr>
          <w:cantSplit/>
        </w:trPr>
        <w:tc>
          <w:tcPr>
            <w:tcW w:type="dxa" w:w="2050"/>
          </w:tcPr>
          <w:p>
            <w:pPr>
              <w:spacing w:after="0"/>
              <w:jc w:val="left"/>
            </w:pPr>
            <w:r/>
            <w:r>
              <w:rPr>
                <w:rFonts w:ascii="Calibri Light" w:hAnsi="Calibri Light"/>
                <w:b w:val="0"/>
                <w:color w:val="000000"/>
                <w:sz w:val="17"/>
              </w:rPr>
              <w:t>Meta</w:t>
            </w:r>
          </w:p>
        </w:tc>
        <w:tc>
          <w:tcPr>
            <w:tcW w:type="dxa" w:w="1558"/>
          </w:tcPr>
          <w:p>
            <w:pPr>
              <w:spacing w:after="0"/>
              <w:jc w:val="center"/>
            </w:pPr>
            <w:r/>
            <w:r>
              <w:rPr>
                <w:rFonts w:ascii="Calibri Light" w:hAnsi="Calibri Light"/>
                <w:b w:val="0"/>
                <w:color w:val="000000"/>
                <w:sz w:val="17"/>
              </w:rPr>
              <w:t>Cheapest ($1.25/$4.25)</w:t>
            </w:r>
          </w:p>
        </w:tc>
        <w:tc>
          <w:tcPr>
            <w:tcW w:type="dxa" w:w="1558"/>
          </w:tcPr>
          <w:p>
            <w:pPr>
              <w:spacing w:after="0"/>
              <w:jc w:val="center"/>
            </w:pPr>
            <w:r/>
            <w:r>
              <w:rPr>
                <w:rFonts w:ascii="Calibri Light" w:hAnsi="Calibri Light"/>
                <w:b w:val="0"/>
                <w:color w:val="000000"/>
                <w:sz w:val="17"/>
              </w:rPr>
              <w:t>Reported SOTA agent (T3)</w:t>
            </w:r>
          </w:p>
        </w:tc>
        <w:tc>
          <w:tcPr>
            <w:tcW w:type="dxa" w:w="1558"/>
          </w:tcPr>
          <w:p>
            <w:pPr>
              <w:spacing w:after="0"/>
              <w:jc w:val="center"/>
            </w:pPr>
            <w:r/>
            <w:r>
              <w:rPr>
                <w:rFonts w:ascii="Calibri Light" w:hAnsi="Calibri Light"/>
                <w:b w:val="0"/>
                <w:color w:val="000000"/>
                <w:sz w:val="17"/>
              </w:rPr>
              <w:t>Ads engine, owned surfaces</w:t>
            </w:r>
          </w:p>
        </w:tc>
        <w:tc>
          <w:tcPr>
            <w:tcW w:type="dxa" w:w="1558"/>
          </w:tcPr>
          <w:p>
            <w:pPr>
              <w:spacing w:after="0"/>
              <w:jc w:val="center"/>
            </w:pPr>
            <w:r/>
            <w:r>
              <w:rPr>
                <w:rFonts w:ascii="Calibri Light" w:hAnsi="Calibri Light"/>
                <w:b w:val="0"/>
                <w:color w:val="000000"/>
                <w:sz w:val="17"/>
              </w:rPr>
              <w:t>No model margin needed</w:t>
            </w:r>
          </w:p>
        </w:tc>
        <w:tc>
          <w:tcPr>
            <w:tcW w:type="dxa" w:w="1558"/>
          </w:tcPr>
          <w:p>
            <w:pPr>
              <w:spacing w:after="0"/>
              <w:jc w:val="center"/>
            </w:pPr>
            <w:r/>
            <w:r>
              <w:rPr>
                <w:rFonts w:ascii="Calibri Light" w:hAnsi="Calibri Light"/>
                <w:b w:val="0"/>
                <w:color w:val="000000"/>
                <w:sz w:val="17"/>
              </w:rPr>
              <w:t>Owns the floor</w:t>
            </w:r>
          </w:p>
        </w:tc>
      </w:tr>
      <w:tr>
        <w:trPr>
          <w:cantSplit/>
        </w:trPr>
        <w:tc>
          <w:tcPr>
            <w:tcW w:type="dxa" w:w="2050"/>
            <w:shd w:val="clear" w:fill="EAF0F8"/>
          </w:tcPr>
          <w:p>
            <w:pPr>
              <w:spacing w:after="0"/>
              <w:jc w:val="left"/>
            </w:pPr>
            <w:r/>
            <w:r>
              <w:rPr>
                <w:rFonts w:ascii="Calibri Light" w:hAnsi="Calibri Light"/>
                <w:b w:val="0"/>
                <w:color w:val="000000"/>
                <w:sz w:val="17"/>
              </w:rPr>
              <w:t>xAI</w:t>
            </w:r>
          </w:p>
        </w:tc>
        <w:tc>
          <w:tcPr>
            <w:tcW w:type="dxa" w:w="1558"/>
            <w:shd w:val="clear" w:fill="EAF0F8"/>
          </w:tcPr>
          <w:p>
            <w:pPr>
              <w:spacing w:after="0"/>
              <w:jc w:val="center"/>
            </w:pPr>
            <w:r/>
            <w:r>
              <w:rPr>
                <w:rFonts w:ascii="Calibri Light" w:hAnsi="Calibri Light"/>
                <w:b w:val="0"/>
                <w:color w:val="000000"/>
                <w:sz w:val="17"/>
              </w:rPr>
              <w:t>$2/$6, value leader on paper</w:t>
            </w:r>
          </w:p>
        </w:tc>
        <w:tc>
          <w:tcPr>
            <w:tcW w:type="dxa" w:w="1558"/>
            <w:shd w:val="clear" w:fill="EAF0F8"/>
          </w:tcPr>
          <w:p>
            <w:pPr>
              <w:spacing w:after="0"/>
              <w:jc w:val="center"/>
            </w:pPr>
            <w:r/>
            <w:r>
              <w:rPr>
                <w:rFonts w:ascii="Calibri Light" w:hAnsi="Calibri Light"/>
                <w:b w:val="0"/>
                <w:color w:val="000000"/>
                <w:sz w:val="17"/>
              </w:rPr>
              <w:t>Grok 4.5: agentic + real-time data (T3)</w:t>
            </w:r>
          </w:p>
        </w:tc>
        <w:tc>
          <w:tcPr>
            <w:tcW w:type="dxa" w:w="1558"/>
            <w:shd w:val="clear" w:fill="EAF0F8"/>
          </w:tcPr>
          <w:p>
            <w:pPr>
              <w:spacing w:after="0"/>
              <w:jc w:val="center"/>
            </w:pPr>
            <w:r/>
            <w:r>
              <w:rPr>
                <w:rFonts w:ascii="Calibri Light" w:hAnsi="Calibri Light"/>
                <w:b w:val="0"/>
                <w:color w:val="000000"/>
                <w:sz w:val="17"/>
              </w:rPr>
              <w:t>Real-time X/Starlink; no seat</w:t>
            </w:r>
          </w:p>
        </w:tc>
        <w:tc>
          <w:tcPr>
            <w:tcW w:type="dxa" w:w="1558"/>
            <w:shd w:val="clear" w:fill="EAF0F8"/>
          </w:tcPr>
          <w:p>
            <w:pPr>
              <w:spacing w:after="0"/>
              <w:jc w:val="center"/>
            </w:pPr>
            <w:r/>
            <w:r>
              <w:rPr>
                <w:rFonts w:ascii="Calibri Light" w:hAnsi="Calibri Light"/>
                <w:b w:val="0"/>
                <w:color w:val="000000"/>
                <w:sz w:val="17"/>
              </w:rPr>
              <w:t>-$6.36B FY25</w:t>
            </w:r>
          </w:p>
        </w:tc>
        <w:tc>
          <w:tcPr>
            <w:tcW w:type="dxa" w:w="1558"/>
            <w:shd w:val="clear" w:fill="EAF0F8"/>
          </w:tcPr>
          <w:p>
            <w:pPr>
              <w:spacing w:after="0"/>
              <w:jc w:val="center"/>
            </w:pPr>
            <w:r/>
            <w:r>
              <w:rPr>
                <w:rFonts w:ascii="Calibri Light" w:hAnsi="Calibri Light"/>
                <w:b w:val="0"/>
                <w:color w:val="000000"/>
                <w:sz w:val="17"/>
              </w:rPr>
              <w:t>Capability up, economics broken</w:t>
            </w:r>
          </w:p>
        </w:tc>
      </w:tr>
    </w:tbl>
    <w:p>
      <w:pPr>
        <w:spacing w:after="40"/>
      </w:pPr>
    </w:p>
    <w:p>
      <w:pPr>
        <w:spacing w:after="140"/>
      </w:pPr>
      <w:r>
        <w:rPr>
          <w:rFonts w:ascii="Calibri Light" w:hAnsi="Calibri Light"/>
          <w:b w:val="0"/>
          <w:i w:val="0"/>
          <w:color w:val="000000"/>
          <w:sz w:val="20"/>
        </w:rPr>
        <w:t>Scorecard is our assessment; figures T1/T2, reported model claims T3.</w:t>
      </w:r>
    </w:p>
    <w:p>
      <w:pPr>
        <w:spacing w:after="140"/>
      </w:pPr>
      <w:r>
        <w:rPr>
          <w:rFonts w:ascii="Calibri Light" w:hAnsi="Calibri Light"/>
          <w:b w:val="0"/>
          <w:i w:val="0"/>
          <w:color w:val="000000"/>
          <w:sz w:val="20"/>
        </w:rPr>
        <w:t>The winner is Anthropic: it leads on three of the four axes and ties the fourth. On pricing for value it declines to chase the floor and defends the tier the cost-per-completed-task arithmetic says wins the high-value pool, extending the premium upward with Mythos. On model it fields the highest-quality franchise. On economics it posts the best capital efficiency and first profit among the labs, while OpenAI carries a richer multiple on thinner efficiency and xAI a multibillion-dollar loss. The one axis it does not lead is distribution, where OpenAI's ~900M weekly actives and Codex base make it the only credible challenger. But distribution is a consumer-surface edge, and this war is decided on the enterprise seat, where Anthropic's Cowork converts model quality into switching cost. Meta owns a floor it does not need to profit from; xAI has bought capability it cannot fund. Value, model, and moat point the same way.</w:t>
      </w:r>
    </w:p>
    <w:p>
      <w:pPr>
        <w:pStyle w:val="Heading2"/>
      </w:pPr>
      <w:r>
        <w:t>What would change the call</w:t>
      </w:r>
    </w:p>
    <w:p>
      <w:pPr>
        <w:spacing w:after="140"/>
      </w:pPr>
      <w:r>
        <w:rPr>
          <w:rFonts w:ascii="Calibri Light" w:hAnsi="Calibri Light"/>
          <w:b w:val="0"/>
          <w:i w:val="0"/>
          <w:color w:val="000000"/>
          <w:sz w:val="20"/>
        </w:rPr>
        <w:t>The winner call breaks if OpenAI converts its distribution lead into the enterprise seat before Anthropic locks it, or if Anthropic is forced to cut flagship pricing, which would concede the value-pool thesis it must sell. The segmentation call breaks on two counters: if agents learn to self-correct cheaply, remediation cost collapses toward zero and the premium with it (the Section 2 sensitivity cuts both ways); or if Meta, or a capability-upgraded xAI, converts its cheap model and real-time data moat into a credible enterprise surface. The dated calls are where we would see these first: Anthropic's flagship pricing by August 31; the first enterprise-agent seat or attach metric by September 30; the first consumer free-tier or ARPU signal by November 30; the shadow-bond channel's terms on chip-backed paper into 2027; and, above all, Anthropic's October S-1, whose model-layer gross-margin page converts most of this note from estimate to fact.</w:t>
      </w:r>
    </w:p>
    <w:p>
      <w:pPr>
        <w:pStyle w:val="Heading2"/>
      </w:pPr>
      <w:r>
        <w:t>References</w:t>
      </w:r>
    </w:p>
    <w:p>
      <w:pPr>
        <w:pStyle w:val="ListNumber"/>
        <w:spacing w:after="80"/>
      </w:pPr>
      <w:r>
        <w:rPr>
          <w:rFonts w:ascii="Calibri Light" w:hAnsi="Calibri Light"/>
          <w:b w:val="0"/>
          <w:i w:val="0"/>
          <w:color w:val="000000"/>
          <w:sz w:val="20"/>
        </w:rPr>
        <w:t>Published API price lists: Anthropic (Claude Opus 4.8), OpenAI (GPT-5.6 Sol, GPT-5.6 Luna), xAI (Grok 4.5), Meta (Muse Spark 1.1), July 2026. List prices T1; performance claims T3. Claude Mythos is restricted-access; its pricing is not public and our premium estimate is T3.</w:t>
      </w:r>
    </w:p>
    <w:p>
      <w:pPr>
        <w:pStyle w:val="ListNumber"/>
        <w:spacing w:after="80"/>
      </w:pPr>
      <w:r>
        <w:rPr>
          <w:rFonts w:ascii="Calibri Light" w:hAnsi="Calibri Light"/>
          <w:b w:val="0"/>
          <w:i w:val="0"/>
          <w:color w:val="000000"/>
          <w:sz w:val="20"/>
        </w:rPr>
        <w:t>Meta announcement, Muse Spark 1.1 agent-reasoning and 1M-context claims, July 2026. Vendor-reported, T3.</w:t>
      </w:r>
    </w:p>
    <w:p>
      <w:pPr>
        <w:pStyle w:val="ListNumber"/>
        <w:spacing w:after="80"/>
      </w:pPr>
      <w:r>
        <w:rPr>
          <w:rFonts w:ascii="Calibri Light" w:hAnsi="Calibri Light"/>
          <w:b w:val="0"/>
          <w:i w:val="0"/>
          <w:color w:val="000000"/>
          <w:sz w:val="20"/>
        </w:rPr>
        <w:t>xAI mid-July Grok 4.5 capability refresh: native computer-use and tool-calling, multimodal input, real-time X and Starlink data path, frontier-parity agentic-reasoning claim. Vendor-reported, T3, discounted one tier.</w:t>
      </w:r>
    </w:p>
    <w:p>
      <w:pPr>
        <w:pStyle w:val="ListNumber"/>
        <w:spacing w:after="80"/>
      </w:pPr>
      <w:r>
        <w:rPr>
          <w:rFonts w:ascii="Calibri Light" w:hAnsi="Calibri Light"/>
          <w:b w:val="0"/>
          <w:i w:val="0"/>
          <w:color w:val="000000"/>
          <w:sz w:val="20"/>
        </w:rPr>
        <w:t>PitchBook company datasets: Anthropic ($965B mark, $47B gross run-rate ARR, Q2 operating profit ~$559M adjusted, 0.38x capital efficiency); OpenAI ($852B, ~$25B net ARR, 34.1x, 0.14x capital efficiency, weekly actives); xAI AI-segment ARR ($3.2B) and FY25 operating loss (-$6.36B); SPCX ~$1.97T. July 2026. T2/T3.</w:t>
      </w:r>
    </w:p>
    <w:p>
      <w:pPr>
        <w:pStyle w:val="ListNumber"/>
        <w:spacing w:after="80"/>
      </w:pPr>
      <w:r>
        <w:rPr>
          <w:rFonts w:ascii="Calibri Light" w:hAnsi="Calibri Light"/>
          <w:b w:val="0"/>
          <w:i w:val="0"/>
          <w:color w:val="000000"/>
          <w:sz w:val="20"/>
        </w:rPr>
        <w:t>Press on Anthropic's ~$35B chip-bond stack, June 2026, and the ~$3.5T AI-linked private-credit market. T2/T3.</w:t>
      </w:r>
    </w:p>
    <w:p>
      <w:pPr>
        <w:pStyle w:val="ListNumber"/>
        <w:spacing w:after="80"/>
      </w:pPr>
      <w:r>
        <w:rPr>
          <w:rFonts w:ascii="Calibri Light" w:hAnsi="Calibri Light"/>
          <w:b w:val="0"/>
          <w:i w:val="0"/>
          <w:color w:val="000000"/>
          <w:sz w:val="20"/>
        </w:rPr>
        <w:t>Technical background on transformer inference: prefill versus decode, memory-bandwidth-bound generation, KV-cache growth, batching, and token-price deflation. T3, context only.</w:t>
      </w:r>
    </w:p>
    <w:p>
      <w:pPr>
        <w:pStyle w:val="ListNumber"/>
        <w:spacing w:after="80"/>
      </w:pPr>
      <w:r>
        <w:rPr>
          <w:rFonts w:ascii="Calibri Light" w:hAnsi="Calibri Light"/>
          <w:b w:val="0"/>
          <w:i w:val="0"/>
          <w:color w:val="000000"/>
          <w:sz w:val="20"/>
        </w:rPr>
        <w:t>Company product disclosures: OpenAI ChatGPT Work and Codex desktop; Anthropic Claude Cowork. T2. Consumer price points and free-tier characterizations are our reading of the market, T3.</w:t>
      </w:r>
    </w:p>
    <w:sectPr w:rsidR="00FC693F" w:rsidRPr="0006063C" w:rsidSect="00034616">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Light" w:hAnsi="Calibri Light"/>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Light" w:hAnsi="Calibri Light"/>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