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Mythos 5, the priciest sticker on the sheet at $50, runs near-cheapest, while the cheapest sticker, Muse Spark, runs dearest.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191227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191227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but Google's Gemini 3.1 Pro, a frontier model at a fraction of the price, closes the gap to a whisker.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expensive and serial where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cut not paid for by better hardware or utilization comes out of margin, so a lower number is either better economics or a subsidy, indistinguishable on a sheet. A long context is not free either: conversation memory grows with it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195824"/>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195824"/>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Gemini 3.1 Pro</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$12.00</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$0.29</w:t>
            </w:r>
          </w:p>
        </w:tc>
        <w:tc>
          <w:tcPr>
            <w:tcW w:type="dxa" w:w="1298"/>
            <w:shd w:val="clear" w:fill="EAF0F8"/>
          </w:tcPr>
          <w:p>
            <w:pPr>
              <w:spacing w:after="0"/>
              <w:jc w:val="center"/>
            </w:pPr>
            <w:r/>
            <w:r>
              <w:rPr>
                <w:rFonts w:ascii="Calibri Light" w:hAnsi="Calibri Light"/>
                <w:b w:val="0"/>
                <w:color w:val="000000"/>
                <w:sz w:val="17"/>
              </w:rPr>
              <w:t>$0.35</w:t>
            </w:r>
          </w:p>
        </w:tc>
        <w:tc>
          <w:tcPr>
            <w:tcW w:type="dxa" w:w="1298"/>
            <w:shd w:val="clear" w:fill="EAF0F8"/>
          </w:tcPr>
          <w:p>
            <w:pPr>
              <w:spacing w:after="0"/>
              <w:jc w:val="center"/>
            </w:pPr>
            <w:r/>
            <w:r>
              <w:rPr>
                <w:rFonts w:ascii="Calibri Light" w:hAnsi="Calibri Light"/>
                <w:b w:val="0"/>
                <w:color w:val="000000"/>
                <w:sz w:val="17"/>
              </w:rPr>
              <w:t>$0.41</w:t>
            </w:r>
          </w:p>
        </w:tc>
      </w:tr>
      <w:tr>
        <w:trPr>
          <w:cantSplit/>
        </w:trPr>
        <w:tc>
          <w:tcPr>
            <w:tcW w:type="dxa" w:w="2050"/>
          </w:tcPr>
          <w:p>
            <w:pPr>
              <w:spacing w:after="0"/>
              <w:jc w:val="left"/>
            </w:pPr>
            <w:r/>
            <w:r>
              <w:rPr>
                <w:rFonts w:ascii="Calibri Light" w:hAnsi="Calibri Light"/>
                <w:b w:val="0"/>
                <w:color w:val="000000"/>
                <w:sz w:val="17"/>
              </w:rPr>
              <w:t>GPT-5.6 Sol</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$30.00</w:t>
            </w:r>
          </w:p>
        </w:tc>
        <w:tc>
          <w:tcPr>
            <w:tcW w:type="dxa" w:w="1298"/>
          </w:tcPr>
          <w:p>
            <w:pPr>
              <w:spacing w:after="0"/>
              <w:jc w:val="center"/>
            </w:pPr>
            <w:r/>
            <w:r>
              <w:rPr>
                <w:rFonts w:ascii="Calibri Light" w:hAnsi="Calibri Light"/>
                <w:b w:val="0"/>
                <w:color w:val="000000"/>
                <w:sz w:val="17"/>
              </w:rPr>
              <w:t>$0.66</w:t>
            </w:r>
          </w:p>
        </w:tc>
        <w:tc>
          <w:tcPr>
            <w:tcW w:type="dxa" w:w="1298"/>
          </w:tcPr>
          <w:p>
            <w:pPr>
              <w:spacing w:after="0"/>
              <w:jc w:val="center"/>
            </w:pPr>
            <w:r/>
            <w:r>
              <w:rPr>
                <w:rFonts w:ascii="Calibri Light" w:hAnsi="Calibri Light"/>
                <w:b w:val="0"/>
                <w:color w:val="000000"/>
                <w:sz w:val="17"/>
              </w:rPr>
              <w:t>$0.73</w:t>
            </w:r>
          </w:p>
        </w:tc>
        <w:tc>
          <w:tcPr>
            <w:tcW w:type="dxa" w:w="1298"/>
          </w:tcPr>
          <w:p>
            <w:pPr>
              <w:spacing w:after="0"/>
              <w:jc w:val="center"/>
            </w:pPr>
            <w:r/>
            <w:r>
              <w:rPr>
                <w:rFonts w:ascii="Calibri Light" w:hAnsi="Calibri Light"/>
                <w:b w:val="0"/>
                <w:color w:val="000000"/>
                <w:sz w:val="17"/>
              </w:rPr>
              <w:t>$0.88</w:t>
            </w:r>
          </w:p>
        </w:tc>
        <w:tc>
          <w:tcPr>
            <w:tcW w:type="dxa" w:w="1298"/>
          </w:tcPr>
          <w:p>
            <w:pPr>
              <w:spacing w:after="0"/>
              <w:jc w:val="center"/>
            </w:pPr>
            <w:r/>
            <w:r>
              <w:rPr>
                <w:rFonts w:ascii="Calibri Light" w:hAnsi="Calibri Light"/>
                <w:b w:val="0"/>
                <w:color w:val="000000"/>
                <w:sz w:val="17"/>
              </w:rPr>
              <w:t>$1.02</w:t>
            </w:r>
          </w:p>
        </w:tc>
      </w:tr>
      <w:tr>
        <w:trPr>
          <w:cantSplit/>
        </w:trPr>
        <w:tc>
          <w:tcPr>
            <w:tcW w:type="dxa" w:w="2050"/>
            <w:shd w:val="clear" w:fill="EAF0F8"/>
          </w:tcPr>
          <w:p>
            <w:pPr>
              <w:spacing w:after="0"/>
              <w:jc w:val="left"/>
            </w:pPr>
            <w:r/>
            <w:r>
              <w:rPr>
                <w:rFonts w:ascii="Calibri Light" w:hAnsi="Calibri Light"/>
                <w:b w:val="0"/>
                <w:color w:val="000000"/>
                <w:sz w:val="17"/>
              </w:rPr>
              <w:t>GPT-5.6 Luna</w:t>
            </w:r>
          </w:p>
        </w:tc>
        <w:tc>
          <w:tcPr>
            <w:tcW w:type="dxa" w:w="1298"/>
            <w:shd w:val="clear" w:fill="EAF0F8"/>
          </w:tcPr>
          <w:p>
            <w:pPr>
              <w:spacing w:after="0"/>
              <w:jc w:val="center"/>
            </w:pPr>
            <w:r/>
            <w:r>
              <w:rPr>
                <w:rFonts w:ascii="Calibri Light" w:hAnsi="Calibri Light"/>
                <w:b w:val="0"/>
                <w:color w:val="000000"/>
                <w:sz w:val="17"/>
              </w:rPr>
              <w:t>$1.00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$0.15</w:t>
            </w:r>
          </w:p>
        </w:tc>
        <w:tc>
          <w:tcPr>
            <w:tcW w:type="dxa" w:w="1298"/>
            <w:shd w:val="clear" w:fill="EAF0F8"/>
          </w:tcPr>
          <w:p>
            <w:pPr>
              <w:spacing w:after="0"/>
              <w:jc w:val="center"/>
            </w:pPr>
            <w:r/>
            <w:r>
              <w:rPr>
                <w:rFonts w:ascii="Calibri Light" w:hAnsi="Calibri Light"/>
                <w:b w:val="0"/>
                <w:color w:val="000000"/>
                <w:sz w:val="17"/>
              </w:rPr>
              <w:t>$0.18</w:t>
            </w:r>
          </w:p>
        </w:tc>
        <w:tc>
          <w:tcPr>
            <w:tcW w:type="dxa" w:w="1298"/>
            <w:shd w:val="clear" w:fill="EAF0F8"/>
          </w:tcPr>
          <w:p>
            <w:pPr>
              <w:spacing w:after="0"/>
              <w:jc w:val="center"/>
            </w:pPr>
            <w:r/>
            <w:r>
              <w:rPr>
                <w:rFonts w:ascii="Calibri Light" w:hAnsi="Calibri Light"/>
                <w:b w:val="0"/>
                <w:color w:val="000000"/>
                <w:sz w:val="17"/>
              </w:rPr>
              <w:t>$0.20</w:t>
            </w:r>
          </w:p>
        </w:tc>
      </w:tr>
      <w:tr>
        <w:trPr>
          <w:cantSplit/>
        </w:trPr>
        <w:tc>
          <w:tcPr>
            <w:tcW w:type="dxa" w:w="2050"/>
          </w:tcPr>
          <w:p>
            <w:pPr>
              <w:spacing w:after="0"/>
              <w:jc w:val="left"/>
            </w:pPr>
            <w:r/>
            <w:r>
              <w:rPr>
                <w:rFonts w:ascii="Calibri Light" w:hAnsi="Calibri Light"/>
                <w:b w:val="0"/>
                <w:color w:val="000000"/>
                <w:sz w:val="17"/>
              </w:rPr>
              <w:t>Grok 4.5</w:t>
            </w:r>
          </w:p>
        </w:tc>
        <w:tc>
          <w:tcPr>
            <w:tcW w:type="dxa" w:w="1298"/>
          </w:tcPr>
          <w:p>
            <w:pPr>
              <w:spacing w:after="0"/>
              <w:jc w:val="center"/>
            </w:pPr>
            <w:r/>
            <w:r>
              <w:rPr>
                <w:rFonts w:ascii="Calibri Light" w:hAnsi="Calibri Light"/>
                <w:b w:val="0"/>
                <w:color w:val="000000"/>
                <w:sz w:val="17"/>
              </w:rPr>
              <w:t>$2.00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$0.19</w:t>
            </w:r>
          </w:p>
        </w:tc>
        <w:tc>
          <w:tcPr>
            <w:tcW w:type="dxa" w:w="1298"/>
          </w:tcPr>
          <w:p>
            <w:pPr>
              <w:spacing w:after="0"/>
              <w:jc w:val="center"/>
            </w:pPr>
            <w:r/>
            <w:r>
              <w:rPr>
                <w:rFonts w:ascii="Calibri Light" w:hAnsi="Calibri Light"/>
                <w:b w:val="0"/>
                <w:color w:val="000000"/>
                <w:sz w:val="17"/>
              </w:rPr>
              <w:t>$0.21</w:t>
            </w:r>
          </w:p>
        </w:tc>
        <w:tc>
          <w:tcPr>
            <w:tcW w:type="dxa" w:w="1298"/>
          </w:tcPr>
          <w:p>
            <w:pPr>
              <w:spacing w:after="0"/>
              <w:jc w:val="center"/>
            </w:pPr>
            <w:r/>
            <w:r>
              <w:rPr>
                <w:rFonts w:ascii="Calibri Light" w:hAnsi="Calibri Light"/>
                <w:b w:val="0"/>
                <w:color w:val="000000"/>
                <w:sz w:val="17"/>
              </w:rPr>
              <w:t>$0.26</w:t>
            </w:r>
          </w:p>
        </w:tc>
        <w:tc>
          <w:tcPr>
            <w:tcW w:type="dxa" w:w="1298"/>
          </w:tcPr>
          <w:p>
            <w:pPr>
              <w:spacing w:after="0"/>
              <w:jc w:val="center"/>
            </w:pPr>
            <w:r/>
            <w:r>
              <w:rPr>
                <w:rFonts w:ascii="Calibri Light" w:hAnsi="Calibri Light"/>
                <w:b w:val="0"/>
                <w:color w:val="000000"/>
                <w:sz w:val="17"/>
              </w:rPr>
              <w:t>$0.30</w:t>
            </w:r>
          </w:p>
        </w:tc>
      </w:tr>
      <w:tr>
        <w:trPr>
          <w:cantSplit/>
        </w:trPr>
        <w:tc>
          <w:tcPr>
            <w:tcW w:type="dxa" w:w="2050"/>
            <w:shd w:val="clear" w:fill="EAF0F8"/>
          </w:tcPr>
          <w:p>
            <w:pPr>
              <w:spacing w:after="0"/>
              <w:jc w:val="left"/>
            </w:pPr>
            <w:r/>
            <w:r>
              <w:rPr>
                <w:rFonts w:ascii="Calibri Light" w:hAnsi="Calibri Light"/>
                <w:b w:val="0"/>
                <w:color w:val="000000"/>
                <w:sz w:val="17"/>
              </w:rPr>
              <w:t>Muse Spark 1.1</w:t>
            </w:r>
          </w:p>
        </w:tc>
        <w:tc>
          <w:tcPr>
            <w:tcW w:type="dxa" w:w="1298"/>
            <w:shd w:val="clear" w:fill="EAF0F8"/>
          </w:tcPr>
          <w:p>
            <w:pPr>
              <w:spacing w:after="0"/>
              <w:jc w:val="center"/>
            </w:pPr>
            <w:r/>
            <w:r>
              <w:rPr>
                <w:rFonts w:ascii="Calibri Light" w:hAnsi="Calibri Light"/>
                <w:b w:val="0"/>
                <w:color w:val="000000"/>
                <w:sz w:val="17"/>
              </w:rPr>
              <w:t>$1.25</w:t>
            </w:r>
          </w:p>
        </w:tc>
        <w:tc>
          <w:tcPr>
            <w:tcW w:type="dxa" w:w="1298"/>
            <w:shd w:val="clear" w:fill="EAF0F8"/>
          </w:tcPr>
          <w:p>
            <w:pPr>
              <w:spacing w:after="0"/>
              <w:jc w:val="center"/>
            </w:pPr>
            <w:r/>
            <w:r>
              <w:rPr>
                <w:rFonts w:ascii="Calibri Light" w:hAnsi="Calibri Light"/>
                <w:b w:val="0"/>
                <w:color w:val="000000"/>
                <w:sz w:val="17"/>
              </w:rPr>
              <w:t>$4.25</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$0.14</w:t>
            </w:r>
          </w:p>
        </w:tc>
        <w:tc>
          <w:tcPr>
            <w:tcW w:type="dxa" w:w="1298"/>
            <w:shd w:val="clear" w:fill="EAF0F8"/>
          </w:tcPr>
          <w:p>
            <w:pPr>
              <w:spacing w:after="0"/>
              <w:jc w:val="center"/>
            </w:pPr>
            <w:r/>
            <w:r>
              <w:rPr>
                <w:rFonts w:ascii="Calibri Light" w:hAnsi="Calibri Light"/>
                <w:b w:val="0"/>
                <w:color w:val="000000"/>
                <w:sz w:val="17"/>
              </w:rPr>
              <w:t>$0.17</w:t>
            </w:r>
          </w:p>
        </w:tc>
        <w:tc>
          <w:tcPr>
            <w:tcW w:type="dxa" w:w="1298"/>
            <w:shd w:val="clear" w:fill="EAF0F8"/>
          </w:tcPr>
          <w:p>
            <w:pPr>
              <w:spacing w:after="0"/>
              <w:jc w:val="center"/>
            </w:pPr>
            <w:r/>
            <w:r>
              <w:rPr>
                <w:rFonts w:ascii="Calibri Light" w:hAnsi="Calibri Light"/>
                <w:b w:val="0"/>
                <w:color w:val="000000"/>
                <w:sz w:val="17"/>
              </w:rPr>
              <w:t>$0.19</w:t>
            </w:r>
          </w:p>
        </w:tc>
      </w:tr>
      <w:tr>
        <w:trPr>
          <w:cantSplit/>
        </w:trPr>
        <w:tc>
          <w:tcPr>
            <w:tcW w:type="dxa" w:w="2050"/>
          </w:tcPr>
          <w:p>
            <w:pPr>
              <w:spacing w:after="0"/>
              <w:jc w:val="left"/>
            </w:pPr>
            <w:r/>
            <w:r>
              <w:rPr>
                <w:rFonts w:ascii="Calibri Light" w:hAnsi="Calibri Light"/>
                <w:b w:val="0"/>
                <w:color w:val="000000"/>
                <w:sz w:val="17"/>
              </w:rPr>
              <w:t>Claude Mythos 5</w:t>
            </w:r>
          </w:p>
        </w:tc>
        <w:tc>
          <w:tcPr>
            <w:tcW w:type="dxa" w:w="1298"/>
          </w:tcPr>
          <w:p>
            <w:pPr>
              <w:spacing w:after="0"/>
              <w:jc w:val="center"/>
            </w:pPr>
            <w:r/>
            <w:r>
              <w:rPr>
                <w:rFonts w:ascii="Calibri Light" w:hAnsi="Calibri Light"/>
                <w:b w:val="0"/>
                <w:color w:val="000000"/>
                <w:sz w:val="17"/>
              </w:rPr>
              <w:t>$10.00</w:t>
            </w:r>
          </w:p>
        </w:tc>
        <w:tc>
          <w:tcPr>
            <w:tcW w:type="dxa" w:w="1298"/>
          </w:tcPr>
          <w:p>
            <w:pPr>
              <w:spacing w:after="0"/>
              <w:jc w:val="center"/>
            </w:pPr>
            <w:r/>
            <w:r>
              <w:rPr>
                <w:rFonts w:ascii="Calibri Light" w:hAnsi="Calibri Light"/>
                <w:b w:val="0"/>
                <w:color w:val="000000"/>
                <w:sz w:val="17"/>
              </w:rPr>
              <w:t>$50.00</w:t>
            </w:r>
          </w:p>
        </w:tc>
        <w:tc>
          <w:tcPr>
            <w:tcW w:type="dxa" w:w="1298"/>
          </w:tcPr>
          <w:p>
            <w:pPr>
              <w:spacing w:after="0"/>
              <w:jc w:val="center"/>
            </w:pPr>
            <w:r/>
            <w:r>
              <w:rPr>
                <w:rFonts w:ascii="Calibri Light" w:hAnsi="Calibri Light"/>
                <w:b w:val="0"/>
                <w:color w:val="000000"/>
                <w:sz w:val="17"/>
              </w:rPr>
              <w:t>$1.20</w:t>
            </w:r>
          </w:p>
        </w:tc>
        <w:tc>
          <w:tcPr>
            <w:tcW w:type="dxa" w:w="1298"/>
          </w:tcPr>
          <w:p>
            <w:pPr>
              <w:spacing w:after="0"/>
              <w:jc w:val="center"/>
            </w:pPr>
            <w:r/>
            <w:r>
              <w:rPr>
                <w:rFonts w:ascii="Calibri Light" w:hAnsi="Calibri Light"/>
                <w:b w:val="0"/>
                <w:color w:val="000000"/>
                <w:sz w:val="17"/>
              </w:rPr>
              <w:t>$1.33</w:t>
            </w:r>
          </w:p>
        </w:tc>
        <w:tc>
          <w:tcPr>
            <w:tcW w:type="dxa" w:w="1298"/>
          </w:tcPr>
          <w:p>
            <w:pPr>
              <w:spacing w:after="0"/>
              <w:jc w:val="center"/>
            </w:pPr>
            <w:r/>
            <w:r>
              <w:rPr>
                <w:rFonts w:ascii="Calibri Light" w:hAnsi="Calibri Light"/>
                <w:b w:val="0"/>
                <w:color w:val="000000"/>
                <w:sz w:val="17"/>
              </w:rPr>
              <w:t>$1.60</w:t>
            </w:r>
          </w:p>
        </w:tc>
        <w:tc>
          <w:tcPr>
            <w:tcW w:type="dxa" w:w="129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at $10/$50 and Google's frontier Gemini 3.1 Pro at $2/$12.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 The same arithmetic reaches the top of the sheet: Mythos 5, at twice Opus's price, still runs near-cheapest, the priciest sticker on the sheet finishing among the cheapest to run. It also produces the note's real challenger. Gemini 3.1 Pro is a frontier model at two and twelve dollars, under half Opus's per-attempt cost, and it finishes the reference task for about $2.62 against Opus's $2.56. Opus keeps the crown by a hair, and only because we assume Anthropic is the more reliable; if Google matches it, Gemini is the cheapest way to finish real work.</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a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 xml:space="preserve">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w:t>
      </w:r>
      <w:r>
        <w:rPr>
          <w:rFonts w:ascii="Calibri Light" w:hAnsi="Calibri Light"/>
          <w:b/>
          <w:i w:val="0"/>
          <w:color w:val="000000"/>
          <w:sz w:val="20"/>
        </w:rPr>
        <w:t>turns about $2B of revenue</w:t>
      </w:r>
      <w:r>
        <w:rPr>
          <w:rFonts w:ascii="Calibri Light" w:hAnsi="Calibri Light"/>
          <w:b w:val="0"/>
          <w:i w:val="0"/>
          <w:color w:val="000000"/>
          <w:sz w:val="20"/>
        </w:rPr>
        <w:t xml:space="preserve"> against a FY25 operating loss we estimate north of six billion, and </w:t>
      </w:r>
      <w:r>
        <w:rPr>
          <w:rFonts w:ascii="Calibri Light" w:hAnsi="Calibri Light"/>
          <w:b/>
          <w:i w:val="0"/>
          <w:color w:val="000000"/>
          <w:sz w:val="20"/>
        </w:rPr>
        <w:t>xAI is now a SpaceX operating subsidiary following the $250B February acquisition</w:t>
      </w:r>
      <w:r>
        <w:rPr>
          <w:rFonts w:ascii="Calibri Light" w:hAnsi="Calibri Light"/>
          <w:b w:val="0"/>
          <w:i w:val="0"/>
          <w:color w:val="000000"/>
          <w:sz w:val="20"/>
        </w:rPr>
        <w:t>, so the losses ride the SpaceX and Starlink cross-flow, a balance-sheet decision, not a business model, and a better cheap model does not close a six-billion-dollar loss.</w:t>
      </w:r>
    </w:p>
    <w:p>
      <w:pPr>
        <w:spacing w:after="140"/>
      </w:pPr>
      <w:r>
        <w:rPr>
          <w:rFonts w:ascii="Calibri Light" w:hAnsi="Calibri Light"/>
          <w:b w:val="0"/>
          <w:i w:val="0"/>
          <w:color w:val="000000"/>
          <w:sz w:val="20"/>
        </w:rPr>
        <w:t xml:space="preserve">OpenAI is running segmentation, not a race to zero, and the tell is that Sol lists above Opus on output. Luna harvests price-sensitive volume while Sol defends the premium, and with </w:t>
      </w:r>
      <w:r>
        <w:rPr>
          <w:rFonts w:ascii="Calibri Light" w:hAnsi="Calibri Light"/>
          <w:b/>
          <w:i w:val="0"/>
          <w:color w:val="000000"/>
          <w:sz w:val="20"/>
        </w:rPr>
        <w:t>roughly thirty billion in revenue on PitchBook's latest mark</w:t>
      </w:r>
      <w:r>
        <w:rPr>
          <w:rFonts w:ascii="Calibri Light" w:hAnsi="Calibri Light"/>
          <w:b w:val="0"/>
          <w:i w:val="0"/>
          <w:color w:val="000000"/>
          <w:sz w:val="20"/>
        </w:rPr>
        <w:t>,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hold list price, extend the premium upward, and prove enterprises keep buying it.</w:t>
      </w:r>
    </w:p>
    <w:p>
      <w:pPr>
        <w:spacing w:after="140"/>
      </w:pPr>
      <w:r>
        <w:rPr>
          <w:rFonts w:ascii="Calibri Light" w:hAnsi="Calibri Light"/>
          <w:b w:val="0"/>
          <w:i w:val="0"/>
          <w:color w:val="000000"/>
          <w:sz w:val="20"/>
        </w:rPr>
        <w:t xml:space="preserve">Google is the player this war should fear most, because it can fight on both fronts at once. Gemini 3.1 Pro is a frontier model at two and twelve dollars, funded like Meta's Muse from an advertising engine, distributed like ChatGPT through Search, Workspace, Android, and Cloud, and served on Google's own TPUs, which give it the best cost structure here with no third-party silicon tax. </w:t>
      </w:r>
      <w:r>
        <w:rPr>
          <w:rFonts w:ascii="Calibri Light" w:hAnsi="Calibri Light"/>
          <w:b/>
          <w:i w:val="0"/>
          <w:color w:val="000000"/>
          <w:sz w:val="20"/>
        </w:rPr>
        <w:t>The tell is that Anthropic's own $34.5B June chip-bond raise is earmarked for Alphabet-developed TPUs, so even the premium defender buys its silicon from Google.</w:t>
      </w:r>
      <w:r>
        <w:rPr>
          <w:rFonts w:ascii="Calibri Light" w:hAnsi="Calibri Light"/>
          <w:b w:val="0"/>
          <w:i w:val="0"/>
          <w:color w:val="000000"/>
          <w:sz w:val="20"/>
        </w:rPr>
        <w:t xml:space="preserve"> Meta commoditizes to sell ads but has no frontier model; Google can commoditize and still field one, a stronger hand than any pure premium defender or price warrior alone.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 margin barbell: every price below roughly eight dollars is gross-margin negative and the floor is sold below cost, while Mythos 5 at fifty dollars earns about eighty-six percent.</w:t>
      </w:r>
    </w:p>
    <w:p>
      <w:pPr>
        <w:spacing w:before="40" w:after="120"/>
      </w:pPr>
      <w:r>
        <w:drawing>
          <wp:inline xmlns:a="http://schemas.openxmlformats.org/drawingml/2006/main" xmlns:pic="http://schemas.openxmlformats.org/drawingml/2006/picture">
            <wp:extent cx="6309360" cy="205193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05193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the value end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 One name complicates this: Gemini 3.1 Pro sits in the middle the note calls hollow, but it is a differentiated frontier model, not the undifferentiated mid-tier that dies. A frontier model at a mid price is not the squeezed middle; it is the strongest value position on the sheet.</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 xml:space="preserve">Cheaper inference is accretive to buyers and the application layer and dilutive to the model layer, because every dollar cut from output pricing lands with whoever owns the workflow, not the lab that cut it. A valuation dislocation follows: Anthropic trades near 20.5 times revenue, </w:t>
      </w:r>
      <w:r>
        <w:rPr>
          <w:rFonts w:ascii="Calibri Light" w:hAnsi="Calibri Light"/>
          <w:b/>
          <w:i w:val="0"/>
          <w:color w:val="000000"/>
          <w:sz w:val="20"/>
        </w:rPr>
        <w:t>$965B on $47B of gross run-rate, against OpenAI's 28, $852B on $30B</w:t>
      </w:r>
      <w:r>
        <w:rPr>
          <w:rFonts w:ascii="Calibri Light" w:hAnsi="Calibri Light"/>
          <w:b w:val="0"/>
          <w:i w:val="0"/>
          <w:color w:val="000000"/>
          <w:sz w:val="20"/>
        </w:rPr>
        <w:t>, so the market still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 xml:space="preserve">Financing makes the war possible: the roughly three-and-a-half-trillion-dollar private-credit market is the marginal source of AI capital, and labs price below serving cost because debt funds the gap. Anthropic's </w:t>
      </w:r>
      <w:r>
        <w:rPr>
          <w:rFonts w:ascii="Calibri Light" w:hAnsi="Calibri Light"/>
          <w:b/>
          <w:i w:val="0"/>
          <w:color w:val="000000"/>
          <w:sz w:val="20"/>
        </w:rPr>
        <w:t>$34.5B June chip-bond stack, earmarked for Alphabet-developed TPUs</w:t>
      </w:r>
      <w:r>
        <w:rPr>
          <w:rFonts w:ascii="Calibri Light" w:hAnsi="Calibri Light"/>
          <w:b w:val="0"/>
          <w:i w:val="0"/>
          <w:color w:val="000000"/>
          <w:sz w:val="20"/>
        </w:rPr>
        <w:t xml:space="preserve">, is the template; xAI's cross-subsidy, </w:t>
      </w:r>
      <w:r>
        <w:rPr>
          <w:rFonts w:ascii="Calibri Light" w:hAnsi="Calibri Light"/>
          <w:b/>
          <w:i w:val="0"/>
          <w:color w:val="000000"/>
          <w:sz w:val="20"/>
        </w:rPr>
        <w:t>now folded inside SpaceX</w:t>
      </w:r>
      <w:r>
        <w:rPr>
          <w:rFonts w:ascii="Calibri Light" w:hAnsi="Calibri Light"/>
          <w:b w:val="0"/>
          <w:i w:val="0"/>
          <w:color w:val="000000"/>
          <w:sz w:val="20"/>
        </w:rPr>
        <w:t>,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 xml:space="preserve">The IPO is the pressure test. </w:t>
      </w:r>
      <w:r>
        <w:rPr>
          <w:rFonts w:ascii="Calibri Light" w:hAnsi="Calibri Light"/>
          <w:b/>
          <w:i w:val="0"/>
          <w:color w:val="000000"/>
          <w:sz w:val="20"/>
        </w:rPr>
        <w:t>OpenAI's own September filing front-runs it, but Anthropic's October S-1 is the one that</w:t>
      </w:r>
      <w:r>
        <w:rPr>
          <w:rFonts w:ascii="Calibri Light" w:hAnsi="Calibri Light"/>
          <w:b w:val="0"/>
          <w:i w:val="0"/>
          <w:color w:val="000000"/>
          <w:sz w:val="20"/>
        </w:rPr>
        <w:t xml:space="preserve"> forces open what private markets have never seen: model-layer gross margin, mix, and any enterprise attach. Filing at a $965B mark while a rival prices comparable-claim inference at a quarter of the rate is the hardest setup and cleanest validation at once: hold price and attach through the window and the best-value thesis is proven under live fire. The gross-margin page, not any benchmark, is the filing's most repriced disclosure.</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a flat subscription near twenty dollars a month, attention and data on an ad-funded free tier (Meta's model), or nothing visible when AI is folded into a subscription they hold. Cheaper inference makes the free tier good enough, so capability inflates there while willingness to pay compresses above it, the mirror of the enterprise story: enterprises pay for reliability they can measure, consumers will not for quality they cannot perceive. Distribution decides this one,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Google is a third front, folding Gemini into Workspace and Search, but the enterprise-agent seat, the permissioned surface where high-stakes work runs, is still contested between OpenAI and Anthropic.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Opus 4.8, best value; Mythos 5, best model</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Google</w:t>
            </w:r>
          </w:p>
        </w:tc>
        <w:tc>
          <w:tcPr>
            <w:tcW w:type="dxa" w:w="1558"/>
          </w:tcPr>
          <w:p>
            <w:pPr>
              <w:spacing w:after="0"/>
              <w:jc w:val="center"/>
            </w:pPr>
            <w:r/>
            <w:r>
              <w:rPr>
                <w:rFonts w:ascii="Calibri Light" w:hAnsi="Calibri Light"/>
                <w:b w:val="0"/>
                <w:color w:val="000000"/>
                <w:sz w:val="17"/>
              </w:rPr>
              <w:t>Frontier value: Gemini 3.1 Pro at $2/$12</w:t>
            </w:r>
          </w:p>
        </w:tc>
        <w:tc>
          <w:tcPr>
            <w:tcW w:type="dxa" w:w="1558"/>
          </w:tcPr>
          <w:p>
            <w:pPr>
              <w:spacing w:after="0"/>
              <w:jc w:val="center"/>
            </w:pPr>
            <w:r/>
            <w:r>
              <w:rPr>
                <w:rFonts w:ascii="Calibri Light" w:hAnsi="Calibri Light"/>
                <w:b w:val="0"/>
                <w:color w:val="000000"/>
                <w:sz w:val="17"/>
              </w:rPr>
              <w:t>Strong frontier: Gemini Pro and Flash</w:t>
            </w:r>
          </w:p>
        </w:tc>
        <w:tc>
          <w:tcPr>
            <w:tcW w:type="dxa" w:w="1558"/>
          </w:tcPr>
          <w:p>
            <w:pPr>
              <w:spacing w:after="0"/>
              <w:jc w:val="center"/>
            </w:pPr>
            <w:r/>
            <w:r>
              <w:rPr>
                <w:rFonts w:ascii="Calibri Light" w:hAnsi="Calibri Light"/>
                <w:b w:val="0"/>
                <w:color w:val="000000"/>
                <w:sz w:val="17"/>
              </w:rPr>
              <w:t>Search, Workspace, Cloud, and its own TPUs</w:t>
            </w:r>
          </w:p>
        </w:tc>
        <w:tc>
          <w:tcPr>
            <w:tcW w:type="dxa" w:w="1558"/>
          </w:tcPr>
          <w:p>
            <w:pPr>
              <w:spacing w:after="0"/>
              <w:jc w:val="center"/>
            </w:pPr>
            <w:r/>
            <w:r>
              <w:rPr>
                <w:rFonts w:ascii="Calibri Light" w:hAnsi="Calibri Light"/>
                <w:b w:val="0"/>
                <w:color w:val="000000"/>
                <w:sz w:val="17"/>
              </w:rPr>
              <w:t>Best cost structure; ad and cloud funded</w:t>
            </w:r>
          </w:p>
        </w:tc>
        <w:tc>
          <w:tcPr>
            <w:tcW w:type="dxa" w:w="1558"/>
          </w:tcPr>
          <w:p>
            <w:pPr>
              <w:spacing w:after="0"/>
              <w:jc w:val="center"/>
            </w:pPr>
            <w:r/>
            <w:r>
              <w:rPr>
                <w:rFonts w:ascii="Calibri Light" w:hAnsi="Calibri Light"/>
                <w:b w:val="0"/>
                <w:color w:val="000000"/>
                <w:sz w:val="17"/>
              </w:rPr>
              <w:t>Dark horse</w:t>
            </w:r>
          </w:p>
        </w:tc>
      </w:tr>
      <w:tr>
        <w:trPr>
          <w:cantSplit/>
        </w:trPr>
        <w:tc>
          <w:tcPr>
            <w:tcW w:type="dxa" w:w="2050"/>
            <w:shd w:val="clear" w:fill="EAF0F8"/>
          </w:tcPr>
          <w:p>
            <w:pPr>
              <w:spacing w:after="0"/>
              <w:jc w:val="left"/>
            </w:pPr>
            <w:r/>
            <w:r>
              <w:rPr>
                <w:rFonts w:ascii="Calibri Light" w:hAnsi="Calibri Light"/>
                <w:b w:val="0"/>
                <w:color w:val="000000"/>
                <w:sz w:val="17"/>
              </w:rPr>
              <w:t>Meta</w:t>
            </w:r>
          </w:p>
        </w:tc>
        <w:tc>
          <w:tcPr>
            <w:tcW w:type="dxa" w:w="1558"/>
            <w:shd w:val="clear" w:fill="EAF0F8"/>
          </w:tcPr>
          <w:p>
            <w:pPr>
              <w:spacing w:after="0"/>
              <w:jc w:val="center"/>
            </w:pPr>
            <w:r/>
            <w:r>
              <w:rPr>
                <w:rFonts w:ascii="Calibri Light" w:hAnsi="Calibri Light"/>
                <w:b w:val="0"/>
                <w:color w:val="000000"/>
                <w:sz w:val="17"/>
              </w:rPr>
              <w:t>Cheapest sticker, dearest per completed task</w:t>
            </w:r>
          </w:p>
        </w:tc>
        <w:tc>
          <w:tcPr>
            <w:tcW w:type="dxa" w:w="1558"/>
            <w:shd w:val="clear" w:fill="EAF0F8"/>
          </w:tcPr>
          <w:p>
            <w:pPr>
              <w:spacing w:after="0"/>
              <w:jc w:val="center"/>
            </w:pPr>
            <w:r/>
            <w:r>
              <w:rPr>
                <w:rFonts w:ascii="Calibri Light" w:hAnsi="Calibri Light"/>
                <w:b w:val="0"/>
                <w:color w:val="000000"/>
                <w:sz w:val="17"/>
              </w:rPr>
              <w:t>Reported strong agent</w:t>
            </w:r>
          </w:p>
        </w:tc>
        <w:tc>
          <w:tcPr>
            <w:tcW w:type="dxa" w:w="1558"/>
            <w:shd w:val="clear" w:fill="EAF0F8"/>
          </w:tcPr>
          <w:p>
            <w:pPr>
              <w:spacing w:after="0"/>
              <w:jc w:val="center"/>
            </w:pPr>
            <w:r/>
            <w:r>
              <w:rPr>
                <w:rFonts w:ascii="Calibri Light" w:hAnsi="Calibri Light"/>
                <w:b w:val="0"/>
                <w:color w:val="000000"/>
                <w:sz w:val="17"/>
              </w:rPr>
              <w:t>Ad engine and owned surfaces</w:t>
            </w:r>
          </w:p>
        </w:tc>
        <w:tc>
          <w:tcPr>
            <w:tcW w:type="dxa" w:w="1558"/>
            <w:shd w:val="clear" w:fill="EAF0F8"/>
          </w:tcPr>
          <w:p>
            <w:pPr>
              <w:spacing w:after="0"/>
              <w:jc w:val="center"/>
            </w:pPr>
            <w:r/>
            <w:r>
              <w:rPr>
                <w:rFonts w:ascii="Calibri Light" w:hAnsi="Calibri Light"/>
                <w:b w:val="0"/>
                <w:color w:val="000000"/>
                <w:sz w:val="17"/>
              </w:rPr>
              <w:t>No model margin needed</w:t>
            </w:r>
          </w:p>
        </w:tc>
        <w:tc>
          <w:tcPr>
            <w:tcW w:type="dxa" w:w="1558"/>
            <w:shd w:val="clear" w:fill="EAF0F8"/>
          </w:tcPr>
          <w:p>
            <w:pPr>
              <w:spacing w:after="0"/>
              <w:jc w:val="center"/>
            </w:pPr>
            <w:r/>
            <w:r>
              <w:rPr>
                <w:rFonts w:ascii="Calibri Light" w:hAnsi="Calibri Light"/>
                <w:b w:val="0"/>
                <w:color w:val="000000"/>
                <w:sz w:val="17"/>
              </w:rPr>
              <w:t>Owns the floor</w:t>
            </w:r>
          </w:p>
        </w:tc>
      </w:tr>
      <w:tr>
        <w:trPr>
          <w:cantSplit/>
        </w:trPr>
        <w:tc>
          <w:tcPr>
            <w:tcW w:type="dxa" w:w="2050"/>
          </w:tcPr>
          <w:p>
            <w:pPr>
              <w:spacing w:after="0"/>
              <w:jc w:val="left"/>
            </w:pPr>
            <w:r/>
            <w:r>
              <w:rPr>
                <w:rFonts w:ascii="Calibri Light" w:hAnsi="Calibri Light"/>
                <w:b w:val="0"/>
                <w:color w:val="000000"/>
                <w:sz w:val="17"/>
              </w:rPr>
              <w:t>xAI</w:t>
            </w:r>
          </w:p>
        </w:tc>
        <w:tc>
          <w:tcPr>
            <w:tcW w:type="dxa" w:w="1558"/>
          </w:tcPr>
          <w:p>
            <w:pPr>
              <w:spacing w:after="0"/>
              <w:jc w:val="center"/>
            </w:pPr>
            <w:r/>
            <w:r>
              <w:rPr>
                <w:rFonts w:ascii="Calibri Light" w:hAnsi="Calibri Light"/>
                <w:b w:val="0"/>
                <w:color w:val="000000"/>
                <w:sz w:val="17"/>
              </w:rPr>
              <w:t>Value leader on paper only</w:t>
            </w:r>
          </w:p>
        </w:tc>
        <w:tc>
          <w:tcPr>
            <w:tcW w:type="dxa" w:w="1558"/>
          </w:tcPr>
          <w:p>
            <w:pPr>
              <w:spacing w:after="0"/>
              <w:jc w:val="center"/>
            </w:pPr>
            <w:r/>
            <w:r>
              <w:rPr>
                <w:rFonts w:ascii="Calibri Light" w:hAnsi="Calibri Light"/>
                <w:b w:val="0"/>
                <w:color w:val="000000"/>
                <w:sz w:val="17"/>
              </w:rPr>
              <w:t>Grok 4.5 refresh: agentic, real-time data</w:t>
            </w:r>
          </w:p>
        </w:tc>
        <w:tc>
          <w:tcPr>
            <w:tcW w:type="dxa" w:w="1558"/>
          </w:tcPr>
          <w:p>
            <w:pPr>
              <w:spacing w:after="0"/>
              <w:jc w:val="center"/>
            </w:pPr>
            <w:r/>
            <w:r>
              <w:rPr>
                <w:rFonts w:ascii="Calibri Light" w:hAnsi="Calibri Light"/>
                <w:b w:val="0"/>
                <w:color w:val="000000"/>
                <w:sz w:val="17"/>
              </w:rPr>
              <w:t>Real-time X and Starlink feed; no seat</w:t>
            </w:r>
          </w:p>
        </w:tc>
        <w:tc>
          <w:tcPr>
            <w:tcW w:type="dxa" w:w="1558"/>
          </w:tcPr>
          <w:p>
            <w:pPr>
              <w:spacing w:after="0"/>
              <w:jc w:val="center"/>
            </w:pPr>
            <w:r/>
            <w:r>
              <w:rPr>
                <w:rFonts w:ascii="Calibri Light" w:hAnsi="Calibri Light"/>
                <w:b w:val="0"/>
                <w:color w:val="000000"/>
                <w:sz w:val="17"/>
              </w:rPr>
              <w:t>Loss north of six billion a year</w:t>
            </w:r>
          </w:p>
        </w:tc>
        <w:tc>
          <w:tcPr>
            <w:tcW w:type="dxa" w:w="155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though Google's Gemini 3.1 Pro is now within a whisker. Either way, the company is Anthropic.</w:t>
      </w:r>
    </w:p>
    <w:p>
      <w:pPr>
        <w:spacing w:after="140"/>
      </w:pPr>
      <w:r>
        <w:rPr>
          <w:rFonts w:ascii="Calibri Light" w:hAnsi="Calibri Light"/>
          <w:b w:val="0"/>
          <w:i w:val="0"/>
          <w:color w:val="000000"/>
          <w:sz w:val="20"/>
        </w:rPr>
        <w:t>Is Opus really best, or an artifact of our reliability assumption? Against Sol the answer is airtight: Opus wins at every equal level of reliability, because Sol prices output higher, so Sol takes the crown only by being materially more reliable, which nothing suggests. Against Google it is not airtight, and this is the note's real soft joint. Gemini 3.1 Pro's tokens cost under half Opus's, so at equal reliability Gemini is cheaper, and Opus holds the value crown only if Anthropic's reliability edge over Google clears about two points, a thinner and more contestable claim than the rest, because Google's frontier model is genuinely frontier. Against the failure-tolerant cheap tier Opus still wins on a small edge. The controversial part is not the pick but what it says about the market: the companies winning the price-cut headlines sell the worst value, and the value crown is now a photo finish between Anthropic and Google.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The value call breaks if Google's reliability matches Anthropic's, which would hand Gemini 3.1 Pro the value crown outright and its TPU cost structure the durability to keep it.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Anthropic (platform.claude.com) for Claude Opus 4.8 at $5/$25 and Claude Mythos 5 at $10/$50; OpenAI (developers.openai.com) for GPT-5.6 Sol at $5/$30 and Luna at $1/$6; xAI (docs.x.ai) for Grok 4.5 at $2/$6 up to 200k context; and Google (ai.google.dev) for Gemini 3.1 Pro at $2/$12 up to 200k context. Meta Muse Spark 1.1 at $1.25/$4.25 is from Meta's list. The OpenAI, xAI, and Meta figures already in the note were verified unchanged.</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 xml:space="preserve">PitchBook company data: Anthropic at a $965B mark on $47B of gross run-rate revenue with a first quarterly operating profit near $559M; OpenAI at $852B on </w:t>
      </w:r>
      <w:r>
        <w:rPr>
          <w:rFonts w:ascii="Calibri Light" w:hAnsi="Calibri Light"/>
          <w:b/>
          <w:i w:val="0"/>
          <w:color w:val="000000"/>
          <w:sz w:val="20"/>
        </w:rPr>
        <w:t>about $30B of revenue (TTM 4Q2026)</w:t>
      </w:r>
      <w:r>
        <w:rPr>
          <w:rFonts w:ascii="Calibri Light" w:hAnsi="Calibri Light"/>
          <w:b w:val="0"/>
          <w:i w:val="0"/>
          <w:color w:val="000000"/>
          <w:sz w:val="20"/>
        </w:rPr>
        <w:t xml:space="preserve"> with about 900M weekly users; </w:t>
      </w:r>
      <w:r>
        <w:rPr>
          <w:rFonts w:ascii="Calibri Light" w:hAnsi="Calibri Light"/>
          <w:b/>
          <w:i w:val="0"/>
          <w:color w:val="000000"/>
          <w:sz w:val="20"/>
        </w:rPr>
        <w:t>xAI, now a SpaceX operating subsidiary after its $250B February 2026 acquisition, turning about $2B of revenue</w:t>
      </w:r>
      <w:r>
        <w:rPr>
          <w:rFonts w:ascii="Calibri Light" w:hAnsi="Calibri Light"/>
          <w:b w:val="0"/>
          <w:i w:val="0"/>
          <w:color w:val="000000"/>
          <w:sz w:val="20"/>
        </w:rPr>
        <w:t xml:space="preserve"> against a FY25 operating loss we estimate above $6B.</w:t>
      </w:r>
    </w:p>
    <w:p>
      <w:pPr>
        <w:pStyle w:val="ListNumber"/>
        <w:spacing w:after="80"/>
      </w:pPr>
      <w:r>
        <w:rPr>
          <w:rFonts w:ascii="Calibri Light" w:hAnsi="Calibri Light"/>
          <w:b w:val="0"/>
          <w:i w:val="0"/>
          <w:color w:val="000000"/>
          <w:sz w:val="20"/>
        </w:rPr>
        <w:t xml:space="preserve">Reporting on Anthropic's </w:t>
      </w:r>
      <w:r>
        <w:rPr>
          <w:rFonts w:ascii="Calibri Light" w:hAnsi="Calibri Light"/>
          <w:b/>
          <w:i w:val="0"/>
          <w:color w:val="000000"/>
          <w:sz w:val="20"/>
        </w:rPr>
        <w:t>$34.5B June 2026 chip-bond financing, earmarked for Alphabet-developed (Google) TPUs</w:t>
      </w:r>
      <w:r>
        <w:rPr>
          <w:rFonts w:ascii="Calibri Light" w:hAnsi="Calibri Light"/>
          <w:b w:val="0"/>
          <w:i w:val="0"/>
          <w:color w:val="000000"/>
          <w:sz w:val="20"/>
        </w:rPr>
        <w:t>,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