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2744"/>
          <w:sz w:val="34"/>
          <w:szCs w:val="34"/>
        </w:rPr>
        <w:t xml:space="preserve">Global Unicorn Tracker - Q2 2026</w:t>
      </w:r>
    </w:p>
    <w:p>
      <w:pPr>
        <w:pBdr>
          <w:bottom w:val="single" w:color="1A2744" w:sz="12" w:space="8"/>
        </w:pBdr>
        <w:spacing w:after="200"/>
      </w:pPr>
      <w:r>
        <w:rPr>
          <w:rFonts w:ascii="Arial" w:cs="Arial" w:eastAsia="Arial" w:hAnsi="Arial"/>
          <w:color w:val="55637A"/>
          <w:sz w:val="20"/>
          <w:szCs w:val="20"/>
        </w:rPr>
        <w:t xml:space="preserve">Late-Stage Company Research | As of June 30, 2026</w:t>
      </w:r>
    </w:p>
    <w:p>
      <w:pPr>
        <w:spacing w:after="160" w:line="276"/>
      </w:pPr>
      <w:r>
        <w:rPr>
          <w:rFonts w:ascii="Georgia" w:cs="Georgia" w:eastAsia="Georgia" w:hAnsi="Georgia"/>
          <w:color w:val="1F2733"/>
          <w:sz w:val="21"/>
          <w:szCs w:val="21"/>
        </w:rPr>
        <w:t xml:space="preserve">Key takeaways</w:t>
      </w:r>
    </w:p>
    <w:p>
      <w:pPr>
        <w:spacing w:after="160" w:line="276"/>
      </w:pPr>
      <w:r>
        <w:rPr>
          <w:rFonts w:ascii="Georgia" w:cs="Georgia" w:eastAsia="Georgia" w:hAnsi="Georgia"/>
          <w:color w:val="1F2733"/>
          <w:sz w:val="21"/>
          <w:szCs w:val="21"/>
        </w:rPr>
        <w:t xml:space="preserve">Five rounds took 62% of Q2 financing. The $8.23 trillion aggregate now moves on a dozen recently repriced AI names, while the median unicorn, valued near $1.7 billion and often unpriced for years, tells a different story than the index built on top of it.</w:t>
      </w:r>
    </w:p>
    <w:p>
      <w:pPr>
        <w:spacing w:after="160" w:line="276"/>
      </w:pPr>
      <w:r>
        <w:rPr>
          <w:rFonts w:ascii="Georgia" w:cs="Georgia" w:eastAsia="Georgia" w:hAnsi="Georgia"/>
          <w:color w:val="1F2733"/>
          <w:sz w:val="21"/>
          <w:szCs w:val="21"/>
        </w:rPr>
        <w:t xml:space="preserve">Category size and category velocity diverge. SaaS and AI hold $12.5 trillion of tagged value between them, but robotics and CleanTech create the most new valuation per dollar invested, and AI’s 58.1% annual index return comes with 61.7% of the universe concentrated in one theme.</w:t>
      </w:r>
    </w:p>
    <w:p>
      <w:pPr>
        <w:spacing w:after="160" w:line="276"/>
      </w:pPr>
      <w:r>
        <w:rPr>
          <w:rFonts w:ascii="Georgia" w:cs="Georgia" w:eastAsia="Georgia" w:hAnsi="Georgia"/>
          <w:color w:val="1F2733"/>
          <w:sz w:val="21"/>
          <w:szCs w:val="21"/>
        </w:rPr>
        <w:t xml:space="preserve">Price and quality disagree where money concentrates. Valuation explains about 15% of the variation in scores, with a point of quality costing $2.2 billion at Applied Intuition and $134 billion at Anthropic, and the secondary market sides with the scores.</w:t>
      </w:r>
    </w:p>
    <w:p>
      <w:pPr>
        <w:spacing w:after="160" w:line="276"/>
      </w:pPr>
      <w:r>
        <w:rPr>
          <w:rFonts w:ascii="Georgia" w:cs="Georgia" w:eastAsia="Georgia" w:hAnsi="Georgia"/>
          <w:color w:val="1F2733"/>
          <w:sz w:val="21"/>
          <w:szCs w:val="21"/>
        </w:rPr>
        <w:t xml:space="preserve">Half the market is priced on old rounds. With 47.6% of unicorns unpriced for more than two years and a failure recorded only when a company raises at a lower price, this half’s six down rounds measure silence as much as health.</w:t>
      </w:r>
    </w:p>
    <w:p>
      <w:pPr>
        <w:pStyle w:val="Heading1"/>
        <w:pBdr>
          <w:bottom w:val="single" w:color="C9D2E0" w:sz="6" w:space="6"/>
        </w:pBdr>
        <w:spacing w:after="140" w:before="320"/>
      </w:pPr>
      <w:r>
        <w:rPr>
          <w:rFonts w:ascii="Arial" w:cs="Arial" w:eastAsia="Arial" w:hAnsi="Arial"/>
          <w:b/>
          <w:bCs/>
          <w:color w:val="1A2744"/>
          <w:sz w:val="26"/>
          <w:szCs w:val="26"/>
        </w:rPr>
        <w:t xml:space="preserve">Market Overview</w:t>
      </w:r>
    </w:p>
    <w:p>
      <w:pPr>
        <w:pStyle w:val="Heading2"/>
        <w:spacing w:after="70" w:before="220"/>
      </w:pPr>
      <w:r>
        <w:rPr>
          <w:rFonts w:ascii="Arial" w:cs="Arial" w:eastAsia="Arial" w:hAnsi="Arial"/>
          <w:b/>
          <w:bCs/>
          <w:color w:val="1A2744"/>
          <w:sz w:val="21"/>
          <w:szCs w:val="21"/>
        </w:rPr>
        <w:t xml:space="preserve">Five financings defined the quarter’s primary market</w:t>
      </w:r>
    </w:p>
    <w:p>
      <w:pPr>
        <w:spacing w:after="160" w:line="276"/>
      </w:pPr>
      <w:r>
        <w:rPr>
          <w:rFonts w:ascii="Georgia" w:cs="Georgia" w:eastAsia="Georgia" w:hAnsi="Georgia"/>
          <w:color w:val="1F2733"/>
          <w:sz w:val="21"/>
          <w:szCs w:val="21"/>
        </w:rPr>
        <w:t xml:space="preserve">The five largest rounds raised $87.1 billion between them, and Anthropic alone accounted for $65 billion, raising into a $965 billion post-money valuation. That one financing was 5.4 times the next-largest round, Prometheus at $12 billion into a $41 billion valuation, and 16.4% of all first-half unicorn financing. Anduril ($5 billion into a $61 billion valuation), ByteDance ($3 billion into $370 billion), and Isomorphic Labs ($2.1 billion) completed the five, four of them artificial intelligence businesses. Below them, financing sizes fall under $2 billion by the sixth company and under $1 billion shortly after, so the ten largest rounds absorbed 68.9% of the quarter’s $139.5 billion sized financing value and the twenty-five largest 78.5%. Quarterly deal value fell to $144.9 billion from Q1’s record $251.3 billion, and the concentration deepened even as the total shrank. Late-stage capital is concentrating into a small number of frontier labs that set the reference valuations others raise against. A strong first-half financing describes five companies, not 1,700.</w:t>
      </w:r>
    </w:p>
    <w:p>
      <w:pPr>
        <w:spacing w:after="160" w:line="276"/>
      </w:pPr>
      <w:r>
        <w:rPr>
          <w:rFonts w:ascii="Georgia" w:cs="Georgia" w:eastAsia="Georgia" w:hAnsi="Georgia"/>
          <w:color w:val="1F2733"/>
          <w:sz w:val="21"/>
          <w:szCs w:val="21"/>
        </w:rPr>
        <w:t xml:space="preserve">The same concentration runs through who writes the checks. Syndicates of six or more investors made up 60.9% of 2026 rounds with disclosed participation, near the 2021 peak of 64.0%, so the rounds that occur are more crowded than before. Investor participation by count has not recovered alongside the dollars. It peaked at 2,892 in Q3 2021, bottomed at 895 in </w:t>
      </w:r>
      <w:r>
        <w:rPr>
          <w:rFonts w:ascii="Georgia" w:cs="Georgia" w:eastAsia="Georgia" w:hAnsi="Georgia"/>
          <w:b/>
          <w:bCs/>
          <w:color w:val="C00000"/>
          <w:sz w:val="21"/>
          <w:szCs w:val="21"/>
        </w:rPr>
        <w:t xml:space="preserve">Q4 2023</w:t>
      </w:r>
      <w:r>
        <w:rPr>
          <w:rFonts w:ascii="Georgia" w:cs="Georgia" w:eastAsia="Georgia" w:hAnsi="Georgia"/>
          <w:color w:val="1F2733"/>
          <w:sz w:val="21"/>
          <w:szCs w:val="21"/>
        </w:rPr>
        <w:t xml:space="preserve">, recovered to 1,415 in Q1 2026, then fell back to 995 in Q2 2026, even as financing value stayed high. A small number of firms account for the most financings, with Sequoia Capital participating in 491 unicorn financings since 2016, Tiger Global 472, Andreessen Horowitz 454, Accel 382, and Coatue 344. Investor concentration mirrors company concentration.</w:t>
      </w:r>
    </w:p>
    <w:p>
      <w:pPr>
        <w:pStyle w:val="Heading2"/>
        <w:spacing w:after="70" w:before="220"/>
      </w:pPr>
      <w:r>
        <w:rPr>
          <w:rFonts w:ascii="Arial" w:cs="Arial" w:eastAsia="Arial" w:hAnsi="Arial"/>
          <w:b/>
          <w:bCs/>
          <w:color w:val="1A2744"/>
          <w:sz w:val="21"/>
          <w:szCs w:val="21"/>
        </w:rPr>
        <w:t xml:space="preserve">The largest valuations carry the widest gap to where shares actually trade</w:t>
      </w:r>
    </w:p>
    <w:p>
      <w:pPr>
        <w:spacing w:after="160" w:line="276"/>
      </w:pPr>
      <w:r>
        <w:rPr>
          <w:rFonts w:ascii="Georgia" w:cs="Georgia" w:eastAsia="Georgia" w:hAnsi="Georgia"/>
          <w:color w:val="1F2733"/>
          <w:sz w:val="21"/>
          <w:szCs w:val="21"/>
        </w:rPr>
        <w:t xml:space="preserve">Each of the twenty </w:t>
      </w:r>
      <w:r>
        <w:rPr>
          <w:rFonts w:ascii="Georgia" w:cs="Georgia" w:eastAsia="Georgia" w:hAnsi="Georgia"/>
          <w:b/>
          <w:bCs/>
          <w:color w:val="C00000"/>
          <w:sz w:val="21"/>
          <w:szCs w:val="21"/>
        </w:rPr>
        <w:t xml:space="preserve">constituents of the Morningstar PitchBook Unicorn 20</w:t>
      </w:r>
      <w:r>
        <w:rPr>
          <w:rFonts w:ascii="Georgia" w:cs="Georgia" w:eastAsia="Georgia" w:hAnsi="Georgia"/>
          <w:color w:val="1F2733"/>
          <w:sz w:val="21"/>
          <w:szCs w:val="21"/>
        </w:rPr>
        <w:t xml:space="preserve"> can be valued three ways: a daily, model-derived valuation published by Morningstar; the post-money valuation of the last completed primary financing, fixed until the next round; and an implied valuation from secondary-market transactions, the price at which shares change hands. The index excludes some large private names, xAI and Waymo among them, which carry no model or secondary pricing. Across eighteen companies with a priced round, model-derived valuations sit 15.2% above last-round valuations. The gap is expected, since the model updates daily while the last-round valuation stays fixed until the next financing.</w:t>
      </w:r>
    </w:p>
    <w:p>
      <w:pPr>
        <w:spacing w:after="160" w:line="276"/>
      </w:pPr>
      <w:r>
        <w:rPr>
          <w:rFonts w:ascii="Georgia" w:cs="Georgia" w:eastAsia="Georgia" w:hAnsi="Georgia"/>
          <w:color w:val="1F2733"/>
          <w:sz w:val="21"/>
          <w:szCs w:val="21"/>
        </w:rPr>
        <w:t xml:space="preserve">The secondary market diverges exactly where the capital sits. Among the eighteen names that remain private, shares in 11 trade below their model-derived valuations, and the largest position carries the widest discount. Anthropic changes hands 22% below its $1.27 trillion model valuation, a gap of about $282 billion, set after a May financing that ran ahead of a secondary market that has yet to reprice. That gap will be settled by the company’s next financing or listing. SpaceX, </w:t>
      </w:r>
      <w:r>
        <w:rPr>
          <w:rFonts w:ascii="Georgia" w:cs="Georgia" w:eastAsia="Georgia" w:hAnsi="Georgia"/>
          <w:b/>
          <w:bCs/>
          <w:color w:val="C00000"/>
          <w:sz w:val="21"/>
          <w:szCs w:val="21"/>
        </w:rPr>
        <w:t xml:space="preserve">listed June 12</w:t>
      </w:r>
      <w:r>
        <w:rPr>
          <w:rFonts w:ascii="Georgia" w:cs="Georgia" w:eastAsia="Georgia" w:hAnsi="Georgia"/>
          <w:color w:val="1F2733"/>
          <w:sz w:val="21"/>
          <w:szCs w:val="21"/>
        </w:rPr>
        <w:t xml:space="preserve">, is the control case: pre-listing secondary prints implied a discount of roughly a third, and public trading erased it </w:t>
      </w:r>
      <w:r>
        <w:rPr>
          <w:rFonts w:ascii="Georgia" w:cs="Georgia" w:eastAsia="Georgia" w:hAnsi="Georgia"/>
          <w:b/>
          <w:bCs/>
          <w:color w:val="C00000"/>
          <w:sz w:val="21"/>
          <w:szCs w:val="21"/>
        </w:rPr>
        <w:t xml:space="preserve">inside a week, the shares peaking 67% above their $135 offer price on June 16 before retracing</w:t>
      </w:r>
      <w:r>
        <w:rPr>
          <w:rFonts w:ascii="Georgia" w:cs="Georgia" w:eastAsia="Georgia" w:hAnsi="Georgia"/>
          <w:color w:val="1F2733"/>
          <w:sz w:val="21"/>
          <w:szCs w:val="21"/>
        </w:rPr>
        <w:t xml:space="preserve">. Further down the list the pattern reverses. Applied Intuition, Anysphere, Anduril, and Revolut all trade 16-36% above their last round, so their recorded valuations understate what buyers will pay. At the bottom, all three measures have fallen together at Ripple, Epic Games, and Kraken.</w:t>
      </w:r>
    </w:p>
    <w:p>
      <w:pPr>
        <w:spacing w:after="160" w:line="276"/>
      </w:pPr>
      <w:r>
        <w:rPr>
          <w:rFonts w:ascii="Georgia" w:cs="Georgia" w:eastAsia="Georgia" w:hAnsi="Georgia"/>
          <w:color w:val="1F2733"/>
          <w:sz w:val="21"/>
          <w:szCs w:val="21"/>
        </w:rPr>
        <w:t xml:space="preserve">Valuation reliability, the agreement among independent estimates, runs inversely to position size. The least corroborated valuations belong to the companies most likely to dominate a late-stage portfolio, so a portfolio carried at model values holds its largest private position 22% above what buyers are currently paying, and the overstatement grows with the size of the position.</w:t>
      </w:r>
    </w:p>
    <w:p>
      <w:pPr>
        <w:pStyle w:val="Heading2"/>
        <w:spacing w:after="70" w:before="220"/>
      </w:pPr>
      <w:r>
        <w:rPr>
          <w:rFonts w:ascii="Arial" w:cs="Arial" w:eastAsia="Arial" w:hAnsi="Arial"/>
          <w:b/>
          <w:bCs/>
          <w:color w:val="1A2744"/>
          <w:sz w:val="21"/>
          <w:szCs w:val="21"/>
        </w:rPr>
        <w:t xml:space="preserve">The median and the average describe two different markets</w:t>
      </w:r>
    </w:p>
    <w:p>
      <w:pPr>
        <w:spacing w:after="160" w:line="276"/>
      </w:pPr>
      <w:r>
        <w:rPr>
          <w:rFonts w:ascii="Georgia" w:cs="Georgia" w:eastAsia="Georgia" w:hAnsi="Georgia"/>
          <w:color w:val="1F2733"/>
          <w:sz w:val="21"/>
          <w:szCs w:val="21"/>
        </w:rPr>
        <w:t xml:space="preserve">Among unicorns that raised in the first half of 2026, the median financing priced at a $2.0 billion post-money valuation while the average was </w:t>
      </w:r>
      <w:r>
        <w:rPr>
          <w:rFonts w:ascii="Georgia" w:cs="Georgia" w:eastAsia="Georgia" w:hAnsi="Georgia"/>
          <w:b/>
          <w:bCs/>
          <w:color w:val="C00000"/>
          <w:sz w:val="21"/>
          <w:szCs w:val="21"/>
        </w:rPr>
        <w:t xml:space="preserve">$18.19 billion</w:t>
      </w:r>
      <w:r>
        <w:rPr>
          <w:rFonts w:ascii="Georgia" w:cs="Georgia" w:eastAsia="Georgia" w:hAnsi="Georgia"/>
          <w:color w:val="1F2733"/>
          <w:sz w:val="21"/>
          <w:szCs w:val="21"/>
        </w:rPr>
        <w:t xml:space="preserve">. That 9.1-to-1 gap was 3.1-to-1 in 2025 and 2.8-to-1 in 2024. These are financing-cohort figures, not universe averages, and the widening is a composition effect: the cohort that raised this half includes the giants, so a handful of rounds pulls the average an order of magnitude above the median. The universe-wide numbers carry the same skew at smaller scale, a median active unicorn near $1.7 billion against a $4.7 billion implied average on the $8.23 trillion aggregate. Financing sizes are skewed the same way, with a $200 million median against a $1.14 billion average, the widest separation in eleven years of data. The aggregate grew because roughly a dozen valuations were rewritten upward while the middle of the distribution stood still. An institution benchmarking to the aggregate is tracking the twelve largest companies and crediting their revaluation to the asset class as a whole, when the median portfolio bears little resemblance to the index it is judged against.</w:t>
      </w:r>
    </w:p>
    <w:p>
      <w:pPr>
        <w:pStyle w:val="Heading2"/>
        <w:spacing w:after="70" w:before="220"/>
      </w:pPr>
      <w:r>
        <w:rPr>
          <w:rFonts w:ascii="Arial" w:cs="Arial" w:eastAsia="Arial" w:hAnsi="Arial"/>
          <w:b/>
          <w:bCs/>
          <w:color w:val="1A2744"/>
          <w:sz w:val="21"/>
          <w:szCs w:val="21"/>
        </w:rPr>
        <w:t xml:space="preserve">Companies that raised were repriced upward quickly</w:t>
      </w:r>
    </w:p>
    <w:p>
      <w:pPr>
        <w:spacing w:after="160" w:line="276"/>
      </w:pPr>
      <w:r>
        <w:rPr>
          <w:rFonts w:ascii="Georgia" w:cs="Georgia" w:eastAsia="Georgia" w:hAnsi="Georgia"/>
          <w:color w:val="1F2733"/>
          <w:sz w:val="21"/>
          <w:szCs w:val="21"/>
        </w:rPr>
        <w:t xml:space="preserve">Among the companies that actually raised, terms were strong. The median valuation step-up, the ratio of a new round’s post-money valuation to the prior round’s, reached 2.20 times in the first half of 2026, up from 2.05 in 2025. Only the 2021 peak of 2.64 stands higher. The median interval between financings compressed to 0.98 years from 1.21 years in 2025 and 1.45 years in 2024. Down rounds have nearly vanished, with six in the first half of 2026 worth $3.85 billion, against 31 in all of 2025 and 34 in 2024. The steepest revaluations came from small companies rather than the leaders: Hark at 151 times its prior round, Blitzy and SendCutSend at 30 times, each valued below $7 billion, while the giants gained in dollars at modest multiples. Velocity lives at the small end of the market, where a single financing can revalue a company several times over, and the value sits at the large end. Every figure describes only companies that raised, which is well under half the universe, and the untested majority is where the market’s real risk sits.</w:t>
      </w:r>
    </w:p>
    <w:p>
      <w:pPr>
        <w:pStyle w:val="Heading2"/>
        <w:spacing w:after="70" w:before="220"/>
      </w:pPr>
      <w:r>
        <w:rPr>
          <w:rFonts w:ascii="Arial" w:cs="Arial" w:eastAsia="Arial" w:hAnsi="Arial"/>
          <w:b/>
          <w:bCs/>
          <w:color w:val="1A2744"/>
          <w:sz w:val="21"/>
          <w:szCs w:val="21"/>
        </w:rPr>
        <w:t xml:space="preserve">AI holds three-fifths of the universe’s value on two-fifths of its companies</w:t>
      </w:r>
    </w:p>
    <w:p>
      <w:pPr>
        <w:spacing w:after="160" w:line="276"/>
      </w:pPr>
      <w:r>
        <w:rPr>
          <w:rFonts w:ascii="Georgia" w:cs="Georgia" w:eastAsia="Georgia" w:hAnsi="Georgia"/>
          <w:color w:val="1F2733"/>
          <w:sz w:val="21"/>
          <w:szCs w:val="21"/>
        </w:rPr>
        <w:t xml:space="preserve">AI companies number 702 of the 1,743 unicorns, 40.3% by count, yet account for $5.08 trillion of the $8.23 trillion in value, 61.7% of the total. The twenty-one-point gap between those two shares measures how much larger the average AI company is, and it keeps widening. AI value rose from $3.49 trillion at the end of 2025 to $5.08 trillion by mid-2026, up 45.6% in six months. AI accounted for 109 of the 178 companies newly crossing the billion-dollar threshold.</w:t>
      </w:r>
    </w:p>
    <w:p>
      <w:pPr>
        <w:spacing w:after="160" w:line="276"/>
      </w:pPr>
      <w:r>
        <w:rPr>
          <w:rFonts w:ascii="Georgia" w:cs="Georgia" w:eastAsia="Georgia" w:hAnsi="Georgia"/>
          <w:color w:val="1F2733"/>
          <w:sz w:val="21"/>
          <w:szCs w:val="21"/>
        </w:rPr>
        <w:t xml:space="preserve">With artificial intelligence at three-fifths of value and three-fifths of new formation, an allocation to late-stage venture is a concentrated bet on one theme rather than a diversified position. A program built without an explicit view on AI is still long AI, at a weight that now exceeds what most diversified mandates would knowingly hold.</w:t>
      </w:r>
    </w:p>
    <w:p>
      <w:pPr>
        <w:pStyle w:val="Heading2"/>
        <w:spacing w:after="70" w:before="220"/>
      </w:pPr>
      <w:r>
        <w:rPr>
          <w:rFonts w:ascii="Arial" w:cs="Arial" w:eastAsia="Arial" w:hAnsi="Arial"/>
          <w:b/>
          <w:bCs/>
          <w:color w:val="1A2744"/>
          <w:sz w:val="21"/>
          <w:szCs w:val="21"/>
        </w:rPr>
        <w:t xml:space="preserve">The public-listing window reopened, but one company is most of it</w:t>
      </w:r>
    </w:p>
    <w:p>
      <w:pPr>
        <w:spacing w:after="160" w:line="276"/>
      </w:pPr>
      <w:r>
        <w:rPr>
          <w:rFonts w:ascii="Georgia" w:cs="Georgia" w:eastAsia="Georgia" w:hAnsi="Georgia"/>
          <w:color w:val="1F2733"/>
          <w:sz w:val="21"/>
          <w:szCs w:val="21"/>
        </w:rPr>
        <w:t xml:space="preserve">Exit value in the first half of 2026 reached $2.1 trillion across 50 exits, with a single event accounting for four-fifths of it. SpaceX’s listing alone was $1.7 trillion; excluding it, exit value was $420.7 billion, the strongest year since 2021 but far below the headline. Public listings drove 85% of exit value, and after three years of few listings, SpaceX, Cerebras ($34 billion), and Quantinuum ($14 billion) all listed in the quarter. The listing was large enough to shrink the universe itself: the aggregate peaked at $8.7 trillion in the first quarter and ended the half at $8.23 trillion, because SpaceX’s departure removed more value than the rest of the market added. After a first-quarter dip in median time to exit, driven by AI-native companies exiting young, the half-year median time to exit settled at 8.47 years, near the 9.17-year peak of 2025, so the companies reaching liquidity now are older vintages rather than recent 2023 and 2024 formations. The 2026 total reflects one large listing and an aged backlog of companies clearing as opposed to a broad acceleration of recent cohorts.</w:t>
      </w:r>
    </w:p>
    <w:p>
      <w:pPr>
        <w:pStyle w:val="Heading1"/>
        <w:pBdr>
          <w:bottom w:val="single" w:color="C9D2E0" w:sz="6" w:space="6"/>
        </w:pBdr>
        <w:spacing w:after="140" w:before="320"/>
      </w:pPr>
      <w:r>
        <w:rPr>
          <w:rFonts w:ascii="Arial" w:cs="Arial" w:eastAsia="Arial" w:hAnsi="Arial"/>
          <w:b/>
          <w:bCs/>
          <w:color w:val="1A2744"/>
          <w:sz w:val="26"/>
          <w:szCs w:val="26"/>
        </w:rPr>
        <w:t xml:space="preserve">Verticals</w:t>
      </w:r>
    </w:p>
    <w:p>
      <w:pPr>
        <w:pStyle w:val="Heading2"/>
        <w:spacing w:after="70" w:before="220"/>
      </w:pPr>
      <w:r>
        <w:rPr>
          <w:rFonts w:ascii="Arial" w:cs="Arial" w:eastAsia="Arial" w:hAnsi="Arial"/>
          <w:b/>
          <w:bCs/>
          <w:color w:val="1A2744"/>
          <w:sz w:val="21"/>
          <w:szCs w:val="21"/>
        </w:rPr>
        <w:t xml:space="preserve">SaaS and AI tower over every other category</w:t>
      </w:r>
    </w:p>
    <w:p>
      <w:pPr>
        <w:spacing w:after="160" w:line="276"/>
      </w:pPr>
      <w:r>
        <w:rPr>
          <w:rFonts w:ascii="Georgia" w:cs="Georgia" w:eastAsia="Georgia" w:hAnsi="Georgia"/>
          <w:color w:val="1F2733"/>
          <w:sz w:val="21"/>
          <w:szCs w:val="21"/>
        </w:rPr>
        <w:t xml:space="preserve">SaaS leads at $6.44 trillion across 968 companies, with AI close behind at $6.02 trillion across 865, and FinTech a distant third at $2.02 trillion across 436. The next tier is far smaller: SpaceTech $1.87 trillion, Mobility $0.83 trillion, Cloud Infrastructure $0.74 trillion, HealthTech $0.45 trillion. The two leaders hold roughly $12.5 trillion between them. Tags overlap, so these </w:t>
      </w:r>
      <w:r>
        <w:rPr>
          <w:rFonts w:ascii="Georgia" w:cs="Georgia" w:eastAsia="Georgia" w:hAnsi="Georgia"/>
          <w:b/>
          <w:bCs/>
          <w:color w:val="C00000"/>
          <w:sz w:val="21"/>
          <w:szCs w:val="21"/>
        </w:rPr>
        <w:t xml:space="preserve">totals</w:t>
      </w:r>
      <w:r>
        <w:rPr>
          <w:rFonts w:ascii="Georgia" w:cs="Georgia" w:eastAsia="Georgia" w:hAnsi="Georgia"/>
          <w:color w:val="1F2733"/>
          <w:sz w:val="21"/>
          <w:szCs w:val="21"/>
        </w:rPr>
        <w:t xml:space="preserve"> sum to about 1.5 times the universe by value and cannot be added together, and much of the apparent breadth is the same companies counted twice under SaaS and AI. SpaceTech shows how a category can be a single company: its $1.87 trillion across 34 names still carries SpaceX at its final private valuation because the tag table is a snapshot that does not roll up to the aggregate, and excluding it the vertical holds roughly $0.18 trillion.</w:t>
      </w:r>
    </w:p>
    <w:p>
      <w:pPr>
        <w:pStyle w:val="Heading2"/>
        <w:spacing w:after="70" w:before="220"/>
      </w:pPr>
      <w:r>
        <w:rPr>
          <w:rFonts w:ascii="Arial" w:cs="Arial" w:eastAsia="Arial" w:hAnsi="Arial"/>
          <w:b/>
          <w:bCs/>
          <w:color w:val="1A2744"/>
          <w:sz w:val="21"/>
          <w:szCs w:val="21"/>
        </w:rPr>
        <w:t xml:space="preserve">The investable universe is far narrower than the company count implies</w:t>
      </w:r>
    </w:p>
    <w:p>
      <w:pPr>
        <w:spacing w:after="160" w:line="276"/>
      </w:pPr>
      <w:r>
        <w:rPr>
          <w:rFonts w:ascii="Georgia" w:cs="Georgia" w:eastAsia="Georgia" w:hAnsi="Georgia"/>
          <w:color w:val="1F2733"/>
          <w:sz w:val="21"/>
          <w:szCs w:val="21"/>
        </w:rPr>
        <w:t xml:space="preserve">The count of 1,743 overstates the number of large, recently valued companies. The ten largest hold about $2.9 trillion, 35% of the total, while the median active unicorn is about $1.7 billion, so most of the universe sits far below the names that carry it. Only about a third of unicorns, 614 companies, have raised within the past twelve months. The rest are priced off older financings. Geography and theme narrow it further, with 54% domiciled in the United States and 40% classified as AI. Size, recency, and required liquidity together leave a small subset of the total count, weighted toward US software and AI.</w:t>
      </w:r>
    </w:p>
    <w:p>
      <w:pPr>
        <w:pStyle w:val="Heading2"/>
        <w:spacing w:after="70" w:before="220"/>
      </w:pPr>
      <w:r>
        <w:rPr>
          <w:rFonts w:ascii="Arial" w:cs="Arial" w:eastAsia="Arial" w:hAnsi="Arial"/>
          <w:b/>
          <w:bCs/>
          <w:color w:val="1A2744"/>
          <w:sz w:val="21"/>
          <w:szCs w:val="21"/>
        </w:rPr>
        <w:t xml:space="preserve">The largest verticals are not where value is created fastest</w:t>
      </w:r>
    </w:p>
    <w:p>
      <w:pPr>
        <w:spacing w:after="160" w:line="276"/>
      </w:pPr>
      <w:r>
        <w:rPr>
          <w:rFonts w:ascii="Georgia" w:cs="Georgia" w:eastAsia="Georgia" w:hAnsi="Georgia"/>
          <w:color w:val="1F2733"/>
          <w:sz w:val="21"/>
          <w:szCs w:val="21"/>
        </w:rPr>
        <w:t xml:space="preserve">On first-half 2026 medians, AI recorded a relative velocity of value creation, the ratio of new valuation created to capital invested, of 1.84 times alongside a 2.35 times step-up across 249 financings, with SaaS at 1.42 and 2.18 across 176 financings. The highest velocity sits in smaller categories: robotics and drones at 2.03 times, and CleanTech at 3.30 with a 2.77 step-up. Crypto fell from 2.62 to 1.11. Cybersecurity at 0.66 and e-commerce at 0.38 are the lowest, both below 1.0, even as they raised at higher valuations (step-ups of 1.74 and 2.13 times), so each dollar invested created less than a dollar of new valuation.</w:t>
      </w:r>
    </w:p>
    <w:p>
      <w:pPr>
        <w:spacing w:after="160" w:line="276"/>
      </w:pPr>
      <w:r>
        <w:rPr>
          <w:rFonts w:ascii="Georgia" w:cs="Georgia" w:eastAsia="Georgia" w:hAnsi="Georgia"/>
          <w:color w:val="1F2733"/>
          <w:sz w:val="21"/>
          <w:szCs w:val="21"/>
        </w:rPr>
        <w:t xml:space="preserve">The three-year vertical indexes show the same order. Stated as annualized returns, AI returned 58.1% a year, or 302.6% cumulative, enterprise SaaS 34.2%, and cybersecurity 22.2%, the only categories to beat the Morningstar Global TME public technology benchmark of 19.6% a year, or 72.4% cumulative, over the three-year window ended June 30. AI compounded at about three times the public rate, while FinTech, third by value, returned 12.9% and trailed. These returns are based on infrequently updated valuations, which suppress measured volatility, so the low volatility of the private indexes reflects infrequent revaluation rather than stability.</w:t>
      </w:r>
    </w:p>
    <w:p>
      <w:pPr>
        <w:pStyle w:val="Heading2"/>
        <w:spacing w:after="70" w:before="220"/>
      </w:pPr>
      <w:r>
        <w:rPr>
          <w:rFonts w:ascii="Arial" w:cs="Arial" w:eastAsia="Arial" w:hAnsi="Arial"/>
          <w:b/>
          <w:bCs/>
          <w:color w:val="1A2744"/>
          <w:sz w:val="21"/>
          <w:szCs w:val="21"/>
        </w:rPr>
        <w:t xml:space="preserve">AI is the source of both the return and the risk</w:t>
      </w:r>
    </w:p>
    <w:p>
      <w:pPr>
        <w:spacing w:after="160" w:line="276"/>
      </w:pPr>
      <w:r>
        <w:rPr>
          <w:rFonts w:ascii="Georgia" w:cs="Georgia" w:eastAsia="Georgia" w:hAnsi="Georgia"/>
          <w:color w:val="1F2733"/>
          <w:sz w:val="21"/>
          <w:szCs w:val="21"/>
        </w:rPr>
        <w:t xml:space="preserve">AI is both the driver of the market’s growth and its largest concentration of value. It added $1.59 trillion in a half-year when the whole universe gained $0.93 trillion, so the rest of the market contracted around it, through both repricing and the departure of SpaceX to the public market. It now represents 61.7% of value, four of the five largest rounds, and 61% of new company formation. Because AI valuations move together and dominate the index, a repricing in a few frontier names moves the aggregate. A 25% reduction in AI valuations would remove roughly $1.27 trillion, which is 15.4% of all private-technology value. That is the bet. The companies that produced the gain are the same ones the secondary market values below their model valuations. The exposure that drove the aggregate up carries the widest downside and sits in too large a share of the universe to be diversified away within it.</w:t>
      </w:r>
    </w:p>
    <w:p>
      <w:pPr>
        <w:pStyle w:val="Heading2"/>
        <w:spacing w:after="70" w:before="220"/>
      </w:pPr>
      <w:r>
        <w:rPr>
          <w:rFonts w:ascii="Arial" w:cs="Arial" w:eastAsia="Arial" w:hAnsi="Arial"/>
          <w:b/>
          <w:bCs/>
          <w:color w:val="1A2744"/>
          <w:sz w:val="21"/>
          <w:szCs w:val="21"/>
        </w:rPr>
        <w:t xml:space="preserve">The 2021 cohort is the base rate for today’s AI class</w:t>
      </w:r>
    </w:p>
    <w:p>
      <w:pPr>
        <w:spacing w:after="160" w:line="276"/>
      </w:pPr>
      <w:r>
        <w:rPr>
          <w:rFonts w:ascii="Georgia" w:cs="Georgia" w:eastAsia="Georgia" w:hAnsi="Georgia"/>
          <w:color w:val="1F2733"/>
          <w:sz w:val="21"/>
          <w:szCs w:val="21"/>
        </w:rPr>
        <w:t xml:space="preserve">Of 634 unicorns minted in 2021, five years on 470 remain active (74%), 102 have exited (16%), and 62 have failed (10%). Of the 62 that failed, 34 fell below the billion-dollar threshold while private, 15 fell at exit through a listing or sale below unicorn status, and 13 went bankrupt. Three-quarters remain illiquid five years after formation, consistent with a median time to exit of 8.47 years. Today’s 702 AI unicorns are a cohort of the same size at an earlier stage. If they age as the 2021 vintage did, roughly a quarter would impair and three-quarters would remain illiquid into the next decade. AI valuations are more correlated and concentrated than 2021’s, so those outcomes would be more tightly linked. The ten-year funds that financed the 2021 vintage mature between 2028 and 2031, the period over which those untested valuations resolve through markdown, sale, or wind-down.</w:t>
      </w:r>
    </w:p>
    <w:p>
      <w:pPr>
        <w:pStyle w:val="Heading1"/>
        <w:pBdr>
          <w:bottom w:val="single" w:color="C9D2E0" w:sz="6" w:space="6"/>
        </w:pBdr>
        <w:spacing w:after="140" w:before="320"/>
      </w:pPr>
      <w:r>
        <w:rPr>
          <w:rFonts w:ascii="Arial" w:cs="Arial" w:eastAsia="Arial" w:hAnsi="Arial"/>
          <w:b/>
          <w:bCs/>
          <w:color w:val="1A2744"/>
          <w:sz w:val="26"/>
          <w:szCs w:val="26"/>
        </w:rPr>
        <w:t xml:space="preserve">Business quality and valuations</w:t>
      </w:r>
    </w:p>
    <w:p>
      <w:pPr>
        <w:pStyle w:val="Heading2"/>
        <w:spacing w:after="70" w:before="220"/>
      </w:pPr>
      <w:r>
        <w:rPr>
          <w:rFonts w:ascii="Arial" w:cs="Arial" w:eastAsia="Arial" w:hAnsi="Arial"/>
          <w:b/>
          <w:bCs/>
          <w:color w:val="1A2744"/>
          <w:sz w:val="21"/>
          <w:szCs w:val="21"/>
        </w:rPr>
        <w:t xml:space="preserve">What the AIBQ and PBQ scores measure</w:t>
      </w:r>
    </w:p>
    <w:p>
      <w:pPr>
        <w:spacing w:after="160" w:line="276"/>
      </w:pPr>
      <w:r>
        <w:rPr>
          <w:rFonts w:ascii="Georgia" w:cs="Georgia" w:eastAsia="Georgia" w:hAnsi="Georgia"/>
          <w:color w:val="1F2733"/>
          <w:sz w:val="21"/>
          <w:szCs w:val="21"/>
        </w:rPr>
        <w:t xml:space="preserve">The AI Business Quality (AIBQ) and PitchBook Business Quality (PBQ) framework scores the twenty largest unicorn constituents on five weighted dimensions of the business underneath the valuation: revenue quality (25%), capital efficiency (20%), governance optionality (20%), moat durability (20%), and either compute independence or strategic velocity (15%), depending on the business type. Eight companies built on their own AI models are scored as AIBQ, and for them, compute independence measures how much of their compute they control, because compute is the input that decides whether these businesses can keep operating. The other twelve are scored as PBQ and measured on speed of execution instead. Each composite sorts the company into one of four tiers, from Elite at 8.0 and above to Distressed below 4.5, with wide confidence bands because private disclosure is thin. Scores are re-baselined under a revised methodology and are not comparable to the Q1 prints. All inputs are capped at June 30 with events after quarter-end excluded.</w:t>
      </w:r>
    </w:p>
    <w:p>
      <w:pPr>
        <w:pStyle w:val="Heading2"/>
        <w:spacing w:after="70" w:before="220"/>
      </w:pPr>
      <w:r>
        <w:rPr>
          <w:rFonts w:ascii="Arial" w:cs="Arial" w:eastAsia="Arial" w:hAnsi="Arial"/>
          <w:b/>
          <w:bCs/>
          <w:color w:val="1A2744"/>
          <w:sz w:val="21"/>
          <w:szCs w:val="21"/>
        </w:rPr>
        <w:t xml:space="preserve">The scores against primary valuations</w:t>
      </w:r>
    </w:p>
    <w:p>
      <w:pPr>
        <w:spacing w:after="160" w:line="276"/>
      </w:pPr>
      <w:r>
        <w:rPr>
          <w:rFonts w:ascii="Georgia" w:cs="Georgia" w:eastAsia="Georgia" w:hAnsi="Georgia"/>
          <w:color w:val="1F2733"/>
          <w:sz w:val="21"/>
          <w:szCs w:val="21"/>
        </w:rPr>
        <w:t xml:space="preserve">The primary market and the scores disagree about the same twenty companies. The disagreement is largest where the money is. Valuation explains about 15% of the variation in quality scores, a directional read on a sample of twenty. Databricks and Stripe are the only companies to reach the Elite tier, and they are valued at $134 billion and $159 billion. Anthropic scores 7.22 and ranks seventh despite being the most valuable private company in the world at $965 billion, while OpenAI scores 6.30 and ranks fifteenth at $852 billion. A late-stage round prices scarcity and expected scale, and the giants earn their valuations on exactly those grounds. The framework scores what a growth round tends to look past, which is where the giants lose points, since they rent the compute they depend on, run thin margins after model costs, and in OpenAI’s case carry an unfinished conversion from nonprofit control. Expressed as price per point of quality, the disagreement becomes concrete. For example, a point of quality costs about $2.2 billion at Applied Intuition and $134 billion at Anthropic, a sixty-fold premium for a lower score.</w:t>
      </w:r>
    </w:p>
    <w:p>
      <w:pPr>
        <w:shd w:fill="F3F6FB" w:color="auto" w:val="clear"/>
        <w:spacing w:after="160" w:before="120"/>
      </w:pPr>
      <w:r>
        <w:rPr>
          <w:rFonts w:ascii="Arial" w:cs="Arial" w:eastAsia="Arial" w:hAnsi="Arial"/>
          <w:b w:val="false"/>
          <w:bCs w:val="false"/>
          <w:i/>
          <w:iCs/>
          <w:color w:val="55637A"/>
          <w:sz w:val="19"/>
          <w:szCs w:val="19"/>
        </w:rPr>
        <w:t xml:space="preserve">CHART: AIBQ/PBQ Primary</w:t>
      </w:r>
    </w:p>
    <w:p>
      <w:pPr>
        <w:pStyle w:val="Heading2"/>
        <w:spacing w:after="70" w:before="220"/>
      </w:pPr>
      <w:r>
        <w:rPr>
          <w:rFonts w:ascii="Arial" w:cs="Arial" w:eastAsia="Arial" w:hAnsi="Arial"/>
          <w:b/>
          <w:bCs/>
          <w:color w:val="1A2744"/>
          <w:sz w:val="21"/>
          <w:szCs w:val="21"/>
        </w:rPr>
        <w:t xml:space="preserve">The scores against the secondary market</w:t>
      </w:r>
    </w:p>
    <w:p>
      <w:pPr>
        <w:spacing w:after="160" w:line="276"/>
      </w:pPr>
      <w:r>
        <w:rPr>
          <w:rFonts w:ascii="Georgia" w:cs="Georgia" w:eastAsia="Georgia" w:hAnsi="Georgia"/>
          <w:color w:val="1F2733"/>
          <w:sz w:val="21"/>
          <w:szCs w:val="21"/>
        </w:rPr>
        <w:t xml:space="preserve">The secondary market, compared to the primary market, aligns more closely with the framework’s reading. Of the eighteen private names, eleven trade above their last round and seven below. The ten companies whose shares trade above their last round average 7.4 on quality, while the seven trading below average 6.0. That alignment makes sense because a secondary purchaser gets no board seat and no new information rights, so the price rests on what can be observed about the business today, which is close to what the framework scores. Two departures from the pattern are informative. Anthropic and OpenAI trade at 22% and 9% below their model valuations despite mid-tier scores, suggesting secondary buyers are already discounting the compute dependence and governance questions that the primary market has not yet priced. And the two Distressed names have the least price discovery of all. Figure AI, scored 3.75, trades 23% below its round, and Neuralink, scored 2.50, has no meaningful secondary depth beneath a model valuation sitting 441% above its last financing. Across the twenty unicorns, the weaker the business scores, the fewer independent prices exist to test its valuation. The whole tape is thin: closed secondary volume across the twenty names was $562 million in Q2, down from $1.33 billion in Q1, against positions marked in the trillions. Extending the framework across 301 US AI companies shows how thin quality runs below the leaders: the median composite sits at 4.55, just above the 4.5 Distressed boundary, only five companies reach Strong or better, and 140 of the 301 score Distressed. The quality question is not the top of the AI market. It is everything underneath it.</w:t>
      </w:r>
    </w:p>
    <w:p>
      <w:pPr>
        <w:shd w:fill="F3F6FB" w:color="auto" w:val="clear"/>
        <w:spacing w:after="160" w:before="120"/>
      </w:pPr>
      <w:r>
        <w:rPr>
          <w:rFonts w:ascii="Arial" w:cs="Arial" w:eastAsia="Arial" w:hAnsi="Arial"/>
          <w:b w:val="false"/>
          <w:bCs w:val="false"/>
          <w:i/>
          <w:iCs/>
          <w:color w:val="55637A"/>
          <w:sz w:val="19"/>
          <w:szCs w:val="19"/>
        </w:rPr>
        <w:t xml:space="preserve">CHART: AIBQ/PBQ Secondary</w:t>
      </w:r>
    </w:p>
    <w:p>
      <w:pPr>
        <w:pStyle w:val="Heading1"/>
        <w:pBdr>
          <w:bottom w:val="single" w:color="C9D2E0" w:sz="6" w:space="6"/>
        </w:pBdr>
        <w:spacing w:after="140" w:before="320"/>
      </w:pPr>
      <w:r>
        <w:rPr>
          <w:rFonts w:ascii="Arial" w:cs="Arial" w:eastAsia="Arial" w:hAnsi="Arial"/>
          <w:b/>
          <w:bCs/>
          <w:color w:val="1A2744"/>
          <w:sz w:val="26"/>
          <w:szCs w:val="26"/>
        </w:rPr>
        <w:t xml:space="preserve">Valuations and fallen unicorns</w:t>
      </w:r>
    </w:p>
    <w:p>
      <w:pPr>
        <w:pStyle w:val="Heading2"/>
        <w:spacing w:after="70" w:before="220"/>
      </w:pPr>
      <w:r>
        <w:rPr>
          <w:rFonts w:ascii="Arial" w:cs="Arial" w:eastAsia="Arial" w:hAnsi="Arial"/>
          <w:b/>
          <w:bCs/>
          <w:color w:val="1A2744"/>
          <w:sz w:val="21"/>
          <w:szCs w:val="21"/>
        </w:rPr>
        <w:t xml:space="preserve">Valuations are current at the top and grow stale quickly below it</w:t>
      </w:r>
    </w:p>
    <w:p>
      <w:pPr>
        <w:spacing w:after="160" w:line="276"/>
      </w:pPr>
      <w:r>
        <w:rPr>
          <w:rFonts w:ascii="Georgia" w:cs="Georgia" w:eastAsia="Georgia" w:hAnsi="Georgia"/>
          <w:color w:val="1F2733"/>
          <w:sz w:val="21"/>
          <w:szCs w:val="21"/>
        </w:rPr>
        <w:t xml:space="preserve">Anthropic ($965 billion) and OpenAI ($852 billion) together hold $1.82 trillion, 22% of the $8.23 trillion universe, and both carry recent valuations, Anthropic from May 2026 and OpenAI from March 2026, as does ByteDance (May 2026). Below these leaders, valuations age fast. Ant Group, seventh by value, still carries a financing from August 2020, and SHEIN carries one from January 2024. Measured from actual latest-financing dates, 47.6% of unicorns have not raised in more than 24 months and 37.1% in more than 36 months. Close to half of the $8.23 trillion rests on valuations no financing has retested in two years or more. The universe divides into a small frontier of recently priced companies and a large interior of dated valuations whose repricing risk never appears in the aggregate. Blending recently priced companies with hundreds of companies priced years ago produces a single number that hides the difference, and the total should be separated into recently tested and untested dollars.</w:t>
      </w:r>
    </w:p>
    <w:p>
      <w:pPr>
        <w:pStyle w:val="Heading2"/>
        <w:spacing w:after="70" w:before="220"/>
      </w:pPr>
      <w:r>
        <w:rPr>
          <w:rFonts w:ascii="Arial" w:cs="Arial" w:eastAsia="Arial" w:hAnsi="Arial"/>
          <w:b/>
          <w:bCs/>
          <w:color w:val="1A2744"/>
          <w:sz w:val="21"/>
          <w:szCs w:val="21"/>
        </w:rPr>
        <w:t xml:space="preserve">Value created per dollar invested has recovered above its pre-boom level</w:t>
      </w:r>
    </w:p>
    <w:p>
      <w:pPr>
        <w:spacing w:after="160" w:line="276"/>
      </w:pPr>
      <w:r>
        <w:rPr>
          <w:rFonts w:ascii="Georgia" w:cs="Georgia" w:eastAsia="Georgia" w:hAnsi="Georgia"/>
          <w:color w:val="1F2733"/>
          <w:sz w:val="21"/>
          <w:szCs w:val="21"/>
        </w:rPr>
        <w:t xml:space="preserve">The median relative velocity of value creation rose to 1.42 times in the first half of 2026 from 0.93 in 2025 and a low of 0.23 in 2023, above its pre-boom baseline of roughly 0.73, with the 2.20 median step-up and 0.98-year interval pointing in the same direction. Velocity above 1.0 means each dollar raised created more than a dollar of new valuation, a reversal from 2023, when financings diluted holders more than they built value. The 2.73 average against the 1.42 median carries the same skew as the valuations themselves. Value creation concentrates in a few names, and the measure counts only companies that have raised.</w:t>
      </w:r>
    </w:p>
    <w:p>
      <w:pPr>
        <w:pStyle w:val="Heading2"/>
        <w:spacing w:after="70" w:before="220"/>
      </w:pPr>
      <w:r>
        <w:rPr>
          <w:rFonts w:ascii="Arial" w:cs="Arial" w:eastAsia="Arial" w:hAnsi="Arial"/>
          <w:b/>
          <w:bCs/>
          <w:color w:val="1A2744"/>
          <w:sz w:val="21"/>
          <w:szCs w:val="21"/>
        </w:rPr>
        <w:t xml:space="preserve">The rate of new failures has fallen while the untested population has grown</w:t>
      </w:r>
    </w:p>
    <w:p>
      <w:pPr>
        <w:spacing w:after="160" w:line="276"/>
      </w:pPr>
      <w:r>
        <w:rPr>
          <w:rFonts w:ascii="Georgia" w:cs="Georgia" w:eastAsia="Georgia" w:hAnsi="Georgia"/>
          <w:color w:val="1F2733"/>
          <w:sz w:val="21"/>
          <w:szCs w:val="21"/>
        </w:rPr>
        <w:t xml:space="preserve">A total of 245 unicorns have fallen below the billion-dollar threshold to date, and new failures have nearly stopped. The count rose from the 175 reported in Q1 through a rebuild of the curated list, which now includes pre-2016 falls and 63 companies with no recorded down round, not through new failures. There have been six down rounds in the first half of 2026 worth $3.85 billion, against a peak of 34 in 2024. Failures are severe when they occur, at a median failing valuation of $524.5 million and a median decline of 67% from the prior peak</w:t>
      </w:r>
      <w:r>
        <w:rPr>
          <w:rFonts w:ascii="Georgia" w:cs="Georgia" w:eastAsia="Georgia" w:hAnsi="Georgia"/>
          <w:b/>
          <w:bCs/>
          <w:color w:val="C00000"/>
          <w:sz w:val="21"/>
          <w:szCs w:val="21"/>
        </w:rPr>
        <w:t xml:space="preserve">.</w:t>
      </w:r>
      <w:r>
        <w:rPr>
          <w:rFonts w:ascii="Georgia" w:cs="Georgia" w:eastAsia="Georgia" w:hAnsi="Georgia"/>
          <w:color w:val="1F2733"/>
          <w:sz w:val="21"/>
          <w:szCs w:val="21"/>
        </w:rPr>
        <w:t xml:space="preserve"> The 2021 cohort’s 15 companies that fell at exit are </w:t>
      </w:r>
      <w:r>
        <w:rPr>
          <w:rFonts w:ascii="Georgia" w:cs="Georgia" w:eastAsia="Georgia" w:hAnsi="Georgia"/>
          <w:b/>
          <w:bCs/>
          <w:color w:val="C00000"/>
          <w:sz w:val="21"/>
          <w:szCs w:val="21"/>
        </w:rPr>
        <w:t xml:space="preserve">counted as exits in standard exit statistics even though this report’s cohort accounting classes them as failures, so headline exit tallies overstate successful outcomes.</w:t>
      </w:r>
      <w:r>
        <w:rPr>
          <w:rFonts w:ascii="Georgia" w:cs="Georgia" w:eastAsia="Georgia" w:hAnsi="Georgia"/>
          <w:color w:val="1F2733"/>
          <w:sz w:val="21"/>
          <w:szCs w:val="21"/>
        </w:rPr>
        <w:t xml:space="preserve"> A company is also recognized as failing only when it raises at a lower valuation, and 47.6% of the universe has not raised in more than two years, so the count describes companies that raised rather than the dormant majority.</w:t>
      </w:r>
    </w:p>
    <w:p>
      <w:pPr>
        <w:pStyle w:val="Heading1"/>
        <w:pBdr>
          <w:bottom w:val="single" w:color="C9D2E0" w:sz="6" w:space="6"/>
        </w:pBdr>
        <w:spacing w:after="140" w:before="320"/>
      </w:pPr>
      <w:r>
        <w:rPr>
          <w:rFonts w:ascii="Arial" w:cs="Arial" w:eastAsia="Arial" w:hAnsi="Arial"/>
          <w:b/>
          <w:bCs/>
          <w:color w:val="1A2744"/>
          <w:sz w:val="26"/>
          <w:szCs w:val="26"/>
        </w:rPr>
        <w:t xml:space="preserve">What to watch</w:t>
      </w:r>
    </w:p>
    <w:p>
      <w:pPr>
        <w:spacing w:after="160" w:line="276"/>
      </w:pPr>
      <w:r>
        <w:rPr>
          <w:rFonts w:ascii="Georgia" w:cs="Georgia" w:eastAsia="Georgia" w:hAnsi="Georgia"/>
          <w:color w:val="1F2733"/>
          <w:sz w:val="21"/>
          <w:szCs w:val="21"/>
        </w:rPr>
        <w:t xml:space="preserve">The $8.23 trillion is real, concentrated, and largely untested. Two companies hold 22% of it, the five largest financings took 62% of the quarter’s sized deal value, and 47.6% of all valuations have gone more than two years without a financing to confirm them. The valuations that are current, at the top, are the ones the secondary market prices furthest below the model, by 22% at Anthropic. The governing fact is AI, which added more value in six months than the entire universe gained and now holds three-fifths of all private-technology value on two-fifths of the companies.</w:t>
      </w:r>
    </w:p>
    <w:p>
      <w:pPr>
        <w:spacing w:after="160" w:line="276"/>
      </w:pPr>
      <w:r>
        <w:rPr>
          <w:rFonts w:ascii="Georgia" w:cs="Georgia" w:eastAsia="Georgia" w:hAnsi="Georgia"/>
          <w:color w:val="1F2733"/>
          <w:sz w:val="21"/>
          <w:szCs w:val="21"/>
        </w:rPr>
        <w:t xml:space="preserve">The figure to track is not the aggregate, which will keep climbing on a dozen AI valuations, but the share of value resting on the frontier of recently tested valuations against the interior of dated ones. The event that will move it is the next set of frontier financings. SpaceX has already met its test, </w:t>
      </w:r>
      <w:r>
        <w:rPr>
          <w:rFonts w:ascii="Georgia" w:cs="Georgia" w:eastAsia="Georgia" w:hAnsi="Georgia"/>
          <w:b/>
          <w:bCs/>
          <w:color w:val="C00000"/>
          <w:sz w:val="21"/>
          <w:szCs w:val="21"/>
        </w:rPr>
        <w:t xml:space="preserve">listing in June and trading through its model valuation within days</w:t>
      </w:r>
      <w:r>
        <w:rPr>
          <w:rFonts w:ascii="Georgia" w:cs="Georgia" w:eastAsia="Georgia" w:hAnsi="Georgia"/>
          <w:color w:val="1F2733"/>
          <w:sz w:val="21"/>
          <w:szCs w:val="21"/>
        </w:rPr>
        <w:t xml:space="preserve">. Anthropic and OpenAI have not. Should Anthropic’s expected listing or OpenAI’s next round clear below the model rather than above it, the repricing will not stay contained to a single company. On the correlations this market carries, a 25% reduction in AI valuations is $1.27 trillion off the top of the universe.</w:t>
      </w:r>
    </w:p>
    <w:p>
      <w:pPr>
        <w:spacing w:after="160" w:line="276"/>
      </w:pPr>
      <w:r>
        <w:rPr>
          <w:rFonts w:ascii="Georgia" w:cs="Georgia" w:eastAsia="Georgia" w:hAnsi="Georgia"/>
          <w:color w:val="1F2733"/>
          <w:sz w:val="21"/>
          <w:szCs w:val="21"/>
        </w:rPr>
        <w:t xml:space="preserve">The market that emerges is five companies deep at the top and 1,700 wide beneath, and the space between those two numbers is where the next three years happen.</w:t>
      </w:r>
    </w:p>
    <w:p>
      <w:pPr>
        <w:pStyle w:val="Heading1"/>
        <w:pBdr>
          <w:bottom w:val="single" w:color="C9D2E0" w:sz="6" w:space="6"/>
        </w:pBdr>
        <w:spacing w:after="140" w:before="320"/>
      </w:pPr>
      <w:r>
        <w:rPr>
          <w:rFonts w:ascii="Arial" w:cs="Arial" w:eastAsia="Arial" w:hAnsi="Arial"/>
          <w:b/>
          <w:bCs/>
          <w:color w:val="1A2744"/>
          <w:sz w:val="26"/>
          <w:szCs w:val="26"/>
        </w:rPr>
        <w:t xml:space="preserve">Deals and fundraising</w:t>
      </w:r>
    </w:p>
    <w:p>
      <w:pPr>
        <w:pStyle w:val="Heading2"/>
        <w:spacing w:after="70" w:before="220"/>
      </w:pPr>
      <w:r>
        <w:rPr>
          <w:rFonts w:ascii="Arial" w:cs="Arial" w:eastAsia="Arial" w:hAnsi="Arial"/>
          <w:b/>
          <w:bCs/>
          <w:color w:val="1A2744"/>
          <w:sz w:val="21"/>
          <w:szCs w:val="21"/>
        </w:rPr>
        <w:t xml:space="preserve">A record first half, routed through fewer rounds</w:t>
      </w:r>
    </w:p>
    <w:p>
      <w:pPr>
        <w:spacing w:after="160" w:line="276"/>
      </w:pPr>
      <w:r>
        <w:rPr>
          <w:rFonts w:ascii="Georgia" w:cs="Georgia" w:eastAsia="Georgia" w:hAnsi="Georgia"/>
          <w:color w:val="1F2733"/>
          <w:sz w:val="21"/>
          <w:szCs w:val="21"/>
        </w:rPr>
        <w:t xml:space="preserve">Unicorns absorbed $396.1 billion across 444 rounds in the first half of 2026, already more than the $340.9 billion of the full 2021 record year and on less than a quarter of the deal count. Q2 deal value and count decreased by 42% and 13% sequentially, but still came in ahead of any other quarter prior to 2026.</w:t>
      </w:r>
    </w:p>
    <w:p>
      <w:pPr>
        <w:spacing w:after="160" w:line="276"/>
      </w:pPr>
      <w:r>
        <w:rPr>
          <w:rFonts w:ascii="Georgia" w:cs="Georgia" w:eastAsia="Georgia" w:hAnsi="Georgia"/>
          <w:color w:val="1F2733"/>
          <w:sz w:val="21"/>
          <w:szCs w:val="21"/>
        </w:rPr>
        <w:t xml:space="preserve">Unicorns have become the leading force in fundraising across all of venture, with 71% of all global venture dollars in the first half going towards unicorn companies, against 48% in 2025 and 45% at the 2021 peak, while comprising only 2% of global deal count.</w:t>
      </w:r>
    </w:p>
    <w:p>
      <w:pPr>
        <w:spacing w:after="160" w:line="276"/>
      </w:pPr>
      <w:r>
        <w:rPr>
          <w:rFonts w:ascii="Georgia" w:cs="Georgia" w:eastAsia="Georgia" w:hAnsi="Georgia"/>
          <w:color w:val="1F2733"/>
          <w:sz w:val="21"/>
          <w:szCs w:val="21"/>
        </w:rPr>
        <w:t xml:space="preserve">Not every unicorn has the same pull with investors, however, with most of the deal value being concentrated at the top. In fact, Anthropic's $65 billion Series H was 44.9% of Q2 unicorn deal value on its own; the top five rounds were 60.1% </w:t>
      </w:r>
      <w:r>
        <w:rPr>
          <w:rFonts w:ascii="Georgia" w:cs="Georgia" w:eastAsia="Georgia" w:hAnsi="Georgia"/>
          <w:b/>
          <w:bCs/>
          <w:color w:val="C00000"/>
          <w:sz w:val="21"/>
          <w:szCs w:val="21"/>
        </w:rPr>
        <w:t xml:space="preserve">of the published total, 62% of sized deals</w:t>
      </w:r>
      <w:r>
        <w:rPr>
          <w:rFonts w:ascii="Georgia" w:cs="Georgia" w:eastAsia="Georgia" w:hAnsi="Georgia"/>
          <w:color w:val="1F2733"/>
          <w:sz w:val="21"/>
          <w:szCs w:val="21"/>
        </w:rPr>
        <w:t xml:space="preserve">. The mean-to-median ratio, an indicator of deal concentration, has reached 5.7x in 2026, the highest level in the past decade, and far exceeds the 1.7x from the 2021 peak VC market. Concentration is the main differentiator between the two VC booms. 2021 spread its capital across 1,894 rounds, while 2026 is routing a larger sum through 444.</w:t>
      </w:r>
    </w:p>
    <w:p>
      <w:pPr>
        <w:shd w:fill="F3F6FB" w:color="auto" w:val="clear"/>
        <w:spacing w:after="160" w:before="120"/>
      </w:pPr>
      <w:r>
        <w:rPr>
          <w:rFonts w:ascii="Arial" w:cs="Arial" w:eastAsia="Arial" w:hAnsi="Arial"/>
          <w:b w:val="false"/>
          <w:bCs w:val="false"/>
          <w:i/>
          <w:iCs/>
          <w:color w:val="55637A"/>
          <w:sz w:val="19"/>
          <w:szCs w:val="19"/>
        </w:rPr>
        <w:t xml:space="preserve">CHART: 2021 was a broad boom. 2026 is a narrow one.</w:t>
      </w:r>
    </w:p>
    <w:p>
      <w:pPr>
        <w:spacing w:after="160" w:line="276"/>
      </w:pPr>
      <w:r>
        <w:rPr>
          <w:rFonts w:ascii="Georgia" w:cs="Georgia" w:eastAsia="Georgia" w:hAnsi="Georgia"/>
          <w:color w:val="1F2733"/>
          <w:sz w:val="21"/>
          <w:szCs w:val="21"/>
        </w:rPr>
        <w:t xml:space="preserve">Pricing discipline has not returned with the capital. Companies that can raise are raising faster, larger and at higher prices, and almost none of them are being marked down when they do. Down rounds fell to six deals in the first half, 1% of deal count, down from 31 in 2025. Median time between rounds compressed to 0.98 years, the lowest since 2022.</w:t>
      </w:r>
    </w:p>
    <w:p>
      <w:pPr>
        <w:pStyle w:val="Heading2"/>
        <w:spacing w:after="70" w:before="220"/>
      </w:pPr>
      <w:r>
        <w:rPr>
          <w:rFonts w:ascii="Arial" w:cs="Arial" w:eastAsia="Arial" w:hAnsi="Arial"/>
          <w:b/>
          <w:bCs/>
          <w:color w:val="1A2744"/>
          <w:sz w:val="21"/>
          <w:szCs w:val="21"/>
        </w:rPr>
        <w:t xml:space="preserve">Nearly half the universe is dormant</w:t>
      </w:r>
    </w:p>
    <w:p>
      <w:pPr>
        <w:spacing w:after="160" w:line="276"/>
      </w:pPr>
      <w:r>
        <w:rPr>
          <w:rFonts w:ascii="Georgia" w:cs="Georgia" w:eastAsia="Georgia" w:hAnsi="Georgia"/>
          <w:color w:val="1F2733"/>
          <w:sz w:val="21"/>
          <w:szCs w:val="21"/>
        </w:rPr>
        <w:t xml:space="preserve">The universe is bifurcated by access to capital. Of 1,743 active unicorns, 828 (</w:t>
      </w:r>
      <w:r>
        <w:rPr>
          <w:rFonts w:ascii="Georgia" w:cs="Georgia" w:eastAsia="Georgia" w:hAnsi="Georgia"/>
          <w:b/>
          <w:bCs/>
          <w:color w:val="C00000"/>
          <w:sz w:val="21"/>
          <w:szCs w:val="21"/>
        </w:rPr>
        <w:t xml:space="preserve">47.6%</w:t>
      </w:r>
      <w:r>
        <w:rPr>
          <w:rFonts w:ascii="Georgia" w:cs="Georgia" w:eastAsia="Georgia" w:hAnsi="Georgia"/>
          <w:color w:val="1F2733"/>
          <w:sz w:val="21"/>
          <w:szCs w:val="21"/>
        </w:rPr>
        <w:t xml:space="preserve">) are dormant, with no round in over two years and </w:t>
      </w:r>
      <w:r>
        <w:rPr>
          <w:rFonts w:ascii="Georgia" w:cs="Georgia" w:eastAsia="Georgia" w:hAnsi="Georgia"/>
          <w:b/>
          <w:bCs/>
          <w:color w:val="C00000"/>
          <w:sz w:val="21"/>
          <w:szCs w:val="21"/>
        </w:rPr>
        <w:t xml:space="preserve">37.1%</w:t>
      </w:r>
      <w:r>
        <w:rPr>
          <w:rFonts w:ascii="Georgia" w:cs="Georgia" w:eastAsia="Georgia" w:hAnsi="Georgia"/>
          <w:color w:val="1F2733"/>
          <w:sz w:val="21"/>
          <w:szCs w:val="21"/>
        </w:rPr>
        <w:t xml:space="preserve"> none in three. But the dormant half is the small half by value, representing 22.2% of the $6.06 trillion </w:t>
      </w:r>
      <w:r>
        <w:rPr>
          <w:rFonts w:ascii="Georgia" w:cs="Georgia" w:eastAsia="Georgia" w:hAnsi="Georgia"/>
          <w:b/>
          <w:bCs/>
          <w:color w:val="C00000"/>
          <w:sz w:val="21"/>
          <w:szCs w:val="21"/>
        </w:rPr>
        <w:t xml:space="preserve">in disclosed post-money value</w:t>
      </w:r>
      <w:r>
        <w:rPr>
          <w:rFonts w:ascii="Georgia" w:cs="Georgia" w:eastAsia="Georgia" w:hAnsi="Georgia"/>
          <w:color w:val="1F2733"/>
          <w:sz w:val="21"/>
          <w:szCs w:val="21"/>
        </w:rPr>
        <w:t xml:space="preserve">, against 69.3% for the 614 that raised in the past year. Half the field has stopped being priced while the giants keep getting repriced upward.</w:t>
      </w:r>
    </w:p>
    <w:p>
      <w:pPr>
        <w:spacing w:after="160" w:line="276"/>
      </w:pPr>
      <w:r>
        <w:rPr>
          <w:rFonts w:ascii="Georgia" w:cs="Georgia" w:eastAsia="Georgia" w:hAnsi="Georgia"/>
          <w:color w:val="1F2733"/>
          <w:sz w:val="21"/>
          <w:szCs w:val="21"/>
        </w:rPr>
        <w:t xml:space="preserve">Nearly a third of the headline aggregate rests on marks more than a year old, set in a different rate and multiple environment and untested since.</w:t>
      </w:r>
    </w:p>
    <w:p>
      <w:pPr>
        <w:shd w:fill="F3F6FB" w:color="auto" w:val="clear"/>
        <w:spacing w:after="160" w:before="120"/>
      </w:pPr>
      <w:r>
        <w:rPr>
          <w:rFonts w:ascii="Arial" w:cs="Arial" w:eastAsia="Arial" w:hAnsi="Arial"/>
          <w:b w:val="false"/>
          <w:bCs w:val="false"/>
          <w:i/>
          <w:iCs/>
          <w:color w:val="55637A"/>
          <w:sz w:val="19"/>
          <w:szCs w:val="19"/>
        </w:rPr>
        <w:t xml:space="preserve">CHART: The dormant half is the small half</w:t>
      </w:r>
    </w:p>
    <w:p>
      <w:pPr>
        <w:pStyle w:val="Heading2"/>
        <w:spacing w:after="70" w:before="220"/>
      </w:pPr>
      <w:r>
        <w:rPr>
          <w:rFonts w:ascii="Arial" w:cs="Arial" w:eastAsia="Arial" w:hAnsi="Arial"/>
          <w:b/>
          <w:bCs/>
          <w:color w:val="1A2744"/>
          <w:sz w:val="21"/>
          <w:szCs w:val="21"/>
        </w:rPr>
        <w:t xml:space="preserve">Fewer investors, bigger syndicates, more herding</w:t>
      </w:r>
    </w:p>
    <w:p>
      <w:pPr>
        <w:spacing w:after="160" w:line="276"/>
      </w:pPr>
      <w:r>
        <w:rPr>
          <w:rFonts w:ascii="Georgia" w:cs="Georgia" w:eastAsia="Georgia" w:hAnsi="Georgia"/>
          <w:color w:val="1F2733"/>
          <w:sz w:val="21"/>
          <w:szCs w:val="21"/>
        </w:rPr>
        <w:t xml:space="preserve">The investor base financing all of this has contracted sharply, even as the </w:t>
      </w:r>
      <w:r>
        <w:rPr>
          <w:rFonts w:ascii="Georgia" w:cs="Georgia" w:eastAsia="Georgia" w:hAnsi="Georgia"/>
          <w:b/>
          <w:bCs/>
          <w:color w:val="C00000"/>
          <w:sz w:val="21"/>
          <w:szCs w:val="21"/>
        </w:rPr>
        <w:t xml:space="preserve">checks</w:t>
      </w:r>
      <w:r>
        <w:rPr>
          <w:rFonts w:ascii="Georgia" w:cs="Georgia" w:eastAsia="Georgia" w:hAnsi="Georgia"/>
          <w:color w:val="1F2733"/>
          <w:sz w:val="21"/>
          <w:szCs w:val="21"/>
        </w:rPr>
        <w:t xml:space="preserve"> grow larger and the rounds more crowded. Q2 2026 recorded 995 distinct investors participating in unicorn rounds, 65.6% below the 2,892 of the Q3 2021 peak and the lowest quarterly count since 2023. Syndicates of six or more investors were 60.9% of unicorn rounds in the first half, up from 37% in 2016. The same names now appear repeatedly across the same cap tables. A repricing in one large private position is therefore more likely to hit several of an LP's managers at once than a simple count of funds would suggest.</w:t>
      </w:r>
    </w:p>
    <w:p>
      <w:pPr>
        <w:spacing w:after="160" w:line="276"/>
      </w:pPr>
      <w:r>
        <w:rPr>
          <w:rFonts w:ascii="Georgia" w:cs="Georgia" w:eastAsia="Georgia" w:hAnsi="Georgia"/>
          <w:color w:val="1F2733"/>
          <w:sz w:val="21"/>
          <w:szCs w:val="21"/>
        </w:rPr>
        <w:t xml:space="preserve">The composition of the marginal dollar has changed too. Take Prometheus, the physical-AI company founded by Jeff Bezos and Vik Bajaj, as an example. It raised $12 billion at a $41 billion valuation in June, taking it past $18 billion of total funding in roughly seven months from launch, with backers including JPMorgan, Goldman Sachs and BlackRock. At this scale, the incremental capital is coming from institutional balance sheets rather than venture funds, which changes both the price sensitivity of the marginal buyer and the exit expectations attached to the money.</w:t>
      </w:r>
    </w:p>
    <w:p>
      <w:pPr>
        <w:pStyle w:val="Heading2"/>
        <w:spacing w:after="70" w:before="220"/>
      </w:pPr>
      <w:r>
        <w:rPr>
          <w:rFonts w:ascii="Arial" w:cs="Arial" w:eastAsia="Arial" w:hAnsi="Arial"/>
          <w:b/>
          <w:bCs/>
          <w:color w:val="1A2744"/>
          <w:sz w:val="21"/>
          <w:szCs w:val="21"/>
        </w:rPr>
        <w:t xml:space="preserve">Liquidity: available only where it is least needed</w:t>
      </w:r>
    </w:p>
    <w:p>
      <w:pPr>
        <w:spacing w:after="160" w:line="276"/>
      </w:pPr>
      <w:r>
        <w:rPr>
          <w:rFonts w:ascii="Georgia" w:cs="Georgia" w:eastAsia="Georgia" w:hAnsi="Georgia"/>
          <w:color w:val="1F2733"/>
          <w:sz w:val="21"/>
          <w:szCs w:val="21"/>
        </w:rPr>
        <w:t xml:space="preserve">Closed secondary volume since January 2024 totals just $8.9 billion, less than a single quarter's primary issuance. Within that channel, Unicorn 20 constituents took 71.2% of Q2 dollars and the top five names took 58.1%.</w:t>
      </w:r>
    </w:p>
    <w:p>
      <w:pPr>
        <w:spacing w:after="160" w:line="276"/>
      </w:pPr>
      <w:r>
        <w:rPr>
          <w:rFonts w:ascii="Georgia" w:cs="Georgia" w:eastAsia="Georgia" w:hAnsi="Georgia"/>
          <w:color w:val="1F2733"/>
          <w:sz w:val="21"/>
          <w:szCs w:val="21"/>
        </w:rPr>
        <w:t xml:space="preserve">For the 828 dormant companies, there is no primary round setting a price and no secondary tape either. Liquidity here is not a function of quality or time held, but of whether a company is already large enough to be continuously priced</w:t>
      </w:r>
      <w:r>
        <w:rPr>
          <w:rFonts w:ascii="Georgia" w:cs="Georgia" w:eastAsia="Georgia" w:hAnsi="Georgia"/>
          <w:b/>
          <w:bCs/>
          <w:color w:val="C00000"/>
          <w:sz w:val="21"/>
          <w:szCs w:val="21"/>
        </w:rPr>
        <w:t xml:space="preserve">, which is</w:t>
      </w:r>
      <w:r>
        <w:rPr>
          <w:rFonts w:ascii="Georgia" w:cs="Georgia" w:eastAsia="Georgia" w:hAnsi="Georgia"/>
          <w:color w:val="1F2733"/>
          <w:sz w:val="21"/>
          <w:szCs w:val="21"/>
        </w:rPr>
        <w:t xml:space="preserve"> the same condition that governs whether it can raise at all.</w:t>
      </w:r>
    </w:p>
    <w:p>
      <w:pPr>
        <w:spacing w:after="160" w:line="276"/>
      </w:pPr>
      <w:r>
        <w:rPr>
          <w:rFonts w:ascii="Georgia" w:cs="Georgia" w:eastAsia="Georgia" w:hAnsi="Georgia"/>
          <w:color w:val="1F2733"/>
          <w:sz w:val="21"/>
          <w:szCs w:val="21"/>
        </w:rPr>
        <w:t xml:space="preserve">We believe that is the structural feature to watch through 2027. The dormant cohort needs either a funding market that broadens or an exit market that reaches below the megadeal tier. Neither is visible in the first-half data.</w:t>
      </w:r>
    </w:p>
    <w:p>
      <w:pPr>
        <w:pStyle w:val="Heading1"/>
        <w:pBdr>
          <w:bottom w:val="single" w:color="C9D2E0" w:sz="6" w:space="6"/>
        </w:pBdr>
        <w:spacing w:after="140" w:before="320"/>
      </w:pPr>
      <w:r>
        <w:rPr>
          <w:rFonts w:ascii="Arial" w:cs="Arial" w:eastAsia="Arial" w:hAnsi="Arial"/>
          <w:b/>
          <w:bCs/>
          <w:color w:val="1A2744"/>
          <w:sz w:val="26"/>
          <w:szCs w:val="26"/>
        </w:rPr>
        <w:t xml:space="preserve">Secondary markets: price discovery for the top 20</w:t>
      </w:r>
    </w:p>
    <w:p>
      <w:pPr>
        <w:pStyle w:val="Heading2"/>
        <w:spacing w:after="70" w:before="220"/>
      </w:pPr>
      <w:r>
        <w:rPr>
          <w:rFonts w:ascii="Arial" w:cs="Arial" w:eastAsia="Arial" w:hAnsi="Arial"/>
          <w:b/>
          <w:bCs/>
          <w:color w:val="1A2744"/>
          <w:sz w:val="21"/>
          <w:szCs w:val="21"/>
        </w:rPr>
        <w:t xml:space="preserve">Volume is deepening, but only at the top</w:t>
      </w:r>
    </w:p>
    <w:p>
      <w:pPr>
        <w:spacing w:after="160" w:line="276"/>
      </w:pPr>
      <w:r>
        <w:rPr>
          <w:rFonts w:ascii="Georgia" w:cs="Georgia" w:eastAsia="Georgia" w:hAnsi="Georgia"/>
          <w:color w:val="1F2733"/>
          <w:sz w:val="21"/>
          <w:szCs w:val="21"/>
        </w:rPr>
        <w:t xml:space="preserve">A real secondary market for unicorn equity now exists, and it is narrower than its growth suggests. Secondary transaction volume since 2024 sits at over $8.9 billion, across 3,198 closed trades in 267 companies, activity that is all but invisible in primary deal data. But the depth is concentrated in a handful of names, and it is thinning at the edges even as the dollar totals climb.</w:t>
      </w:r>
    </w:p>
    <w:p>
      <w:pPr>
        <w:spacing w:after="160" w:line="276"/>
      </w:pPr>
      <w:r>
        <w:rPr>
          <w:rFonts w:ascii="Georgia" w:cs="Georgia" w:eastAsia="Georgia" w:hAnsi="Georgia"/>
          <w:color w:val="1F2733"/>
          <w:sz w:val="21"/>
          <w:szCs w:val="21"/>
        </w:rPr>
        <w:t xml:space="preserve">Volume more than doubled in 2025, to $4.73 billion from $2.24 billion, then stopped compounding. Measuring the first two months of each quarter, the like-for-like cut that strips the reporting lag in recent prints, Q2 2026 ran $516 million against $534 million a year earlier, down 3.4%. Composition changed more than size. The median trade doubled to $1.0 million from $0.50 million in 2024, the top five names took 58.1% of Q2 volume versus 45.7% in early 2024, and Unicorn 20 constituents absorbed 71.2% of the quarter's dollars against 45.4%. Concentration near the top is the common theme in VC this year.</w:t>
      </w:r>
    </w:p>
    <w:p>
      <w:pPr>
        <w:shd w:fill="F3F6FB" w:color="auto" w:val="clear"/>
        <w:spacing w:after="160" w:before="120"/>
      </w:pPr>
      <w:r>
        <w:rPr>
          <w:rFonts w:ascii="Arial" w:cs="Arial" w:eastAsia="Arial" w:hAnsi="Arial"/>
          <w:b w:val="false"/>
          <w:bCs w:val="false"/>
          <w:i/>
          <w:iCs/>
          <w:color w:val="55637A"/>
          <w:sz w:val="19"/>
          <w:szCs w:val="19"/>
        </w:rPr>
        <w:t xml:space="preserve">CHART: Secondary volume is growing into fewer names</w:t>
      </w:r>
    </w:p>
    <w:p>
      <w:pPr>
        <w:spacing w:after="160" w:line="276"/>
      </w:pPr>
      <w:r>
        <w:rPr>
          <w:rFonts w:ascii="Georgia" w:cs="Georgia" w:eastAsia="Georgia" w:hAnsi="Georgia"/>
          <w:color w:val="1F2733"/>
          <w:sz w:val="21"/>
          <w:szCs w:val="21"/>
        </w:rPr>
        <w:t xml:space="preserve">Q2 2026 is incomplete</w:t>
      </w:r>
      <w:r>
        <w:rPr>
          <w:rFonts w:ascii="Georgia" w:cs="Georgia" w:eastAsia="Georgia" w:hAnsi="Georgia"/>
          <w:b/>
          <w:bCs/>
          <w:color w:val="C00000"/>
          <w:sz w:val="21"/>
          <w:szCs w:val="21"/>
        </w:rPr>
        <w:t xml:space="preserve">:</w:t>
      </w:r>
      <w:r>
        <w:rPr>
          <w:rFonts w:ascii="Georgia" w:cs="Georgia" w:eastAsia="Georgia" w:hAnsi="Georgia"/>
          <w:color w:val="1F2733"/>
          <w:sz w:val="21"/>
          <w:szCs w:val="21"/>
        </w:rPr>
        <w:t xml:space="preserve"> only 8% of the quarter's volume was reported in its third month, against a ~37% historical norm.</w:t>
      </w:r>
    </w:p>
    <w:p>
      <w:pPr>
        <w:spacing w:after="160" w:line="276"/>
      </w:pPr>
      <w:r>
        <w:rPr>
          <w:rFonts w:ascii="Georgia" w:cs="Georgia" w:eastAsia="Georgia" w:hAnsi="Georgia"/>
          <w:color w:val="1F2733"/>
          <w:sz w:val="21"/>
          <w:szCs w:val="21"/>
        </w:rPr>
        <w:t xml:space="preserve">Interestingly, the vertical mix is shifting away from AI (53.1% secondary volume in Q2 2026 vs. 82.5% in Q4 2025), not because AI demand fell but because the largest AI names left. The quarter saw </w:t>
      </w:r>
      <w:r>
        <w:rPr>
          <w:rFonts w:ascii="Georgia" w:cs="Georgia" w:eastAsia="Georgia" w:hAnsi="Georgia"/>
          <w:b/>
          <w:bCs/>
          <w:color w:val="C00000"/>
          <w:sz w:val="21"/>
          <w:szCs w:val="21"/>
        </w:rPr>
        <w:t xml:space="preserve">increased</w:t>
      </w:r>
      <w:r>
        <w:rPr>
          <w:rFonts w:ascii="Georgia" w:cs="Georgia" w:eastAsia="Georgia" w:hAnsi="Georgia"/>
          <w:color w:val="1F2733"/>
          <w:sz w:val="21"/>
          <w:szCs w:val="21"/>
        </w:rPr>
        <w:t xml:space="preserve"> activity from defense, space, </w:t>
      </w:r>
      <w:r>
        <w:rPr>
          <w:rFonts w:ascii="Georgia" w:cs="Georgia" w:eastAsia="Georgia" w:hAnsi="Georgia"/>
          <w:b/>
          <w:bCs/>
          <w:color w:val="C00000"/>
          <w:sz w:val="21"/>
          <w:szCs w:val="21"/>
        </w:rPr>
        <w:t xml:space="preserve">payments,</w:t>
      </w:r>
      <w:r>
        <w:rPr>
          <w:rFonts w:ascii="Georgia" w:cs="Georgia" w:eastAsia="Georgia" w:hAnsi="Georgia"/>
          <w:color w:val="1F2733"/>
          <w:sz w:val="21"/>
          <w:szCs w:val="21"/>
        </w:rPr>
        <w:t xml:space="preserve"> and crypto-adjacent names, including SpaceX, Anduril, </w:t>
      </w:r>
      <w:r>
        <w:rPr>
          <w:rFonts w:ascii="Georgia" w:cs="Georgia" w:eastAsia="Georgia" w:hAnsi="Georgia"/>
          <w:b/>
          <w:bCs/>
          <w:color w:val="C00000"/>
          <w:sz w:val="21"/>
          <w:szCs w:val="21"/>
        </w:rPr>
        <w:t xml:space="preserve">Shield AI</w:t>
      </w:r>
      <w:r>
        <w:rPr>
          <w:rFonts w:ascii="Georgia" w:cs="Georgia" w:eastAsia="Georgia" w:hAnsi="Georgia"/>
          <w:color w:val="1F2733"/>
          <w:sz w:val="21"/>
          <w:szCs w:val="21"/>
        </w:rPr>
        <w:t xml:space="preserve">, Stripe, Polymarket, and Ripple, </w:t>
      </w:r>
      <w:r>
        <w:rPr>
          <w:rFonts w:ascii="Georgia" w:cs="Georgia" w:eastAsia="Georgia" w:hAnsi="Georgia"/>
          <w:b/>
          <w:bCs/>
          <w:color w:val="C00000"/>
          <w:sz w:val="21"/>
          <w:szCs w:val="21"/>
        </w:rPr>
        <w:t xml:space="preserve">which</w:t>
      </w:r>
      <w:r>
        <w:rPr>
          <w:rFonts w:ascii="Georgia" w:cs="Georgia" w:eastAsia="Georgia" w:hAnsi="Georgia"/>
          <w:color w:val="1F2733"/>
          <w:sz w:val="21"/>
          <w:szCs w:val="21"/>
        </w:rPr>
        <w:t xml:space="preserve"> collectively drove 62.0% of the volume.</w:t>
      </w:r>
    </w:p>
    <w:p>
      <w:pPr>
        <w:shd w:fill="F3F6FB" w:color="auto" w:val="clear"/>
        <w:spacing w:after="160" w:before="120"/>
      </w:pPr>
      <w:r>
        <w:rPr>
          <w:rFonts w:ascii="Arial" w:cs="Arial" w:eastAsia="Arial" w:hAnsi="Arial"/>
          <w:b w:val="false"/>
          <w:bCs w:val="false"/>
          <w:i/>
          <w:iCs/>
          <w:color w:val="55637A"/>
          <w:sz w:val="19"/>
          <w:szCs w:val="19"/>
        </w:rPr>
        <w:t xml:space="preserve">CHART: AI's grip on the secondary tape peaked in Q4 2025</w:t>
      </w:r>
    </w:p>
    <w:p>
      <w:pPr>
        <w:pStyle w:val="Heading2"/>
        <w:spacing w:after="70" w:before="220"/>
      </w:pPr>
      <w:r>
        <w:rPr>
          <w:rFonts w:ascii="Arial" w:cs="Arial" w:eastAsia="Arial" w:hAnsi="Arial"/>
          <w:b/>
          <w:bCs/>
          <w:color w:val="1A2744"/>
          <w:sz w:val="21"/>
          <w:szCs w:val="21"/>
        </w:rPr>
        <w:t xml:space="preserve">Primary marks vs. </w:t>
      </w:r>
      <w:r>
        <w:rPr>
          <w:rFonts w:ascii="Arial" w:cs="Arial" w:eastAsia="Arial" w:hAnsi="Arial"/>
          <w:b/>
          <w:bCs/>
          <w:color w:val="C00000"/>
          <w:sz w:val="21"/>
          <w:szCs w:val="21"/>
        </w:rPr>
        <w:t xml:space="preserve">the Morningstar model</w:t>
      </w:r>
      <w:r>
        <w:rPr>
          <w:rFonts w:ascii="Arial" w:cs="Arial" w:eastAsia="Arial" w:hAnsi="Arial"/>
          <w:b/>
          <w:bCs/>
          <w:color w:val="1A2744"/>
          <w:sz w:val="21"/>
          <w:szCs w:val="21"/>
        </w:rPr>
        <w:t xml:space="preserve">: the third reference point</w:t>
      </w:r>
    </w:p>
    <w:p>
      <w:pPr>
        <w:spacing w:after="160" w:line="276"/>
      </w:pPr>
      <w:r>
        <w:rPr>
          <w:rFonts w:ascii="Georgia" w:cs="Georgia" w:eastAsia="Georgia" w:hAnsi="Georgia"/>
          <w:b/>
          <w:bCs/>
          <w:color w:val="C00000"/>
          <w:sz w:val="21"/>
          <w:szCs w:val="21"/>
        </w:rPr>
        <w:t xml:space="preserve">For the 18 constituents of the Unicorn 20 still private at quarter-end, the daily Morningstar model prices the median name within 0.1% of its last primary round, and the field splits evenly, nine above and nine below. The agreement stops there. The model carries Anthropic 32% above the $965 billion round it closed on May 28, Anduril 27% above and Revolut 25% above, while it marks Epic Games, Kraken and Ripple more than a third below their last rounds. Neuralink at +442% and Ripple at −51% mark the ends. The model and the primary market agree on where the middle of this index sits and disagree about nearly every name inside it. The traded secondary tape, covered in the business quality chapter on June 22 marks, is thinner and hews closer to the rounds. The model is the wider-swinging third reference.</w:t>
      </w:r>
    </w:p>
    <w:p>
      <w:pPr>
        <w:spacing w:after="160" w:line="276"/>
      </w:pPr>
      <w:r>
        <w:rPr>
          <w:rFonts w:ascii="Georgia" w:cs="Georgia" w:eastAsia="Georgia" w:hAnsi="Georgia"/>
          <w:color w:val="1F2733"/>
          <w:sz w:val="21"/>
          <w:szCs w:val="21"/>
        </w:rPr>
        <w:t xml:space="preserve">Mark age does not set the direction of the gap. Excluding Neuralink, the correlation between age and </w:t>
      </w:r>
      <w:r>
        <w:rPr>
          <w:rFonts w:ascii="Georgia" w:cs="Georgia" w:eastAsia="Georgia" w:hAnsi="Georgia"/>
          <w:b/>
          <w:bCs/>
          <w:color w:val="C00000"/>
          <w:sz w:val="21"/>
          <w:szCs w:val="21"/>
        </w:rPr>
        <w:t xml:space="preserve">the model’s premium</w:t>
      </w:r>
      <w:r>
        <w:rPr>
          <w:rFonts w:ascii="Georgia" w:cs="Georgia" w:eastAsia="Georgia" w:hAnsi="Georgia"/>
          <w:color w:val="1F2733"/>
          <w:sz w:val="21"/>
          <w:szCs w:val="21"/>
        </w:rPr>
        <w:t xml:space="preserve"> is −0.34, so older marks skew toward discounts rather than toward the upward corrections a stale-mark story would predict. Age governs the width instead. Constituents carrying marks less than six months old sit a median 12 points from their rounds, against 30 points for those six months or older. </w:t>
      </w:r>
      <w:r>
        <w:rPr>
          <w:rFonts w:ascii="Georgia" w:cs="Georgia" w:eastAsia="Georgia" w:hAnsi="Georgia"/>
          <w:b/>
          <w:bCs/>
          <w:color w:val="C00000"/>
          <w:sz w:val="21"/>
          <w:szCs w:val="21"/>
        </w:rPr>
        <w:t xml:space="preserve">The model</w:t>
      </w:r>
      <w:r>
        <w:rPr>
          <w:rFonts w:ascii="Georgia" w:cs="Georgia" w:eastAsia="Georgia" w:hAnsi="Georgia"/>
          <w:color w:val="1F2733"/>
          <w:sz w:val="21"/>
          <w:szCs w:val="21"/>
        </w:rPr>
        <w:t xml:space="preserve"> converges on prices it can still check and drifts from the ones it cannot.</w:t>
      </w:r>
    </w:p>
    <w:p>
      <w:pPr>
        <w:spacing w:after="160" w:line="276"/>
      </w:pPr>
      <w:r>
        <w:rPr>
          <w:rFonts w:ascii="Georgia" w:cs="Georgia" w:eastAsia="Georgia" w:hAnsi="Georgia"/>
          <w:color w:val="1F2733"/>
          <w:sz w:val="21"/>
          <w:szCs w:val="21"/>
        </w:rPr>
        <w:t xml:space="preserve">Ramp breaks the easy version of that reading. It raised at $44.0 billion on June 4, the freshest large mark in the index, and </w:t>
      </w:r>
      <w:r>
        <w:rPr>
          <w:rFonts w:ascii="Georgia" w:cs="Georgia" w:eastAsia="Georgia" w:hAnsi="Georgia"/>
          <w:b/>
          <w:bCs/>
          <w:color w:val="C00000"/>
          <w:sz w:val="21"/>
          <w:szCs w:val="21"/>
        </w:rPr>
        <w:t xml:space="preserve">the model</w:t>
      </w:r>
      <w:r>
        <w:rPr>
          <w:rFonts w:ascii="Georgia" w:cs="Georgia" w:eastAsia="Georgia" w:hAnsi="Georgia"/>
          <w:color w:val="1F2733"/>
          <w:sz w:val="21"/>
          <w:szCs w:val="21"/>
        </w:rPr>
        <w:t xml:space="preserve"> had it 13.8% lower inside a month. A recent round establishes what one syndicate would pay, </w:t>
      </w:r>
      <w:r>
        <w:rPr>
          <w:rFonts w:ascii="Georgia" w:cs="Georgia" w:eastAsia="Georgia" w:hAnsi="Georgia"/>
          <w:b/>
          <w:bCs/>
          <w:color w:val="C00000"/>
          <w:sz w:val="21"/>
          <w:szCs w:val="21"/>
        </w:rPr>
        <w:t xml:space="preserve">and the model reprices the whole business daily</w:t>
      </w:r>
      <w:r>
        <w:rPr>
          <w:rFonts w:ascii="Georgia" w:cs="Georgia" w:eastAsia="Georgia" w:hAnsi="Georgia"/>
          <w:color w:val="1F2733"/>
          <w:sz w:val="21"/>
          <w:szCs w:val="21"/>
        </w:rPr>
        <w:t xml:space="preserve">.</w:t>
      </w:r>
    </w:p>
    <w:p>
      <w:pPr>
        <w:shd w:fill="F3F6FB" w:color="auto" w:val="clear"/>
        <w:spacing w:after="160" w:before="120"/>
      </w:pPr>
      <w:r>
        <w:rPr>
          <w:rFonts w:ascii="Arial" w:cs="Arial" w:eastAsia="Arial" w:hAnsi="Arial"/>
          <w:b w:val="false"/>
          <w:bCs w:val="false"/>
          <w:i/>
          <w:iCs/>
          <w:color w:val="55637A"/>
          <w:sz w:val="19"/>
          <w:szCs w:val="19"/>
        </w:rPr>
        <w:t xml:space="preserve">The model vs the round:</w:t>
      </w:r>
      <w:r>
        <w:rPr>
          <w:rFonts w:ascii="Arial" w:cs="Arial" w:eastAsia="Arial" w:hAnsi="Arial"/>
          <w:b/>
          <w:bCs/>
          <w:i/>
          <w:iCs/>
          <w:color w:val="C00000"/>
          <w:sz w:val="19"/>
          <w:szCs w:val="19"/>
        </w:rPr>
        <w:t xml:space="preserve"> nine above, nine below, 490 points apart</w:t>
      </w:r>
    </w:p>
    <w:p>
      <w:pPr>
        <w:pStyle w:val="Heading2"/>
        <w:spacing w:after="70" w:before="220"/>
      </w:pPr>
      <w:r>
        <w:rPr>
          <w:rFonts w:ascii="Arial" w:cs="Arial" w:eastAsia="Arial" w:hAnsi="Arial"/>
          <w:b/>
          <w:bCs/>
          <w:color w:val="1A2744"/>
          <w:sz w:val="21"/>
          <w:szCs w:val="21"/>
        </w:rPr>
        <w:t xml:space="preserve">What the premiums and discounts reveal</w:t>
      </w:r>
    </w:p>
    <w:p>
      <w:pPr>
        <w:spacing w:after="160" w:line="276"/>
      </w:pPr>
      <w:r>
        <w:rPr>
          <w:rFonts w:ascii="Georgia" w:cs="Georgia" w:eastAsia="Georgia" w:hAnsi="Georgia"/>
          <w:color w:val="1F2733"/>
          <w:sz w:val="21"/>
          <w:szCs w:val="21"/>
        </w:rPr>
        <w:t xml:space="preserve">Q2 offered a rare out-of-sample test. Cerebras and SpaceX both listed roughly 30% above their final private marks: Cerebras at a $40 billion IPO price against $30.7 billion, SpaceX at $1.8 trillion against $1.38 trillion. On the largest names, </w:t>
      </w:r>
      <w:r>
        <w:rPr>
          <w:rFonts w:ascii="Georgia" w:cs="Georgia" w:eastAsia="Georgia" w:hAnsi="Georgia"/>
          <w:b/>
          <w:bCs/>
          <w:color w:val="C00000"/>
          <w:sz w:val="21"/>
          <w:szCs w:val="21"/>
        </w:rPr>
        <w:t xml:space="preserve">the pre-listing marks ran conservative rather than exuberant</w:t>
      </w:r>
      <w:r>
        <w:rPr>
          <w:rFonts w:ascii="Georgia" w:cs="Georgia" w:eastAsia="Georgia" w:hAnsi="Georgia"/>
          <w:color w:val="1F2733"/>
          <w:sz w:val="21"/>
          <w:szCs w:val="21"/>
        </w:rPr>
        <w:t xml:space="preserve">.</w:t>
      </w:r>
    </w:p>
    <w:p>
      <w:pPr>
        <w:spacing w:after="160" w:line="276"/>
      </w:pPr>
      <w:r>
        <w:rPr>
          <w:rFonts w:ascii="Georgia" w:cs="Georgia" w:eastAsia="Georgia" w:hAnsi="Georgia"/>
          <w:color w:val="1F2733"/>
          <w:sz w:val="21"/>
          <w:szCs w:val="21"/>
        </w:rPr>
        <w:t xml:space="preserve">The discounts are </w:t>
      </w:r>
      <w:r>
        <w:rPr>
          <w:rFonts w:ascii="Georgia" w:cs="Georgia" w:eastAsia="Georgia" w:hAnsi="Georgia"/>
          <w:b/>
          <w:bCs/>
          <w:color w:val="C00000"/>
          <w:sz w:val="21"/>
          <w:szCs w:val="21"/>
        </w:rPr>
        <w:t xml:space="preserve">the model making a judgment</w:t>
      </w:r>
      <w:r>
        <w:rPr>
          <w:rFonts w:ascii="Georgia" w:cs="Georgia" w:eastAsia="Georgia" w:hAnsi="Georgia"/>
          <w:color w:val="1F2733"/>
          <w:sz w:val="21"/>
          <w:szCs w:val="21"/>
        </w:rPr>
        <w:t xml:space="preserve">, not lagging one. Ripple </w:t>
      </w:r>
      <w:r>
        <w:rPr>
          <w:rFonts w:ascii="Georgia" w:cs="Georgia" w:eastAsia="Georgia" w:hAnsi="Georgia"/>
          <w:b/>
          <w:bCs/>
          <w:color w:val="C00000"/>
          <w:sz w:val="21"/>
          <w:szCs w:val="21"/>
        </w:rPr>
        <w:t xml:space="preserve">is modeled</w:t>
      </w:r>
      <w:r>
        <w:rPr>
          <w:rFonts w:ascii="Georgia" w:cs="Georgia" w:eastAsia="Georgia" w:hAnsi="Georgia"/>
          <w:color w:val="1F2733"/>
          <w:sz w:val="21"/>
          <w:szCs w:val="21"/>
        </w:rPr>
        <w:t xml:space="preserve"> at $19.8 billion against both a $40 billion round and its own $50 billion March tender; Kraken sits 41% below its last round at $11.8 billion </w:t>
      </w:r>
      <w:r>
        <w:rPr>
          <w:rFonts w:ascii="Georgia" w:cs="Georgia" w:eastAsia="Georgia" w:hAnsi="Georgia"/>
          <w:b/>
          <w:bCs/>
          <w:color w:val="C00000"/>
          <w:sz w:val="21"/>
          <w:szCs w:val="21"/>
        </w:rPr>
        <w:t xml:space="preserve">on the model</w:t>
      </w:r>
      <w:r>
        <w:rPr>
          <w:rFonts w:ascii="Georgia" w:cs="Georgia" w:eastAsia="Georgia" w:hAnsi="Georgia"/>
          <w:color w:val="1F2733"/>
          <w:sz w:val="21"/>
          <w:szCs w:val="21"/>
        </w:rPr>
        <w:t xml:space="preserve">, within 3% of Forge's independent $12.19 billion mark. Both have listings pending.</w:t>
      </w:r>
    </w:p>
    <w:p>
      <w:pPr>
        <w:spacing w:after="160" w:line="276"/>
      </w:pPr>
      <w:r>
        <w:rPr>
          <w:rFonts w:ascii="Georgia" w:cs="Georgia" w:eastAsia="Georgia" w:hAnsi="Georgia"/>
          <w:color w:val="1F2733"/>
          <w:sz w:val="21"/>
          <w:szCs w:val="21"/>
        </w:rPr>
        <w:t xml:space="preserve">Cursor marks the instrument's limit. SpaceX agreed to buy it for $60 billion in stock on June 16, yet the </w:t>
      </w:r>
      <w:r>
        <w:rPr>
          <w:rFonts w:ascii="Georgia" w:cs="Georgia" w:eastAsia="Georgia" w:hAnsi="Georgia"/>
          <w:b/>
          <w:bCs/>
          <w:color w:val="C00000"/>
          <w:sz w:val="21"/>
          <w:szCs w:val="21"/>
        </w:rPr>
        <w:t xml:space="preserve">model</w:t>
      </w:r>
      <w:r>
        <w:rPr>
          <w:rFonts w:ascii="Georgia" w:cs="Georgia" w:eastAsia="Georgia" w:hAnsi="Georgia"/>
          <w:color w:val="1F2733"/>
          <w:sz w:val="21"/>
          <w:szCs w:val="21"/>
        </w:rPr>
        <w:t xml:space="preserve"> mark never moved: $36.3 billion that day, $32.8 billion at quarter-end. Nothing has traded since April 20. Between prints, the price is modeled, not discovered.</w:t>
      </w:r>
    </w:p>
    <w:p>
      <w:pPr>
        <w:spacing w:after="160" w:line="276"/>
      </w:pPr>
      <w:r>
        <w:rPr>
          <w:rFonts w:ascii="Georgia" w:cs="Georgia" w:eastAsia="Georgia" w:hAnsi="Georgia"/>
          <w:color w:val="1F2733"/>
          <w:sz w:val="21"/>
          <w:szCs w:val="21"/>
        </w:rPr>
        <w:t xml:space="preserve">The larger risk is float. SpaceX, 13.1% of all secondary volume since 2024, is now public; Cerebras is gone, Cursor is under agreement, and Anthropic and OpenAI have filed. The five largest names are a third of lifetime volume, and most are leaving. Whether the tape holds through 2027 depends on the next tier carrying the cadence.</w:t>
      </w:r>
    </w:p>
    <w:p>
      <w:pPr>
        <w:pStyle w:val="Heading1"/>
        <w:pBdr>
          <w:bottom w:val="single" w:color="C9D2E0" w:sz="6" w:space="6"/>
        </w:pBdr>
        <w:spacing w:after="140" w:before="320"/>
      </w:pPr>
      <w:r>
        <w:rPr>
          <w:rFonts w:ascii="Arial" w:cs="Arial" w:eastAsia="Arial" w:hAnsi="Arial"/>
          <w:b/>
          <w:bCs/>
          <w:color w:val="1A2744"/>
          <w:sz w:val="26"/>
          <w:szCs w:val="26"/>
        </w:rPr>
        <w:t xml:space="preserve">Exits</w:t>
      </w:r>
    </w:p>
    <w:p>
      <w:pPr>
        <w:pStyle w:val="Heading2"/>
        <w:spacing w:after="70" w:before="220"/>
      </w:pPr>
      <w:r>
        <w:rPr>
          <w:rFonts w:ascii="Arial" w:cs="Arial" w:eastAsia="Arial" w:hAnsi="Arial"/>
          <w:b/>
          <w:bCs/>
          <w:color w:val="1A2744"/>
          <w:sz w:val="21"/>
          <w:szCs w:val="21"/>
        </w:rPr>
        <w:t xml:space="preserve">A quarter one company made</w:t>
      </w:r>
    </w:p>
    <w:p>
      <w:pPr>
        <w:spacing w:after="160" w:line="276"/>
      </w:pPr>
      <w:r>
        <w:rPr>
          <w:rFonts w:ascii="Georgia" w:cs="Georgia" w:eastAsia="Georgia" w:hAnsi="Georgia"/>
          <w:color w:val="1F2733"/>
          <w:sz w:val="21"/>
          <w:szCs w:val="21"/>
        </w:rPr>
        <w:t xml:space="preserve">Unicorns generated $1.78 trillion of exit value in Q2 2026 across 21 completed exits, 6.8 times the previous record quarter and more than the eight years from 2016 through 2023 combined. SpaceX </w:t>
      </w:r>
      <w:r>
        <w:rPr>
          <w:rFonts w:ascii="Georgia" w:cs="Georgia" w:eastAsia="Georgia" w:hAnsi="Georgia"/>
          <w:b/>
          <w:bCs/>
          <w:color w:val="C00000"/>
          <w:sz w:val="21"/>
          <w:szCs w:val="21"/>
        </w:rPr>
        <w:t xml:space="preserve">alone</w:t>
      </w:r>
      <w:r>
        <w:rPr>
          <w:rFonts w:ascii="Georgia" w:cs="Georgia" w:eastAsia="Georgia" w:hAnsi="Georgia"/>
          <w:color w:val="1F2733"/>
          <w:sz w:val="21"/>
          <w:szCs w:val="21"/>
        </w:rPr>
        <w:t xml:space="preserve"> comprised 94.9% of it, with the next five biggest exits making up </w:t>
      </w:r>
      <w:r>
        <w:rPr>
          <w:rFonts w:ascii="Georgia" w:cs="Georgia" w:eastAsia="Georgia" w:hAnsi="Georgia"/>
          <w:b/>
          <w:bCs/>
          <w:color w:val="C00000"/>
          <w:sz w:val="21"/>
          <w:szCs w:val="21"/>
        </w:rPr>
        <w:t xml:space="preserve">just</w:t>
      </w:r>
      <w:r>
        <w:rPr>
          <w:rFonts w:ascii="Georgia" w:cs="Georgia" w:eastAsia="Georgia" w:hAnsi="Georgia"/>
          <w:color w:val="1F2733"/>
          <w:sz w:val="21"/>
          <w:szCs w:val="21"/>
        </w:rPr>
        <w:t xml:space="preserve"> 4%.</w:t>
      </w:r>
    </w:p>
    <w:p>
      <w:pPr>
        <w:spacing w:after="160" w:line="276"/>
      </w:pPr>
      <w:r>
        <w:rPr>
          <w:rFonts w:ascii="Georgia" w:cs="Georgia" w:eastAsia="Georgia" w:hAnsi="Georgia"/>
          <w:color w:val="1F2733"/>
          <w:sz w:val="21"/>
          <w:szCs w:val="21"/>
        </w:rPr>
        <w:t xml:space="preserve">Unicorn exit value was robust even when excluding SpaceX, topping $90.4 billion across 20 exits, still the strongest quarter since Q4 2021. Underneath the one listing that has no precedent and will have no sequel, a working mid-market has quietly </w:t>
      </w:r>
      <w:r>
        <w:rPr>
          <w:rFonts w:ascii="Georgia" w:cs="Georgia" w:eastAsia="Georgia" w:hAnsi="Georgia"/>
          <w:b/>
          <w:bCs/>
          <w:color w:val="C00000"/>
          <w:sz w:val="21"/>
          <w:szCs w:val="21"/>
        </w:rPr>
        <w:t xml:space="preserve">reopened.</w:t>
      </w:r>
    </w:p>
    <w:p>
      <w:pPr>
        <w:spacing w:after="160" w:line="276"/>
      </w:pPr>
      <w:r>
        <w:rPr>
          <w:rFonts w:ascii="Georgia" w:cs="Georgia" w:eastAsia="Georgia" w:hAnsi="Georgia"/>
          <w:color w:val="1F2733"/>
          <w:sz w:val="21"/>
          <w:szCs w:val="21"/>
        </w:rPr>
        <w:t xml:space="preserve">More broadly, </w:t>
      </w:r>
      <w:r>
        <w:rPr>
          <w:rFonts w:ascii="Georgia" w:cs="Georgia" w:eastAsia="Georgia" w:hAnsi="Georgia"/>
          <w:b/>
          <w:bCs/>
          <w:color w:val="C00000"/>
          <w:sz w:val="21"/>
          <w:szCs w:val="21"/>
        </w:rPr>
        <w:t xml:space="preserve">first-half exit value of $2.11 trillion nets to $170.7 billion once SpaceX’s IPO and the $250 billion February acquisition of xAI are excluded (the $420.7 billion figure in the overview strips only the IPO), and that</w:t>
      </w:r>
      <w:r>
        <w:rPr>
          <w:rFonts w:ascii="Georgia" w:cs="Georgia" w:eastAsia="Georgia" w:hAnsi="Georgia"/>
          <w:color w:val="1F2733"/>
          <w:sz w:val="21"/>
          <w:szCs w:val="21"/>
        </w:rPr>
        <w:t xml:space="preserve"> annualizes to roughly 1.7 times full-year 2025. We believe this is still a real recovery, albeit at a lower pace than the headline advertises.</w:t>
      </w:r>
    </w:p>
    <w:p>
      <w:pPr>
        <w:spacing w:after="160" w:line="276"/>
      </w:pPr>
      <w:r>
        <w:rPr>
          <w:rFonts w:ascii="Georgia" w:cs="Georgia" w:eastAsia="Georgia" w:hAnsi="Georgia"/>
          <w:color w:val="1F2733"/>
          <w:sz w:val="21"/>
          <w:szCs w:val="21"/>
        </w:rPr>
        <w:t xml:space="preserve">These were not quick exits: SpaceX took 24 years from founding to list, Cerebras 10. Median time to exit fell to 8.47 years in the first half from a record 9.17 in 2025, but we expect it to extend rather than compress from here, as the 2021 vintage, now five years old and still largely unexited, reaches the window.</w:t>
      </w:r>
    </w:p>
    <w:p>
      <w:pPr>
        <w:shd w:fill="F3F6FB" w:color="auto" w:val="clear"/>
        <w:spacing w:after="160" w:before="120"/>
      </w:pPr>
      <w:r>
        <w:rPr>
          <w:rFonts w:ascii="Arial" w:cs="Arial" w:eastAsia="Arial" w:hAnsi="Arial"/>
          <w:b w:val="false"/>
          <w:bCs w:val="false"/>
          <w:i/>
          <w:iCs/>
          <w:color w:val="55637A"/>
          <w:sz w:val="19"/>
          <w:szCs w:val="19"/>
        </w:rPr>
        <w:t xml:space="preserve">CHART: Two deals carry the record</w:t>
      </w:r>
    </w:p>
    <w:p>
      <w:pPr>
        <w:pStyle w:val="Heading2"/>
        <w:spacing w:after="70" w:before="220"/>
      </w:pPr>
      <w:r>
        <w:rPr>
          <w:rFonts w:ascii="Arial" w:cs="Arial" w:eastAsia="Arial" w:hAnsi="Arial"/>
          <w:b/>
          <w:bCs/>
          <w:color w:val="1A2744"/>
          <w:sz w:val="21"/>
          <w:szCs w:val="21"/>
        </w:rPr>
        <w:t xml:space="preserve">The channel that quietly reopened</w:t>
      </w:r>
    </w:p>
    <w:p>
      <w:pPr>
        <w:spacing w:after="160" w:line="276"/>
      </w:pPr>
      <w:r>
        <w:rPr>
          <w:rFonts w:ascii="Georgia" w:cs="Georgia" w:eastAsia="Georgia" w:hAnsi="Georgia"/>
          <w:color w:val="1F2733"/>
          <w:sz w:val="21"/>
          <w:szCs w:val="21"/>
        </w:rPr>
        <w:t xml:space="preserve">Acquisitions have returned as a viable exit path for unicorns, </w:t>
      </w:r>
      <w:r>
        <w:rPr>
          <w:rFonts w:ascii="Georgia" w:cs="Georgia" w:eastAsia="Georgia" w:hAnsi="Georgia"/>
          <w:b/>
          <w:bCs/>
          <w:color w:val="C00000"/>
          <w:sz w:val="21"/>
          <w:szCs w:val="21"/>
        </w:rPr>
        <w:t xml:space="preserve">with</w:t>
      </w:r>
      <w:r>
        <w:rPr>
          <w:rFonts w:ascii="Georgia" w:cs="Georgia" w:eastAsia="Georgia" w:hAnsi="Georgia"/>
          <w:color w:val="1F2733"/>
          <w:sz w:val="21"/>
          <w:szCs w:val="21"/>
        </w:rPr>
        <w:t xml:space="preserve"> public strategics paying up for data, security and AI infrastructure. Strategic buyers took out $300.5 billion of unicorn value in the first half against $18.9 billion in all of 2025, or $50.5 billion excluding xAI. That smaller figure still came across just 16 deals versus 25 the year before, so the average strategic acquisition roughly quadrupled to $3.2 billion even as the count fell.</w:t>
      </w:r>
    </w:p>
    <w:p>
      <w:pPr>
        <w:spacing w:after="160" w:line="276"/>
      </w:pPr>
      <w:r>
        <w:rPr>
          <w:rFonts w:ascii="Georgia" w:cs="Georgia" w:eastAsia="Georgia" w:hAnsi="Georgia"/>
          <w:color w:val="1F2733"/>
          <w:sz w:val="21"/>
          <w:szCs w:val="21"/>
        </w:rPr>
        <w:t xml:space="preserve">For a cohort of unicorns that raised at 2021 prices and has been waiting for an IPO window, this matters more than the SpaceX headline. A $3 billion strategic sale is now an available outcome in a way it was not in 2023 or 2024, and it clears the cap table without the lockup, the float management, or the aftermarket risk that the listings below carry.</w:t>
      </w:r>
    </w:p>
    <w:p>
      <w:pPr>
        <w:spacing w:after="160" w:line="276"/>
      </w:pPr>
      <w:r>
        <w:rPr>
          <w:rFonts w:ascii="Georgia" w:cs="Georgia" w:eastAsia="Georgia" w:hAnsi="Georgia"/>
          <w:color w:val="1F2733"/>
          <w:sz w:val="21"/>
          <w:szCs w:val="21"/>
        </w:rPr>
        <w:t xml:space="preserve">TABLE: The ten largest unicorn exits of Q2 2026</w:t>
      </w:r>
    </w:p>
    <w:p>
      <w:pPr>
        <w:spacing w:after="160" w:line="276"/>
      </w:pPr>
      <w:r>
        <w:rPr>
          <w:rFonts w:ascii="Georgia" w:cs="Georgia" w:eastAsia="Georgia" w:hAnsi="Georgia"/>
          <w:color w:val="1F2733"/>
          <w:sz w:val="21"/>
          <w:szCs w:val="21"/>
        </w:rPr>
        <w:t xml:space="preserve">Company Closed Type Exit size ($B) Counterparty / venue</w:t>
      </w:r>
    </w:p>
    <w:p>
      <w:pPr>
        <w:spacing w:after="160" w:line="276"/>
      </w:pPr>
      <w:r>
        <w:rPr>
          <w:rFonts w:ascii="Georgia" w:cs="Georgia" w:eastAsia="Georgia" w:hAnsi="Georgia"/>
          <w:color w:val="1F2733"/>
          <w:sz w:val="21"/>
          <w:szCs w:val="21"/>
        </w:rPr>
        <w:t xml:space="preserve">SpaceX Jun 12 IPO 1,690.2 Nasdaq</w:t>
      </w:r>
    </w:p>
    <w:p>
      <w:pPr>
        <w:spacing w:after="160" w:line="276"/>
      </w:pPr>
      <w:r>
        <w:rPr>
          <w:rFonts w:ascii="Georgia" w:cs="Georgia" w:eastAsia="Georgia" w:hAnsi="Georgia"/>
          <w:color w:val="1F2733"/>
          <w:sz w:val="21"/>
          <w:szCs w:val="21"/>
        </w:rPr>
        <w:t xml:space="preserve">Cerebras Systems May 14 IPO 34.2 Nasdaq</w:t>
      </w:r>
    </w:p>
    <w:p>
      <w:pPr>
        <w:spacing w:after="160" w:line="276"/>
      </w:pPr>
      <w:r>
        <w:rPr>
          <w:rFonts w:ascii="Georgia" w:cs="Georgia" w:eastAsia="Georgia" w:hAnsi="Georgia"/>
          <w:color w:val="1F2733"/>
          <w:sz w:val="21"/>
          <w:szCs w:val="21"/>
        </w:rPr>
        <w:t xml:space="preserve">Quantinuum Jun 4 IPO 14.0 Nasdaq</w:t>
      </w:r>
    </w:p>
    <w:p>
      <w:pPr>
        <w:spacing w:after="160" w:line="276"/>
      </w:pPr>
      <w:r>
        <w:rPr>
          <w:rFonts w:ascii="Georgia" w:cs="Georgia" w:eastAsia="Georgia" w:hAnsi="Georgia"/>
          <w:color w:val="1F2733"/>
          <w:sz w:val="21"/>
          <w:szCs w:val="21"/>
        </w:rPr>
        <w:t xml:space="preserve">HKC Corporation Jun 26 IPO 9.8 Shenzhen</w:t>
      </w:r>
    </w:p>
    <w:p>
      <w:pPr>
        <w:spacing w:after="160" w:line="276"/>
      </w:pPr>
      <w:r>
        <w:rPr>
          <w:rFonts w:ascii="Georgia" w:cs="Georgia" w:eastAsia="Georgia" w:hAnsi="Georgia"/>
          <w:color w:val="1F2733"/>
          <w:sz w:val="21"/>
          <w:szCs w:val="21"/>
        </w:rPr>
        <w:t xml:space="preserve">Armis Apr 20 Acquisition 7.8 ServiceNow</w:t>
      </w:r>
    </w:p>
    <w:p>
      <w:pPr>
        <w:spacing w:after="160" w:line="276"/>
      </w:pPr>
      <w:r>
        <w:rPr>
          <w:rFonts w:ascii="Georgia" w:cs="Georgia" w:eastAsia="Georgia" w:hAnsi="Georgia"/>
          <w:color w:val="1F2733"/>
          <w:sz w:val="21"/>
          <w:szCs w:val="21"/>
        </w:rPr>
        <w:t xml:space="preserve">Fervo Energy May 13 IPO 5.8 Nasdaq</w:t>
      </w:r>
    </w:p>
    <w:p>
      <w:pPr>
        <w:spacing w:after="160" w:line="276"/>
      </w:pPr>
      <w:r>
        <w:rPr>
          <w:rFonts w:ascii="Georgia" w:cs="Georgia" w:eastAsia="Georgia" w:hAnsi="Georgia"/>
          <w:color w:val="1F2733"/>
          <w:sz w:val="21"/>
          <w:szCs w:val="21"/>
        </w:rPr>
        <w:t xml:space="preserve">Brex Apr 7 Acquisition 5.2 Capital One</w:t>
      </w:r>
    </w:p>
    <w:p>
      <w:pPr>
        <w:spacing w:after="160" w:line="276"/>
      </w:pPr>
      <w:r>
        <w:rPr>
          <w:rFonts w:ascii="Georgia" w:cs="Georgia" w:eastAsia="Georgia" w:hAnsi="Georgia"/>
          <w:color w:val="1F2733"/>
          <w:sz w:val="21"/>
          <w:szCs w:val="21"/>
        </w:rPr>
        <w:t xml:space="preserve">dbt Labs Jun 1 Acquisition 3.0 Fivetran</w:t>
      </w:r>
    </w:p>
    <w:p>
      <w:pPr>
        <w:spacing w:after="160" w:line="276"/>
      </w:pPr>
      <w:r>
        <w:rPr>
          <w:rFonts w:ascii="Georgia" w:cs="Georgia" w:eastAsia="Georgia" w:hAnsi="Georgia"/>
          <w:color w:val="1F2733"/>
          <w:sz w:val="21"/>
          <w:szCs w:val="21"/>
        </w:rPr>
        <w:t xml:space="preserve">HawkEye 360 May 6 IPO 2.0 Nasdaq</w:t>
      </w:r>
    </w:p>
    <w:p>
      <w:pPr>
        <w:spacing w:after="160" w:line="276"/>
      </w:pPr>
      <w:r>
        <w:rPr>
          <w:rFonts w:ascii="Georgia" w:cs="Georgia" w:eastAsia="Georgia" w:hAnsi="Georgia"/>
          <w:color w:val="1F2733"/>
          <w:sz w:val="21"/>
          <w:szCs w:val="21"/>
        </w:rPr>
        <w:t xml:space="preserve">Manycore Tech Apr 17 IPO 1.5 Hong Kong</w:t>
      </w:r>
    </w:p>
    <w:p>
      <w:pPr>
        <w:pStyle w:val="Heading2"/>
        <w:spacing w:after="70" w:before="220"/>
      </w:pPr>
      <w:r>
        <w:rPr>
          <w:rFonts w:ascii="Arial" w:cs="Arial" w:eastAsia="Arial" w:hAnsi="Arial"/>
          <w:b/>
          <w:bCs/>
          <w:color w:val="1A2744"/>
          <w:sz w:val="21"/>
          <w:szCs w:val="21"/>
        </w:rPr>
        <w:t xml:space="preserve">Pricing the window: the balancing act</w:t>
      </w:r>
    </w:p>
    <w:p>
      <w:pPr>
        <w:spacing w:after="160" w:line="276"/>
      </w:pPr>
      <w:r>
        <w:rPr>
          <w:rFonts w:ascii="Georgia" w:cs="Georgia" w:eastAsia="Georgia" w:hAnsi="Georgia"/>
          <w:color w:val="1F2733"/>
          <w:sz w:val="21"/>
          <w:szCs w:val="21"/>
        </w:rPr>
        <w:t xml:space="preserve">Pricing shares remains one of the biggest challenges for issuers. The median unicorn listing gained 22.1% on its first day in 2021, collapsed to between 1.6% and 4.1% across the 2022 to 2024 drought, then returned to 32.2% in 2025 and 16.3% in the first half of 2026, with Q2 alone at 28.3%. Issuers are again leaving meaningful value on the table, the reliable signature of a window that has reopened faster than underwriters can calibrate to it.</w:t>
      </w:r>
    </w:p>
    <w:p>
      <w:pPr>
        <w:shd w:fill="F3F6FB" w:color="auto" w:val="clear"/>
        <w:spacing w:after="160" w:before="120"/>
      </w:pPr>
      <w:r>
        <w:rPr>
          <w:rFonts w:ascii="Arial" w:cs="Arial" w:eastAsia="Arial" w:hAnsi="Arial"/>
          <w:b w:val="false"/>
          <w:bCs w:val="false"/>
          <w:i/>
          <w:iCs/>
          <w:color w:val="55637A"/>
          <w:sz w:val="19"/>
          <w:szCs w:val="19"/>
        </w:rPr>
        <w:t xml:space="preserve">CHART: Underpricing came back with the window</w:t>
      </w:r>
    </w:p>
    <w:p>
      <w:pPr>
        <w:spacing w:after="160" w:line="276"/>
      </w:pPr>
      <w:r>
        <w:rPr>
          <w:rFonts w:ascii="Georgia" w:cs="Georgia" w:eastAsia="Georgia" w:hAnsi="Georgia"/>
          <w:color w:val="1F2733"/>
          <w:sz w:val="21"/>
          <w:szCs w:val="21"/>
        </w:rPr>
        <w:t xml:space="preserve">The median US listing closed its first day 35.3% above its offer price and the median Chinese listing 21.3% above, with eight of the ten carrying pricing data clearing above the level their bankers set. The dollars concentrate in two names. Cerebras priced at $185 and closed at $311.07, a 68.1% gain on a $5.5 billion raise; the same dilution at the clearing price raises roughly $9.3 billion, so $3.7 billion moved from the company and its existing holders to whoever received an allocation. SpaceX's 19.2% gain on an $86 billion raise cost roughly $16.5 billion, larger in dollars and milder in proportion.</w:t>
      </w:r>
    </w:p>
    <w:p>
      <w:pPr>
        <w:spacing w:after="160" w:line="276"/>
      </w:pPr>
      <w:r>
        <w:rPr>
          <w:rFonts w:ascii="Georgia" w:cs="Georgia" w:eastAsia="Georgia" w:hAnsi="Georgia"/>
          <w:color w:val="1F2733"/>
          <w:sz w:val="21"/>
          <w:szCs w:val="21"/>
        </w:rPr>
        <w:t xml:space="preserve">That is half the ledger. A first-day gain is a transfer only if it survives, and on this cohort it has not. Q2's listings trail the Morningstar Global Markets index by a median 6.1% within seven days and 6.8% within 30, and the longer series keeps decaying, from 2.3% at seven days to 28.3% at 180 across </w:t>
      </w:r>
      <w:r>
        <w:rPr>
          <w:rFonts w:ascii="Georgia" w:cs="Georgia" w:eastAsia="Georgia" w:hAnsi="Georgia"/>
          <w:b/>
          <w:bCs/>
          <w:color w:val="C00000"/>
          <w:sz w:val="21"/>
          <w:szCs w:val="21"/>
        </w:rPr>
        <w:t xml:space="preserve">the</w:t>
      </w:r>
      <w:r>
        <w:rPr>
          <w:rFonts w:ascii="Georgia" w:cs="Georgia" w:eastAsia="Georgia" w:hAnsi="Georgia"/>
          <w:color w:val="1F2733"/>
          <w:sz w:val="21"/>
          <w:szCs w:val="21"/>
        </w:rPr>
        <w:t xml:space="preserve"> 346 listings since 2016 </w:t>
      </w:r>
      <w:r>
        <w:rPr>
          <w:rFonts w:ascii="Georgia" w:cs="Georgia" w:eastAsia="Georgia" w:hAnsi="Georgia"/>
          <w:b/>
          <w:bCs/>
          <w:color w:val="C00000"/>
          <w:sz w:val="21"/>
          <w:szCs w:val="21"/>
        </w:rPr>
        <w:t xml:space="preserve">(290 carry index-relative returns and 277 carry both first-day and 30-day figures, the populations used below)</w:t>
      </w:r>
      <w:r>
        <w:rPr>
          <w:rFonts w:ascii="Georgia" w:cs="Georgia" w:eastAsia="Georgia" w:hAnsi="Georgia"/>
          <w:color w:val="1F2733"/>
          <w:sz w:val="21"/>
          <w:szCs w:val="21"/>
        </w:rPr>
        <w:t xml:space="preserve">. Cerebras traded at $188.61 on July 27, barely above its offer, and SpaceX at $113.50, below its own. Day-one allocatees who held captured a fraction of the paper transfer, and in SpaceX's case none of it.</w:t>
      </w:r>
    </w:p>
    <w:p>
      <w:pPr>
        <w:spacing w:after="160" w:line="276"/>
      </w:pPr>
      <w:r>
        <w:rPr>
          <w:rFonts w:ascii="Georgia" w:cs="Georgia" w:eastAsia="Georgia" w:hAnsi="Georgia"/>
          <w:color w:val="1F2733"/>
          <w:sz w:val="21"/>
          <w:szCs w:val="21"/>
        </w:rPr>
        <w:t xml:space="preserve">Within the quarter the two sides line up almost exactly, which makes pricing a trade-off rather than a one-way cost to the issuer. Rank the eight Q2 listings carrying both figures by first-day gain and the 30-day excess return runs the other way. Viewtrix popped 91.7% and gave back 14.4%, Cerebras popped 68.1% and gave back 32.7%, while Quantinuum priced within 0.6% of its clearing level and beat the index by 21.7% and UISEE priced below its clearing level and beat the index by 64.9%. The rank correlation across the eight is −0.86.</w:t>
      </w:r>
    </w:p>
    <w:p>
      <w:pPr>
        <w:spacing w:after="160" w:line="276"/>
      </w:pPr>
      <w:r>
        <w:rPr>
          <w:rFonts w:ascii="Georgia" w:cs="Georgia" w:eastAsia="Georgia" w:hAnsi="Georgia"/>
          <w:color w:val="1F2733"/>
          <w:sz w:val="21"/>
          <w:szCs w:val="21"/>
        </w:rPr>
        <w:t xml:space="preserve">Eight names is not a law, and the full record says so. Across 277 listings carrying both figures the same correlation is +0.005, and sorting them into quartiles by first-day gain produces no ordering at 180 days. Q2 shows what a fast window looks like from the inside. When the pop is sentiment rather than information it decays, and the issuer who priced tight kept both the proceeds and the tape.</w:t>
      </w:r>
    </w:p>
    <w:p>
      <w:pPr>
        <w:shd w:fill="F3F6FB" w:color="auto" w:val="clear"/>
        <w:spacing w:after="160" w:before="120"/>
      </w:pPr>
      <w:r>
        <w:rPr>
          <w:rFonts w:ascii="Arial" w:cs="Arial" w:eastAsia="Arial" w:hAnsi="Arial"/>
          <w:b w:val="false"/>
          <w:bCs w:val="false"/>
          <w:i/>
          <w:iCs/>
          <w:color w:val="55637A"/>
          <w:sz w:val="19"/>
          <w:szCs w:val="19"/>
        </w:rPr>
        <w:t xml:space="preserve">CHART: Priced hot, gave it back</w:t>
      </w:r>
    </w:p>
    <w:p>
      <w:pPr>
        <w:spacing w:after="160" w:line="276"/>
      </w:pPr>
      <w:r>
        <w:rPr>
          <w:rFonts w:ascii="Georgia" w:cs="Georgia" w:eastAsia="Georgia" w:hAnsi="Georgia"/>
          <w:color w:val="1F2733"/>
          <w:sz w:val="21"/>
          <w:szCs w:val="21"/>
        </w:rPr>
        <w:t xml:space="preserve">Underpricing also leads issuance, which the pricing debate usually leaves out. Ibbotson and Jaffe documented in 1975 that months of high initial returns bring heavier volume behind them, and Lowry and Schwert settled the direction in 2002, finding that returns lead volume rather than the reverse because information learned while early deals sit in registration pulls the next cohort forward. Our own tape reproduces it. Across the 35 quarters since 2016 carrying at least three unicorn listings, a quarter's median first-day gain has a rank correlation of +0.42 with the next quarter's listing count and +0.40 with the quarter after, and running the test backwards it disappears at +0.03. Quarters pricing above the 14.6% series median were followed by a median 22.5 listings over the next two quarters, against 12.0 after the cold ones.</w:t>
      </w:r>
    </w:p>
    <w:p>
      <w:pPr>
        <w:spacing w:after="160" w:line="276"/>
      </w:pPr>
      <w:r>
        <w:rPr>
          <w:rFonts w:ascii="Georgia" w:cs="Georgia" w:eastAsia="Georgia" w:hAnsi="Georgia"/>
          <w:color w:val="1F2733"/>
          <w:sz w:val="21"/>
          <w:szCs w:val="21"/>
        </w:rPr>
        <w:t xml:space="preserve">Most of that strength sits in one cycle. Strip 2020 and 2021 and the correlation falls to +0.29 and the hot-quarter advantage narrows to 16.0 listings against 13.0. The direction survives, the magnitude does not. Q2's first-day gains still argue for a heavier back half, and they argue for one at the moment the tape turned. Scale is the aggravating factor, with four of the 31 unicorn listings above $10 billion beating the benchmark over 180 days and the median trailing it by 43.8%. Anthropic and OpenAI are pricing into a signal that says come now and a record that says the biggest deals do worst.</w:t>
      </w:r>
    </w:p>
    <w:p>
      <w:pPr>
        <w:spacing w:after="160" w:line="276"/>
      </w:pPr>
      <w:r>
        <w:rPr>
          <w:rFonts w:ascii="Georgia" w:cs="Georgia" w:eastAsia="Georgia" w:hAnsi="Georgia"/>
          <w:color w:val="1F2733"/>
          <w:sz w:val="21"/>
          <w:szCs w:val="21"/>
        </w:rPr>
        <w:t xml:space="preserve">That contradiction has a date on it. SpaceX's August 6 lock-up frees roughly 900 million insider shares into a stock already below its offer, and the two largest names in the queue are choosing their timing against that tape rather than against their own readiness. Consensus has Anthropic on Nasdaq in October and OpenAI weighing 2027 rather than the fourth-quarter debut it had signalled. We expect a clean absorption keeps the October listing live, and a second leg down pushes both names into 2027 regardless of what their own books look like. The issuance signal Q2 sent would then go unanswered, which is how hot windows have always closed.</w:t>
      </w:r>
    </w:p>
    <w:p>
      <w:pPr>
        <w:pStyle w:val="Heading1"/>
        <w:pBdr>
          <w:bottom w:val="single" w:color="C9D2E0" w:sz="6" w:space="6"/>
        </w:pBdr>
        <w:spacing w:after="140" w:before="320"/>
      </w:pPr>
      <w:r>
        <w:rPr>
          <w:rFonts w:ascii="Arial" w:cs="Arial" w:eastAsia="Arial" w:hAnsi="Arial"/>
          <w:b/>
          <w:bCs/>
          <w:color w:val="1A2744"/>
          <w:sz w:val="26"/>
          <w:szCs w:val="26"/>
        </w:rPr>
        <w:t xml:space="preserve">Performance</w:t>
      </w:r>
    </w:p>
    <w:p>
      <w:pPr>
        <w:pStyle w:val="Heading2"/>
        <w:spacing w:after="70" w:before="220"/>
      </w:pPr>
      <w:r>
        <w:rPr>
          <w:rFonts w:ascii="Arial" w:cs="Arial" w:eastAsia="Arial" w:hAnsi="Arial"/>
          <w:b/>
          <w:bCs/>
          <w:color w:val="1A2744"/>
          <w:sz w:val="21"/>
          <w:szCs w:val="21"/>
        </w:rPr>
        <w:t xml:space="preserve">Record-breaking performance...</w:t>
      </w:r>
    </w:p>
    <w:p>
      <w:pPr>
        <w:spacing w:after="160" w:line="276"/>
      </w:pPr>
      <w:r>
        <w:rPr>
          <w:rFonts w:ascii="Georgia" w:cs="Georgia" w:eastAsia="Georgia" w:hAnsi="Georgia"/>
          <w:color w:val="1F2733"/>
          <w:sz w:val="21"/>
          <w:szCs w:val="21"/>
        </w:rPr>
        <w:t xml:space="preserve">Underneath the veil of another quarterly record, Unicorn valuation growth is keeping up with public counterparts. The Morningstar PitchBook Global Unicorn Index posted its strongest quarter in over a decade, outpacing the Morningstar Global TME Index by 28 percentage points. YTD, it is up 60.6% against 11.2% for the TME, with the US Unicorn Index at 85.1%.</w:t>
      </w:r>
    </w:p>
    <w:p>
      <w:pPr>
        <w:spacing w:after="160" w:line="276"/>
      </w:pPr>
      <w:r>
        <w:rPr>
          <w:rFonts w:ascii="Georgia" w:cs="Georgia" w:eastAsia="Georgia" w:hAnsi="Georgia"/>
          <w:color w:val="1F2733"/>
          <w:sz w:val="21"/>
          <w:szCs w:val="21"/>
        </w:rPr>
        <w:t xml:space="preserve">We do not read that as broad private-market appreciation. Rather, the gain is a valuation step-up on a handful of newly public names, captured as they re-rated from their last private marks through IPO pricing to the first-day pop.</w:t>
      </w:r>
    </w:p>
    <w:p>
      <w:pPr>
        <w:pStyle w:val="Heading2"/>
        <w:spacing w:after="70" w:before="220"/>
      </w:pPr>
      <w:r>
        <w:rPr>
          <w:rFonts w:ascii="Arial" w:cs="Arial" w:eastAsia="Arial" w:hAnsi="Arial"/>
          <w:b/>
          <w:bCs/>
          <w:color w:val="1A2744"/>
          <w:sz w:val="21"/>
          <w:szCs w:val="21"/>
        </w:rPr>
        <w:t xml:space="preserve">... driven by large unicorns going public</w:t>
      </w:r>
    </w:p>
    <w:p>
      <w:pPr>
        <w:spacing w:after="160" w:line="276"/>
      </w:pPr>
      <w:r>
        <w:rPr>
          <w:rFonts w:ascii="Georgia" w:cs="Georgia" w:eastAsia="Georgia" w:hAnsi="Georgia"/>
          <w:color w:val="1F2733"/>
          <w:sz w:val="21"/>
          <w:szCs w:val="21"/>
        </w:rPr>
        <w:t xml:space="preserve">Three trading days produced 26.4 of the quarter's 42.7 percentage points. Strip them and the global index returns 16.3% against the benchmark's 14.9%, a quarter of rough parity rather than divergence.</w:t>
      </w:r>
    </w:p>
    <w:p>
      <w:pPr>
        <w:spacing w:after="160" w:line="276"/>
      </w:pPr>
      <w:r>
        <w:rPr>
          <w:rFonts w:ascii="Georgia" w:cs="Georgia" w:eastAsia="Georgia" w:hAnsi="Georgia"/>
          <w:color w:val="1F2733"/>
          <w:sz w:val="21"/>
          <w:szCs w:val="21"/>
        </w:rPr>
        <w:t xml:space="preserve">On June 15, the first trading day after SpaceX listed, its carrying value moved from $1.38 trillion to $2.28 trillion, a 66.0% single-day gain. Cerebras supplied June 2 and June 18, both moves in its post-listing public price. The two largest contributors to the private index this quarter were companies that had stopped being private.</w:t>
      </w:r>
    </w:p>
    <w:p>
      <w:pPr>
        <w:spacing w:after="160" w:line="276"/>
      </w:pPr>
      <w:r>
        <w:rPr>
          <w:rFonts w:ascii="Georgia" w:cs="Georgia" w:eastAsia="Georgia" w:hAnsi="Georgia"/>
          <w:color w:val="1F2733"/>
          <w:sz w:val="21"/>
          <w:szCs w:val="21"/>
        </w:rPr>
        <w:t xml:space="preserve">Q1 framed the correlation break as private fundamentals leading or private marks lagging. Q2 points to a simpler cause. The 120-day correlation with public equities fell to +0.46 from a +0.88 average across 2022–2025, yet private index volatility jumped to 26.9% annualized against 12.8% for the benchmark. An index that had broken away from public markets would not swing twice as hard as they do. This one does, because a few IPO repricings now drive its moves.</w:t>
      </w:r>
    </w:p>
    <w:p>
      <w:pPr>
        <w:spacing w:after="160" w:line="276"/>
      </w:pPr>
      <w:r>
        <w:rPr>
          <w:rFonts w:ascii="Georgia" w:cs="Georgia" w:eastAsia="Georgia" w:hAnsi="Georgia"/>
          <w:color w:val="1F2733"/>
          <w:sz w:val="21"/>
          <w:szCs w:val="21"/>
        </w:rPr>
        <w:t xml:space="preserve">The effect concentrated where the listings were. The US Unicorn Index gained 50.8%, Asia 24.5% and Europe 12.7%; excluding each index's three largest days, US 26.4%, Asia 21.8% and Europe 11.0%. Neither Asia nor Europe recorded a single day beyond 6% in the quarter, and the US recorded two.</w:t>
      </w:r>
    </w:p>
    <w:p>
      <w:pPr>
        <w:shd w:fill="F3F6FB" w:color="auto" w:val="clear"/>
        <w:spacing w:after="160" w:before="120"/>
      </w:pPr>
      <w:r>
        <w:rPr>
          <w:rFonts w:ascii="Arial" w:cs="Arial" w:eastAsia="Arial" w:hAnsi="Arial"/>
          <w:b w:val="false"/>
          <w:bCs w:val="false"/>
          <w:i/>
          <w:iCs/>
          <w:color w:val="55637A"/>
          <w:sz w:val="19"/>
          <w:szCs w:val="19"/>
        </w:rPr>
        <w:t xml:space="preserve">CHART: Three days made the quarter</w:t>
      </w:r>
    </w:p>
    <w:p>
      <w:pPr>
        <w:spacing w:after="160" w:line="276"/>
      </w:pPr>
      <w:r>
        <w:rPr>
          <w:rFonts w:ascii="Georgia" w:cs="Georgia" w:eastAsia="Georgia" w:hAnsi="Georgia"/>
          <w:color w:val="1F2733"/>
          <w:sz w:val="21"/>
          <w:szCs w:val="21"/>
        </w:rPr>
        <w:t xml:space="preserve">The three largest single-day moves are SpaceX's post-listing step-up (6/15) and two moves in Cerebras' public price (6/2, 6/18).</w:t>
      </w:r>
    </w:p>
    <w:p>
      <w:pPr>
        <w:pStyle w:val="Heading2"/>
        <w:spacing w:after="70" w:before="220"/>
      </w:pPr>
      <w:r>
        <w:rPr>
          <w:rFonts w:ascii="Arial" w:cs="Arial" w:eastAsia="Arial" w:hAnsi="Arial"/>
          <w:b/>
          <w:bCs/>
          <w:color w:val="1A2744"/>
          <w:sz w:val="21"/>
          <w:szCs w:val="21"/>
        </w:rPr>
        <w:t xml:space="preserve">The vertical split: performance behind the treemap</w:t>
      </w:r>
    </w:p>
    <w:p>
      <w:pPr>
        <w:spacing w:after="160" w:line="276"/>
      </w:pPr>
      <w:r>
        <w:rPr>
          <w:rFonts w:ascii="Georgia" w:cs="Georgia" w:eastAsia="Georgia" w:hAnsi="Georgia"/>
          <w:color w:val="1F2733"/>
          <w:sz w:val="21"/>
          <w:szCs w:val="21"/>
        </w:rPr>
        <w:t xml:space="preserve">The vertical indexes are the cleanest read on the quarter, because SpaceX belongs to none of them and the largest step-up is therefore absent. AI returned 45.0% and AgTech 2.9%, a 42-point spread across eleven verticals in a single quarter, with the median vertical up 19.2%.</w:t>
      </w:r>
    </w:p>
    <w:p>
      <w:pPr>
        <w:spacing w:after="160" w:line="276"/>
      </w:pPr>
      <w:r>
        <w:rPr>
          <w:rFonts w:ascii="Georgia" w:cs="Georgia" w:eastAsia="Georgia" w:hAnsi="Georgia"/>
          <w:color w:val="1F2733"/>
          <w:sz w:val="21"/>
          <w:szCs w:val="21"/>
        </w:rPr>
        <w:t xml:space="preserve">Over a trailing year the spread widens to 113 points, and only five of eleven verticals beat the public benchmark's 23.9%. AI at 118.3% is doing most of the work that the aggregate attributes to private markets generally. An allocator with unicorn exposure outside AI, cybersecurity and enterprise SaaS has, on this evidence, underperformed a global equity index while accepting private-market liquidity terms.</w:t>
      </w:r>
    </w:p>
    <w:p>
      <w:pPr>
        <w:shd w:fill="F3F6FB" w:color="auto" w:val="clear"/>
        <w:spacing w:after="160" w:before="120"/>
      </w:pPr>
      <w:r>
        <w:rPr>
          <w:rFonts w:ascii="Arial" w:cs="Arial" w:eastAsia="Arial" w:hAnsi="Arial"/>
          <w:b w:val="false"/>
          <w:bCs w:val="false"/>
          <w:i/>
          <w:iCs/>
          <w:color w:val="55637A"/>
          <w:sz w:val="19"/>
          <w:szCs w:val="19"/>
        </w:rPr>
        <w:t xml:space="preserve">CHART: The vertical split: one number hides a 42-point spread</w:t>
      </w:r>
    </w:p>
    <w:p>
      <w:pPr>
        <w:pStyle w:val="Heading2"/>
        <w:spacing w:after="70" w:before="220"/>
      </w:pPr>
      <w:r>
        <w:rPr>
          <w:rFonts w:ascii="Arial" w:cs="Arial" w:eastAsia="Arial" w:hAnsi="Arial"/>
          <w:b/>
          <w:bCs/>
          <w:color w:val="1A2744"/>
          <w:sz w:val="21"/>
          <w:szCs w:val="21"/>
        </w:rPr>
        <w:t xml:space="preserve">Recent Unicorn IPO performance: US debuts underperform global counterparts</w:t>
      </w:r>
    </w:p>
    <w:p>
      <w:pPr>
        <w:spacing w:after="160" w:line="276"/>
      </w:pPr>
      <w:r>
        <w:rPr>
          <w:rFonts w:ascii="Georgia" w:cs="Georgia" w:eastAsia="Georgia" w:hAnsi="Georgia"/>
          <w:color w:val="1F2733"/>
          <w:sz w:val="21"/>
          <w:szCs w:val="21"/>
        </w:rPr>
        <w:t xml:space="preserve">What a public buyer earned after the listing decays with every horizon. Across 290 global unicorn IPOs since 2016, the share beating the Morningstar Global Markets index falls monotonically from 42.8% within seven days to 27.3% within 180. US listings have underperformed by a median 38.4% at 180 days against 21.6% for Chinese listings, and the Q2 cohort is already tracking the US pattern against a benchmark that rose 14.9% over the quarter.</w:t>
      </w:r>
    </w:p>
    <w:p>
      <w:pPr>
        <w:shd w:fill="F3F6FB" w:color="auto" w:val="clear"/>
        <w:spacing w:after="160" w:before="120"/>
      </w:pPr>
      <w:r>
        <w:rPr>
          <w:rFonts w:ascii="Arial" w:cs="Arial" w:eastAsia="Arial" w:hAnsi="Arial"/>
          <w:b w:val="false"/>
          <w:bCs w:val="false"/>
          <w:i/>
          <w:iCs/>
          <w:color w:val="55637A"/>
          <w:sz w:val="19"/>
          <w:szCs w:val="19"/>
        </w:rPr>
        <w:t xml:space="preserve">CHART: Unicorn IPO underperformance deepens with time</w:t>
      </w:r>
    </w:p>
    <w:p>
      <w:pPr>
        <w:spacing w:after="160" w:line="276"/>
      </w:pPr>
      <w:r>
        <w:rPr>
          <w:rFonts w:ascii="Georgia" w:cs="Georgia" w:eastAsia="Georgia" w:hAnsi="Georgia"/>
          <w:color w:val="1F2733"/>
          <w:sz w:val="21"/>
          <w:szCs w:val="21"/>
        </w:rPr>
        <w:t xml:space="preserve">Figma is the cautionary case. Its 250% first-day pop unwound to a 90.9% shortfall within 180 days, with the sharpest leg following Anthropic's April launch of a competing design tool. The AI value accrual showing up as markups inside the private index is showing up as markdowns in the public comps, including in companies that were themselves unicorns eighteen months ago.</w:t>
      </w:r>
    </w:p>
    <w:p>
      <w:pPr>
        <w:pStyle w:val="Heading2"/>
        <w:spacing w:after="70" w:before="220"/>
      </w:pPr>
      <w:r>
        <w:rPr>
          <w:rFonts w:ascii="Arial" w:cs="Arial" w:eastAsia="Arial" w:hAnsi="Arial"/>
          <w:b/>
          <w:bCs/>
          <w:color w:val="1A2744"/>
          <w:sz w:val="21"/>
          <w:szCs w:val="21"/>
        </w:rPr>
        <w:t xml:space="preserve">Looking ahead: the validation test</w:t>
      </w:r>
    </w:p>
    <w:p>
      <w:pPr>
        <w:spacing w:after="160" w:line="276"/>
      </w:pPr>
      <w:r>
        <w:rPr>
          <w:rFonts w:ascii="Georgia" w:cs="Georgia" w:eastAsia="Georgia" w:hAnsi="Georgia"/>
          <w:color w:val="1F2733"/>
          <w:sz w:val="21"/>
          <w:szCs w:val="21"/>
        </w:rPr>
        <w:t xml:space="preserve">Scale has been a reliable predictor of aftermarket disappointment rather than durability, and the two listings the index is now marked against are the largest on that record. Anthropic filed confidentially on June 1 after a $65 billion Series H at a $965 billion valuation, and carries a quarter-end </w:t>
      </w:r>
      <w:r>
        <w:rPr>
          <w:rFonts w:ascii="Georgia" w:cs="Georgia" w:eastAsia="Georgia" w:hAnsi="Georgia"/>
          <w:b/>
          <w:bCs/>
          <w:color w:val="C00000"/>
          <w:sz w:val="21"/>
          <w:szCs w:val="21"/>
        </w:rPr>
        <w:t xml:space="preserve">model</w:t>
      </w:r>
      <w:r>
        <w:rPr>
          <w:rFonts w:ascii="Georgia" w:cs="Georgia" w:eastAsia="Georgia" w:hAnsi="Georgia"/>
          <w:color w:val="1F2733"/>
          <w:sz w:val="21"/>
          <w:szCs w:val="21"/>
        </w:rPr>
        <w:t xml:space="preserve"> mark of $1.27 trillion, 32% above the round it just closed. OpenAI has filed as well. Those two listings gave the still-private AI marks their comparable, and the private index has spent the quarter marking these companies up on the strength of debuts whose own aftermarket performance is already negative.</w:t>
      </w:r>
    </w:p>
    <w:p>
      <w:pPr>
        <w:spacing w:after="160" w:line="276"/>
      </w:pPr>
      <w:r>
        <w:rPr>
          <w:rFonts w:ascii="Georgia" w:cs="Georgia" w:eastAsia="Georgia" w:hAnsi="Georgia"/>
          <w:color w:val="1F2733"/>
          <w:sz w:val="21"/>
          <w:szCs w:val="21"/>
        </w:rPr>
        <w:t xml:space="preserve">The month since quarter-end has already answered part of the question. SpaceX broke its $135 issue price on July 15 and closed at $113.50 on July 27, 49.7% below the $225.64 intraday peak it set on June 16, with an August 6 lock-up releasing roughly 900 million insider shares still ahead of it. Cerebras sits 39.4% below its first close. Marked at those prices, the two carry roughly $687 billion less than the index assigned them on June 30, nearly all of it SpaceX.</w:t>
      </w:r>
    </w:p>
    <w:p>
      <w:pPr>
        <w:spacing w:after="160" w:line="276"/>
      </w:pPr>
      <w:r>
        <w:rPr>
          <w:rFonts w:ascii="Georgia" w:cs="Georgia" w:eastAsia="Georgia" w:hAnsi="Georgia"/>
          <w:color w:val="1F2733"/>
          <w:sz w:val="21"/>
          <w:szCs w:val="21"/>
        </w:rPr>
        <w:t xml:space="preserve">That is the reset reversing inside a single month. We are forecasting that the Q3 index print gives back a substantial share of the Q2 gain without any deterioration in the underlying private companies, because the gain was never a claim about them. It was a claim about where SpaceX would trade, and that claim is now being tested in public every day.</w:t>
      </w:r>
    </w:p>
    <w:p>
      <w:pPr>
        <w:spacing w:after="160" w:line="276"/>
      </w:pPr>
      <w:r>
        <w:rPr>
          <w:rFonts w:ascii="Georgia" w:cs="Georgia" w:eastAsia="Georgia" w:hAnsi="Georgia"/>
          <w:color w:val="1F2733"/>
          <w:sz w:val="21"/>
          <w:szCs w:val="21"/>
        </w:rPr>
        <w:t xml:space="preserve">References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0" w:sz="4" w:space="6"/>
      </w:pBdr>
      <w:tabs>
        <w:tab w:val="right" w:pos="9360"/>
      </w:tabs>
    </w:pPr>
    <w:r>
      <w:rPr>
        <w:rFonts w:ascii="Arial" w:cs="Arial" w:eastAsia="Arial" w:hAnsi="Arial"/>
        <w:color w:val="55637A"/>
        <w:sz w:val="16"/>
        <w:szCs w:val="16"/>
      </w:rPr>
      <w:t xml:space="preserve">Global Unicorn Tracker  |  Q2 2026</w:t>
    </w:r>
    <w:r>
      <w:rPr>
        <w:sz w:val="16"/>
        <w:szCs w:val="16"/>
      </w:rPr>
      <w:t xml:space="preserve">	</w:t>
    </w:r>
    <w:r>
      <w:rPr>
        <w:rFonts w:ascii="Arial" w:cs="Arial" w:eastAsia="Arial" w:hAnsi="Arial"/>
        <w:color w:val="5563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A2744"/>
      <w:sz w:val="26"/>
      <w:szCs w:val="26"/>
    </w:rPr>
  </w:style>
  <w:style w:type="paragraph" w:styleId="Heading2">
    <w:name w:val="Heading 2"/>
    <w:basedOn w:val="Normal"/>
    <w:next w:val="Normal"/>
    <w:qFormat/>
    <w:rPr>
      <w:rFonts w:ascii="Arial" w:cs="Arial" w:eastAsia="Arial" w:hAnsi="Arial"/>
      <w:b/>
      <w:bCs/>
      <w:color w:val="1A27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Unicorn Tracker - Q2 2026</dc:title>
  <dc:creator>Late-Stage Company Research</dc:creator>
  <cp:lastModifiedBy>Un-named</cp:lastModifiedBy>
  <cp:revision>1</cp:revision>
  <dcterms:created xsi:type="dcterms:W3CDTF">2026-07-29T18:26:01.525Z</dcterms:created>
  <dcterms:modified xsi:type="dcterms:W3CDTF">2026-07-29T18:26:01.525Z</dcterms:modified>
</cp:coreProperties>
</file>

<file path=docProps/custom.xml><?xml version="1.0" encoding="utf-8"?>
<Properties xmlns="http://schemas.openxmlformats.org/officeDocument/2006/custom-properties" xmlns:vt="http://schemas.openxmlformats.org/officeDocument/2006/docPropsVTypes"/>
</file>