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Georgia" w:hAnsi="Georgia"/>
          <w:b/>
          <w:color w:val="1F2A44"/>
          <w:sz w:val="44"/>
        </w:rPr>
        <w:t>The Frontier AI Price Wars</w:t>
      </w:r>
    </w:p>
    <w:p>
      <w:r>
        <w:rPr>
          <w:rFonts w:ascii="Georgia" w:hAnsi="Georgia"/>
          <w:b w:val="0"/>
          <w:color w:val="35506E"/>
          <w:sz w:val="20"/>
        </w:rPr>
        <w:t>PitchBook Institutional Research Group | Late-Stage Company Research</w:t>
      </w:r>
    </w:p>
    <w:p>
      <w:r>
        <w:rPr>
          <w:rFonts w:ascii="Georgia" w:hAnsi="Georgia"/>
          <w:b w:val="0"/>
          <w:color w:val="35506E"/>
          <w:sz w:val="20"/>
        </w:rPr>
        <w:t>Analyst: Harrison Rolfes, Senior Research Director   |   July 10, 2026</w:t>
      </w:r>
    </w:p>
    <w:p>
      <w:r>
        <w:rPr>
          <w:rFonts w:ascii="Georgia" w:hAnsi="Georgia"/>
          <w:i/>
          <w:color w:val="6B7280"/>
          <w:sz w:val="17"/>
        </w:rPr>
        <w:t>Evidence tiers: T1, primary or SEC-grade disclosure. T2, PitchBook data, priced financings, direct company statements. T3, vendor claims and trade press. Vendor-reported benchmarks and pricing claims are discounted one tier on receipt. Figures not in our canonical dataset are flagged as our estimates or assumptions and tiered.</w:t>
      </w:r>
    </w:p>
    <w:p>
      <w:pPr>
        <w:pStyle w:val="Heading1"/>
      </w:pPr>
      <w:r>
        <w:t>Key takeaways</w:t>
      </w:r>
    </w:p>
    <w:p>
      <w:pPr>
        <w:pStyle w:val="ListBullet"/>
        <w:spacing w:after="80"/>
      </w:pPr>
      <w:r>
        <w:rPr>
          <w:rFonts w:ascii="Georgia" w:hAnsi="Georgia"/>
          <w:b w:val="0"/>
          <w:color w:val="262B35"/>
          <w:sz w:val="21"/>
        </w:rPr>
        <w:t>Meta's Muse Spark 1.1 at $1.25 input / $4.25 output per million tokens (T1, published list price) prices frontier-adjacent inference at roughly one quarter of the premium anchor. Our read: this is not yet a price war. It is a segmentation event with one structural price warrior, Meta, and one forced participant, xAI.</w:t>
      </w:r>
    </w:p>
    <w:p>
      <w:pPr>
        <w:pStyle w:val="ListBullet"/>
        <w:spacing w:after="80"/>
      </w:pPr>
      <w:r>
        <w:rPr>
          <w:rFonts w:ascii="Georgia" w:hAnsi="Georgia"/>
          <w:b w:val="0"/>
          <w:color w:val="262B35"/>
          <w:sz w:val="21"/>
        </w:rPr>
        <w:t>Headline token price is the wrong unit of account. On cost per completed task, with a $17 failure-remediation cost per failed attempt (our assumption, T2), a task-success gap of roughly 3 percentage points fully funds Claude Opus 4.8's 4.8x per-attempt token premium over the cheapest tier. Reliability, not tokens, is what enterprises are actually pricing.</w:t>
      </w:r>
    </w:p>
    <w:p>
      <w:pPr>
        <w:pStyle w:val="ListBullet"/>
        <w:spacing w:after="80"/>
      </w:pPr>
      <w:r>
        <w:rPr>
          <w:rFonts w:ascii="Georgia" w:hAnsi="Georgia"/>
          <w:b w:val="0"/>
          <w:color w:val="262B35"/>
          <w:sz w:val="21"/>
        </w:rPr>
        <w:t>A 4x to 5x output-price cut takes an illustrative 70% model-layer gross margin to roughly negative 20% at unchanged serving cost (our arithmetic, T2). Below-cost pricing is being funded by the ~$3.5T private-credit channel that has become the marginal source of AI capital. The price war is a solvency question deferred, not resolved.</w:t>
      </w:r>
    </w:p>
    <w:p>
      <w:pPr>
        <w:pStyle w:val="ListBullet"/>
        <w:spacing w:after="80"/>
      </w:pPr>
      <w:r>
        <w:rPr>
          <w:rFonts w:ascii="Georgia" w:hAnsi="Georgia"/>
          <w:b w:val="0"/>
          <w:color w:val="262B35"/>
          <w:sz w:val="21"/>
        </w:rPr>
        <w:t>Inference-cost deflation is margin-accretive to the application layer and to enterprise buyers, and margin-dilutive to undifferentiated model vendors. The picks-and-shovels complex, HBM and memory, wafer fab equipment, data-center power and cooling, is insulated: the buildout is priced on capacity scarcity, not on model-layer margin.</w:t>
      </w:r>
    </w:p>
    <w:p>
      <w:pPr>
        <w:pStyle w:val="ListBullet"/>
        <w:spacing w:after="80"/>
      </w:pPr>
      <w:r>
        <w:rPr>
          <w:rFonts w:ascii="Georgia" w:hAnsi="Georgia"/>
          <w:b w:val="0"/>
          <w:color w:val="262B35"/>
          <w:sz w:val="21"/>
        </w:rPr>
        <w:t>The repricing lands roughly three months before Anthropic's expected October S-1 and is the single largest tax on the $965B bull case: Anthropic must defend both premium price and enterprise attach into the filing. The inverse also holds: if Anthropic keeps both, it validates the premium thesis in the most hostile tape available.</w:t>
      </w:r>
    </w:p>
    <w:p>
      <w:pPr>
        <w:pStyle w:val="ListBullet"/>
        <w:spacing w:after="80"/>
      </w:pPr>
      <w:r>
        <w:rPr>
          <w:rFonts w:ascii="Georgia" w:hAnsi="Georgia"/>
          <w:b w:val="0"/>
          <w:color w:val="262B35"/>
          <w:sz w:val="21"/>
        </w:rPr>
        <w:t>The decisive front is not tokens. It is the enterprise-agent surface, OpenAI's ChatGPT Work and Codex desktop superapp against Anthropic's Claude Cowork. Cheap tokens are necessary but not sufficient; distribution and seat-level reliability are the moat.</w:t>
      </w:r>
    </w:p>
    <w:p>
      <w:pPr>
        <w:pStyle w:val="Heading1"/>
      </w:pPr>
      <w:r>
        <w:t>1. The unit of account: cost per completed task</w:t>
      </w:r>
    </w:p>
    <w:p>
      <w:r>
        <w:rPr>
          <w:rFonts w:ascii="Georgia" w:hAnsi="Georgia"/>
          <w:b w:val="0"/>
          <w:color w:val="262B35"/>
          <w:sz w:val="21"/>
        </w:rPr>
        <w:t>The July tape reads as a collapse in frontier pricing. Meta's Muse Spark 1.1 lists at $1.25 / $4.25 per million tokens (input / output), xAI's Grok 4.5 at $2 / $6, and OpenAI's GPT-5.6 Luna at $1 / $6, against Anthropic's Claude Opus 4.8 at $5 / $25 and OpenAI's GPT-5.6 Sol at $5 / $30 (all T1 list prices; Meta's claim of state-of-the-art agent reasoning at 1M context is vendor-reported, T3 after our standard one-tier discount).</w:t>
      </w:r>
    </w:p>
    <w:p>
      <w:r>
        <w:rPr>
          <w:rFonts w:ascii="Georgia" w:hAnsi="Georgia"/>
          <w:b w:val="0"/>
          <w:color w:val="262B35"/>
          <w:sz w:val="21"/>
        </w:rPr>
        <w:t>Headline per-token price is the wrong unit of account, and most commentary on this repricing is built on it. Enterprises do not buy tokens; they buy completed tasks. The correct unit is:</w:t>
      </w:r>
    </w:p>
    <w:p>
      <w:r>
        <w:rPr>
          <w:rFonts w:ascii="Georgia" w:hAnsi="Georgia"/>
          <w:b w:val="0"/>
          <w:color w:val="262B35"/>
          <w:sz w:val="21"/>
        </w:rPr>
        <w:t>cost per completed task = (tokens_in x price_in + tokens_out x price_out) x expected attempts to success, at a fixed quality bar.</w:t>
      </w:r>
    </w:p>
    <w:p>
      <w:r>
        <w:rPr>
          <w:rFonts w:ascii="Georgia" w:hAnsi="Georgia"/>
          <w:b w:val="0"/>
          <w:color w:val="262B35"/>
          <w:sz w:val="21"/>
        </w:rPr>
        <w:t>A model at one quarter of the price that needs three attempts at an agentic workflow is not cheaper. Take a representative enterprise agentic task of 60,000 input and 12,000 output tokens per attempt (our assumption, T2, sized to a mid-complexity multi-step agent workflow). Expected attempts equal 1/p, where p is per-attempt task-success probability at the fixed quality bar.</w:t>
      </w:r>
    </w:p>
    <w:tbl>
      <w:tblPr>
        <w:tblW w:type="dxa" w:w="9360"/>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9360"/>
      </w:tblGrid>
      <w:tr>
        <w:trPr>
          <w:cantSplit/>
        </w:trPr>
        <w:tc>
          <w:tcPr>
            <w:tcW w:type="dxa" w:w="9360"/>
            <w:shd w:val="clear" w:fill="F2F5F9"/>
          </w:tcPr>
          <w:p>
            <w:pPr>
              <w:spacing w:after="0"/>
            </w:pPr>
            <w:r/>
            <w:r>
              <w:rPr>
                <w:rFonts w:ascii="Georgia" w:hAnsi="Georgia"/>
                <w:b/>
                <w:color w:val="1F2A44"/>
                <w:sz w:val="18"/>
              </w:rPr>
              <w:t xml:space="preserve">TABLE: </w:t>
            </w:r>
            <w:r>
              <w:rPr>
                <w:rFonts w:ascii="Georgia" w:hAnsi="Georgia"/>
                <w:i/>
                <w:color w:val="262B35"/>
                <w:sz w:val="18"/>
              </w:rPr>
              <w:t>Cost per completed task at list prices, reference workload of 60k in / 12k out per attempt. Takeaway: the cheap tier wins on raw token arithmetic almost mechanically; the premium is funded elsewhere.</w:t>
            </w:r>
          </w:p>
        </w:tc>
      </w:tr>
    </w:tbl>
    <w:p>
      <w:pPr>
        <w:spacing w:after="40"/>
      </w:pPr>
    </w:p>
    <w:tbl>
      <w:tblPr>
        <w:tblW w:type="dxa" w:w="9360"/>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1337"/>
        <w:gridCol w:w="1337"/>
        <w:gridCol w:w="1337"/>
        <w:gridCol w:w="1337"/>
        <w:gridCol w:w="1337"/>
        <w:gridCol w:w="1337"/>
        <w:gridCol w:w="1337"/>
      </w:tblGrid>
      <w:tr>
        <w:trPr>
          <w:cantSplit/>
          <w:tblHeader w:val="true"/>
        </w:trPr>
        <w:tc>
          <w:tcPr>
            <w:tcW w:type="dxa" w:w="1900"/>
            <w:shd w:val="clear" w:fill="1F2A44"/>
          </w:tcPr>
          <w:p>
            <w:pPr>
              <w:spacing w:after="0"/>
              <w:jc w:val="left"/>
            </w:pPr>
            <w:r/>
            <w:r>
              <w:rPr>
                <w:rFonts w:ascii="Georgia" w:hAnsi="Georgia"/>
                <w:b/>
                <w:i w:val="0"/>
                <w:color w:val="FFFFFF"/>
                <w:sz w:val="17"/>
              </w:rPr>
              <w:t>Model</w:t>
            </w:r>
          </w:p>
        </w:tc>
        <w:tc>
          <w:tcPr>
            <w:tcW w:type="dxa" w:w="1243"/>
            <w:shd w:val="clear" w:fill="1F2A44"/>
          </w:tcPr>
          <w:p>
            <w:pPr>
              <w:spacing w:after="0"/>
              <w:jc w:val="center"/>
            </w:pPr>
            <w:r/>
            <w:r>
              <w:rPr>
                <w:rFonts w:ascii="Georgia" w:hAnsi="Georgia"/>
                <w:b/>
                <w:i w:val="0"/>
                <w:color w:val="FFFFFF"/>
                <w:sz w:val="17"/>
              </w:rPr>
              <w:t>$/Mtok in</w:t>
            </w:r>
          </w:p>
        </w:tc>
        <w:tc>
          <w:tcPr>
            <w:tcW w:type="dxa" w:w="1243"/>
            <w:shd w:val="clear" w:fill="1F2A44"/>
          </w:tcPr>
          <w:p>
            <w:pPr>
              <w:spacing w:after="0"/>
              <w:jc w:val="center"/>
            </w:pPr>
            <w:r/>
            <w:r>
              <w:rPr>
                <w:rFonts w:ascii="Georgia" w:hAnsi="Georgia"/>
                <w:b/>
                <w:i w:val="0"/>
                <w:color w:val="FFFFFF"/>
                <w:sz w:val="17"/>
              </w:rPr>
              <w:t>$/Mtok out</w:t>
            </w:r>
          </w:p>
        </w:tc>
        <w:tc>
          <w:tcPr>
            <w:tcW w:type="dxa" w:w="1243"/>
            <w:shd w:val="clear" w:fill="1F2A44"/>
          </w:tcPr>
          <w:p>
            <w:pPr>
              <w:spacing w:after="0"/>
              <w:jc w:val="center"/>
            </w:pPr>
            <w:r/>
            <w:r>
              <w:rPr>
                <w:rFonts w:ascii="Georgia" w:hAnsi="Georgia"/>
                <w:b/>
                <w:i w:val="0"/>
                <w:color w:val="FFFFFF"/>
                <w:sz w:val="17"/>
              </w:rPr>
              <w:t>Cost per attempt</w:t>
            </w:r>
          </w:p>
        </w:tc>
        <w:tc>
          <w:tcPr>
            <w:tcW w:type="dxa" w:w="1243"/>
            <w:shd w:val="clear" w:fill="1F2A44"/>
          </w:tcPr>
          <w:p>
            <w:pPr>
              <w:spacing w:after="0"/>
              <w:jc w:val="center"/>
            </w:pPr>
            <w:r/>
            <w:r>
              <w:rPr>
                <w:rFonts w:ascii="Georgia" w:hAnsi="Georgia"/>
                <w:b/>
                <w:i w:val="0"/>
                <w:color w:val="FFFFFF"/>
                <w:sz w:val="17"/>
              </w:rPr>
              <w:t>Per task, p = 90%</w:t>
            </w:r>
          </w:p>
        </w:tc>
        <w:tc>
          <w:tcPr>
            <w:tcW w:type="dxa" w:w="1243"/>
            <w:shd w:val="clear" w:fill="1F2A44"/>
          </w:tcPr>
          <w:p>
            <w:pPr>
              <w:spacing w:after="0"/>
              <w:jc w:val="center"/>
            </w:pPr>
            <w:r/>
            <w:r>
              <w:rPr>
                <w:rFonts w:ascii="Georgia" w:hAnsi="Georgia"/>
                <w:b/>
                <w:i w:val="0"/>
                <w:color w:val="FFFFFF"/>
                <w:sz w:val="17"/>
              </w:rPr>
              <w:t>Per task, p = 75%</w:t>
            </w:r>
          </w:p>
        </w:tc>
        <w:tc>
          <w:tcPr>
            <w:tcW w:type="dxa" w:w="1243"/>
            <w:shd w:val="clear" w:fill="1F2A44"/>
          </w:tcPr>
          <w:p>
            <w:pPr>
              <w:spacing w:after="0"/>
              <w:jc w:val="center"/>
            </w:pPr>
            <w:r/>
            <w:r>
              <w:rPr>
                <w:rFonts w:ascii="Georgia" w:hAnsi="Georgia"/>
                <w:b/>
                <w:i w:val="0"/>
                <w:color w:val="FFFFFF"/>
                <w:sz w:val="17"/>
              </w:rPr>
              <w:t>Per task, p = 65%</w:t>
            </w:r>
          </w:p>
        </w:tc>
      </w:tr>
      <w:tr>
        <w:trPr>
          <w:cantSplit/>
        </w:trPr>
        <w:tc>
          <w:tcPr>
            <w:tcW w:type="dxa" w:w="1900"/>
          </w:tcPr>
          <w:p>
            <w:pPr>
              <w:spacing w:after="0"/>
              <w:jc w:val="left"/>
            </w:pPr>
            <w:r/>
            <w:r>
              <w:rPr>
                <w:rFonts w:ascii="Georgia" w:hAnsi="Georgia"/>
                <w:b w:val="0"/>
                <w:i w:val="0"/>
                <w:color w:val="262B35"/>
                <w:sz w:val="17"/>
              </w:rPr>
              <w:t>Claude Opus 4.8</w:t>
            </w:r>
          </w:p>
        </w:tc>
        <w:tc>
          <w:tcPr>
            <w:tcW w:type="dxa" w:w="1243"/>
          </w:tcPr>
          <w:p>
            <w:pPr>
              <w:spacing w:after="0"/>
              <w:jc w:val="center"/>
            </w:pPr>
            <w:r/>
            <w:r>
              <w:rPr>
                <w:rFonts w:ascii="Georgia" w:hAnsi="Georgia"/>
                <w:b w:val="0"/>
                <w:i w:val="0"/>
                <w:color w:val="262B35"/>
                <w:sz w:val="17"/>
              </w:rPr>
              <w:t>$5.00</w:t>
            </w:r>
          </w:p>
        </w:tc>
        <w:tc>
          <w:tcPr>
            <w:tcW w:type="dxa" w:w="1243"/>
          </w:tcPr>
          <w:p>
            <w:pPr>
              <w:spacing w:after="0"/>
              <w:jc w:val="center"/>
            </w:pPr>
            <w:r/>
            <w:r>
              <w:rPr>
                <w:rFonts w:ascii="Georgia" w:hAnsi="Georgia"/>
                <w:b w:val="0"/>
                <w:i w:val="0"/>
                <w:color w:val="262B35"/>
                <w:sz w:val="17"/>
              </w:rPr>
              <w:t>$25.00</w:t>
            </w:r>
          </w:p>
        </w:tc>
        <w:tc>
          <w:tcPr>
            <w:tcW w:type="dxa" w:w="1243"/>
          </w:tcPr>
          <w:p>
            <w:pPr>
              <w:spacing w:after="0"/>
              <w:jc w:val="center"/>
            </w:pPr>
            <w:r/>
            <w:r>
              <w:rPr>
                <w:rFonts w:ascii="Georgia" w:hAnsi="Georgia"/>
                <w:b w:val="0"/>
                <w:i w:val="0"/>
                <w:color w:val="262B35"/>
                <w:sz w:val="17"/>
              </w:rPr>
              <w:t>$0.60</w:t>
            </w:r>
          </w:p>
        </w:tc>
        <w:tc>
          <w:tcPr>
            <w:tcW w:type="dxa" w:w="1243"/>
          </w:tcPr>
          <w:p>
            <w:pPr>
              <w:spacing w:after="0"/>
              <w:jc w:val="center"/>
            </w:pPr>
            <w:r/>
            <w:r>
              <w:rPr>
                <w:rFonts w:ascii="Georgia" w:hAnsi="Georgia"/>
                <w:b w:val="0"/>
                <w:i w:val="0"/>
                <w:color w:val="262B35"/>
                <w:sz w:val="17"/>
              </w:rPr>
              <w:t>$0.67</w:t>
            </w:r>
          </w:p>
        </w:tc>
        <w:tc>
          <w:tcPr>
            <w:tcW w:type="dxa" w:w="1243"/>
          </w:tcPr>
          <w:p>
            <w:pPr>
              <w:spacing w:after="0"/>
              <w:jc w:val="center"/>
            </w:pPr>
            <w:r/>
            <w:r>
              <w:rPr>
                <w:rFonts w:ascii="Georgia" w:hAnsi="Georgia"/>
                <w:b w:val="0"/>
                <w:i w:val="0"/>
                <w:color w:val="262B35"/>
                <w:sz w:val="17"/>
              </w:rPr>
              <w:t>$0.80</w:t>
            </w:r>
          </w:p>
        </w:tc>
        <w:tc>
          <w:tcPr>
            <w:tcW w:type="dxa" w:w="1243"/>
          </w:tcPr>
          <w:p>
            <w:pPr>
              <w:spacing w:after="0"/>
              <w:jc w:val="center"/>
            </w:pPr>
            <w:r/>
            <w:r>
              <w:rPr>
                <w:rFonts w:ascii="Georgia" w:hAnsi="Georgia"/>
                <w:b w:val="0"/>
                <w:i w:val="0"/>
                <w:color w:val="262B35"/>
                <w:sz w:val="17"/>
              </w:rPr>
              <w:t>$0.92</w:t>
            </w:r>
          </w:p>
        </w:tc>
      </w:tr>
      <w:tr>
        <w:trPr>
          <w:cantSplit/>
        </w:trPr>
        <w:tc>
          <w:tcPr>
            <w:tcW w:type="dxa" w:w="1900"/>
            <w:shd w:val="clear" w:fill="F2F5F9"/>
          </w:tcPr>
          <w:p>
            <w:pPr>
              <w:spacing w:after="0"/>
              <w:jc w:val="left"/>
            </w:pPr>
            <w:r/>
            <w:r>
              <w:rPr>
                <w:rFonts w:ascii="Georgia" w:hAnsi="Georgia"/>
                <w:b w:val="0"/>
                <w:i w:val="0"/>
                <w:color w:val="262B35"/>
                <w:sz w:val="17"/>
              </w:rPr>
              <w:t>GPT-5.6 Sol</w:t>
            </w:r>
          </w:p>
        </w:tc>
        <w:tc>
          <w:tcPr>
            <w:tcW w:type="dxa" w:w="1243"/>
            <w:shd w:val="clear" w:fill="F2F5F9"/>
          </w:tcPr>
          <w:p>
            <w:pPr>
              <w:spacing w:after="0"/>
              <w:jc w:val="center"/>
            </w:pPr>
            <w:r/>
            <w:r>
              <w:rPr>
                <w:rFonts w:ascii="Georgia" w:hAnsi="Georgia"/>
                <w:b w:val="0"/>
                <w:i w:val="0"/>
                <w:color w:val="262B35"/>
                <w:sz w:val="17"/>
              </w:rPr>
              <w:t>$5.00</w:t>
            </w:r>
          </w:p>
        </w:tc>
        <w:tc>
          <w:tcPr>
            <w:tcW w:type="dxa" w:w="1243"/>
            <w:shd w:val="clear" w:fill="F2F5F9"/>
          </w:tcPr>
          <w:p>
            <w:pPr>
              <w:spacing w:after="0"/>
              <w:jc w:val="center"/>
            </w:pPr>
            <w:r/>
            <w:r>
              <w:rPr>
                <w:rFonts w:ascii="Georgia" w:hAnsi="Georgia"/>
                <w:b w:val="0"/>
                <w:i w:val="0"/>
                <w:color w:val="262B35"/>
                <w:sz w:val="17"/>
              </w:rPr>
              <w:t>$30.00</w:t>
            </w:r>
          </w:p>
        </w:tc>
        <w:tc>
          <w:tcPr>
            <w:tcW w:type="dxa" w:w="1243"/>
            <w:shd w:val="clear" w:fill="F2F5F9"/>
          </w:tcPr>
          <w:p>
            <w:pPr>
              <w:spacing w:after="0"/>
              <w:jc w:val="center"/>
            </w:pPr>
            <w:r/>
            <w:r>
              <w:rPr>
                <w:rFonts w:ascii="Georgia" w:hAnsi="Georgia"/>
                <w:b w:val="0"/>
                <w:i w:val="0"/>
                <w:color w:val="262B35"/>
                <w:sz w:val="17"/>
              </w:rPr>
              <w:t>$0.66</w:t>
            </w:r>
          </w:p>
        </w:tc>
        <w:tc>
          <w:tcPr>
            <w:tcW w:type="dxa" w:w="1243"/>
            <w:shd w:val="clear" w:fill="F2F5F9"/>
          </w:tcPr>
          <w:p>
            <w:pPr>
              <w:spacing w:after="0"/>
              <w:jc w:val="center"/>
            </w:pPr>
            <w:r/>
            <w:r>
              <w:rPr>
                <w:rFonts w:ascii="Georgia" w:hAnsi="Georgia"/>
                <w:b w:val="0"/>
                <w:i w:val="0"/>
                <w:color w:val="262B35"/>
                <w:sz w:val="17"/>
              </w:rPr>
              <w:t>$0.73</w:t>
            </w:r>
          </w:p>
        </w:tc>
        <w:tc>
          <w:tcPr>
            <w:tcW w:type="dxa" w:w="1243"/>
            <w:shd w:val="clear" w:fill="F2F5F9"/>
          </w:tcPr>
          <w:p>
            <w:pPr>
              <w:spacing w:after="0"/>
              <w:jc w:val="center"/>
            </w:pPr>
            <w:r/>
            <w:r>
              <w:rPr>
                <w:rFonts w:ascii="Georgia" w:hAnsi="Georgia"/>
                <w:b w:val="0"/>
                <w:i w:val="0"/>
                <w:color w:val="262B35"/>
                <w:sz w:val="17"/>
              </w:rPr>
              <w:t>$0.88</w:t>
            </w:r>
          </w:p>
        </w:tc>
        <w:tc>
          <w:tcPr>
            <w:tcW w:type="dxa" w:w="1243"/>
            <w:shd w:val="clear" w:fill="F2F5F9"/>
          </w:tcPr>
          <w:p>
            <w:pPr>
              <w:spacing w:after="0"/>
              <w:jc w:val="center"/>
            </w:pPr>
            <w:r/>
            <w:r>
              <w:rPr>
                <w:rFonts w:ascii="Georgia" w:hAnsi="Georgia"/>
                <w:b w:val="0"/>
                <w:i w:val="0"/>
                <w:color w:val="262B35"/>
                <w:sz w:val="17"/>
              </w:rPr>
              <w:t>$1.02</w:t>
            </w:r>
          </w:p>
        </w:tc>
      </w:tr>
      <w:tr>
        <w:trPr>
          <w:cantSplit/>
        </w:trPr>
        <w:tc>
          <w:tcPr>
            <w:tcW w:type="dxa" w:w="1900"/>
          </w:tcPr>
          <w:p>
            <w:pPr>
              <w:spacing w:after="0"/>
              <w:jc w:val="left"/>
            </w:pPr>
            <w:r/>
            <w:r>
              <w:rPr>
                <w:rFonts w:ascii="Georgia" w:hAnsi="Georgia"/>
                <w:b w:val="0"/>
                <w:i w:val="0"/>
                <w:color w:val="262B35"/>
                <w:sz w:val="17"/>
              </w:rPr>
              <w:t>GPT-5.6 Luna</w:t>
            </w:r>
          </w:p>
        </w:tc>
        <w:tc>
          <w:tcPr>
            <w:tcW w:type="dxa" w:w="1243"/>
          </w:tcPr>
          <w:p>
            <w:pPr>
              <w:spacing w:after="0"/>
              <w:jc w:val="center"/>
            </w:pPr>
            <w:r/>
            <w:r>
              <w:rPr>
                <w:rFonts w:ascii="Georgia" w:hAnsi="Georgia"/>
                <w:b w:val="0"/>
                <w:i w:val="0"/>
                <w:color w:val="262B35"/>
                <w:sz w:val="17"/>
              </w:rPr>
              <w:t>$1.00</w:t>
            </w:r>
          </w:p>
        </w:tc>
        <w:tc>
          <w:tcPr>
            <w:tcW w:type="dxa" w:w="1243"/>
          </w:tcPr>
          <w:p>
            <w:pPr>
              <w:spacing w:after="0"/>
              <w:jc w:val="center"/>
            </w:pPr>
            <w:r/>
            <w:r>
              <w:rPr>
                <w:rFonts w:ascii="Georgia" w:hAnsi="Georgia"/>
                <w:b w:val="0"/>
                <w:i w:val="0"/>
                <w:color w:val="262B35"/>
                <w:sz w:val="17"/>
              </w:rPr>
              <w:t>$6.00</w:t>
            </w:r>
          </w:p>
        </w:tc>
        <w:tc>
          <w:tcPr>
            <w:tcW w:type="dxa" w:w="1243"/>
          </w:tcPr>
          <w:p>
            <w:pPr>
              <w:spacing w:after="0"/>
              <w:jc w:val="center"/>
            </w:pPr>
            <w:r/>
            <w:r>
              <w:rPr>
                <w:rFonts w:ascii="Georgia" w:hAnsi="Georgia"/>
                <w:b w:val="0"/>
                <w:i w:val="0"/>
                <w:color w:val="262B35"/>
                <w:sz w:val="17"/>
              </w:rPr>
              <w:t>$0.13</w:t>
            </w:r>
          </w:p>
        </w:tc>
        <w:tc>
          <w:tcPr>
            <w:tcW w:type="dxa" w:w="1243"/>
          </w:tcPr>
          <w:p>
            <w:pPr>
              <w:spacing w:after="0"/>
              <w:jc w:val="center"/>
            </w:pPr>
            <w:r/>
            <w:r>
              <w:rPr>
                <w:rFonts w:ascii="Georgia" w:hAnsi="Georgia"/>
                <w:b w:val="0"/>
                <w:i w:val="0"/>
                <w:color w:val="262B35"/>
                <w:sz w:val="17"/>
              </w:rPr>
              <w:t>$0.15</w:t>
            </w:r>
          </w:p>
        </w:tc>
        <w:tc>
          <w:tcPr>
            <w:tcW w:type="dxa" w:w="1243"/>
          </w:tcPr>
          <w:p>
            <w:pPr>
              <w:spacing w:after="0"/>
              <w:jc w:val="center"/>
            </w:pPr>
            <w:r/>
            <w:r>
              <w:rPr>
                <w:rFonts w:ascii="Georgia" w:hAnsi="Georgia"/>
                <w:b w:val="0"/>
                <w:i w:val="0"/>
                <w:color w:val="262B35"/>
                <w:sz w:val="17"/>
              </w:rPr>
              <w:t>$0.18</w:t>
            </w:r>
          </w:p>
        </w:tc>
        <w:tc>
          <w:tcPr>
            <w:tcW w:type="dxa" w:w="1243"/>
          </w:tcPr>
          <w:p>
            <w:pPr>
              <w:spacing w:after="0"/>
              <w:jc w:val="center"/>
            </w:pPr>
            <w:r/>
            <w:r>
              <w:rPr>
                <w:rFonts w:ascii="Georgia" w:hAnsi="Georgia"/>
                <w:b w:val="0"/>
                <w:i w:val="0"/>
                <w:color w:val="262B35"/>
                <w:sz w:val="17"/>
              </w:rPr>
              <w:t>$0.20</w:t>
            </w:r>
          </w:p>
        </w:tc>
      </w:tr>
      <w:tr>
        <w:trPr>
          <w:cantSplit/>
        </w:trPr>
        <w:tc>
          <w:tcPr>
            <w:tcW w:type="dxa" w:w="1900"/>
            <w:shd w:val="clear" w:fill="F2F5F9"/>
          </w:tcPr>
          <w:p>
            <w:pPr>
              <w:spacing w:after="0"/>
              <w:jc w:val="left"/>
            </w:pPr>
            <w:r/>
            <w:r>
              <w:rPr>
                <w:rFonts w:ascii="Georgia" w:hAnsi="Georgia"/>
                <w:b w:val="0"/>
                <w:i w:val="0"/>
                <w:color w:val="262B35"/>
                <w:sz w:val="17"/>
              </w:rPr>
              <w:t>Grok 4.5</w:t>
            </w:r>
          </w:p>
        </w:tc>
        <w:tc>
          <w:tcPr>
            <w:tcW w:type="dxa" w:w="1243"/>
            <w:shd w:val="clear" w:fill="F2F5F9"/>
          </w:tcPr>
          <w:p>
            <w:pPr>
              <w:spacing w:after="0"/>
              <w:jc w:val="center"/>
            </w:pPr>
            <w:r/>
            <w:r>
              <w:rPr>
                <w:rFonts w:ascii="Georgia" w:hAnsi="Georgia"/>
                <w:b w:val="0"/>
                <w:i w:val="0"/>
                <w:color w:val="262B35"/>
                <w:sz w:val="17"/>
              </w:rPr>
              <w:t>$2.00</w:t>
            </w:r>
          </w:p>
        </w:tc>
        <w:tc>
          <w:tcPr>
            <w:tcW w:type="dxa" w:w="1243"/>
            <w:shd w:val="clear" w:fill="F2F5F9"/>
          </w:tcPr>
          <w:p>
            <w:pPr>
              <w:spacing w:after="0"/>
              <w:jc w:val="center"/>
            </w:pPr>
            <w:r/>
            <w:r>
              <w:rPr>
                <w:rFonts w:ascii="Georgia" w:hAnsi="Georgia"/>
                <w:b w:val="0"/>
                <w:i w:val="0"/>
                <w:color w:val="262B35"/>
                <w:sz w:val="17"/>
              </w:rPr>
              <w:t>$6.00</w:t>
            </w:r>
          </w:p>
        </w:tc>
        <w:tc>
          <w:tcPr>
            <w:tcW w:type="dxa" w:w="1243"/>
            <w:shd w:val="clear" w:fill="F2F5F9"/>
          </w:tcPr>
          <w:p>
            <w:pPr>
              <w:spacing w:after="0"/>
              <w:jc w:val="center"/>
            </w:pPr>
            <w:r/>
            <w:r>
              <w:rPr>
                <w:rFonts w:ascii="Georgia" w:hAnsi="Georgia"/>
                <w:b w:val="0"/>
                <w:i w:val="0"/>
                <w:color w:val="262B35"/>
                <w:sz w:val="17"/>
              </w:rPr>
              <w:t>$0.19</w:t>
            </w:r>
          </w:p>
        </w:tc>
        <w:tc>
          <w:tcPr>
            <w:tcW w:type="dxa" w:w="1243"/>
            <w:shd w:val="clear" w:fill="F2F5F9"/>
          </w:tcPr>
          <w:p>
            <w:pPr>
              <w:spacing w:after="0"/>
              <w:jc w:val="center"/>
            </w:pPr>
            <w:r/>
            <w:r>
              <w:rPr>
                <w:rFonts w:ascii="Georgia" w:hAnsi="Georgia"/>
                <w:b w:val="0"/>
                <w:i w:val="0"/>
                <w:color w:val="262B35"/>
                <w:sz w:val="17"/>
              </w:rPr>
              <w:t>$0.21</w:t>
            </w:r>
          </w:p>
        </w:tc>
        <w:tc>
          <w:tcPr>
            <w:tcW w:type="dxa" w:w="1243"/>
            <w:shd w:val="clear" w:fill="F2F5F9"/>
          </w:tcPr>
          <w:p>
            <w:pPr>
              <w:spacing w:after="0"/>
              <w:jc w:val="center"/>
            </w:pPr>
            <w:r/>
            <w:r>
              <w:rPr>
                <w:rFonts w:ascii="Georgia" w:hAnsi="Georgia"/>
                <w:b w:val="0"/>
                <w:i w:val="0"/>
                <w:color w:val="262B35"/>
                <w:sz w:val="17"/>
              </w:rPr>
              <w:t>$0.26</w:t>
            </w:r>
          </w:p>
        </w:tc>
        <w:tc>
          <w:tcPr>
            <w:tcW w:type="dxa" w:w="1243"/>
            <w:shd w:val="clear" w:fill="F2F5F9"/>
          </w:tcPr>
          <w:p>
            <w:pPr>
              <w:spacing w:after="0"/>
              <w:jc w:val="center"/>
            </w:pPr>
            <w:r/>
            <w:r>
              <w:rPr>
                <w:rFonts w:ascii="Georgia" w:hAnsi="Georgia"/>
                <w:b w:val="0"/>
                <w:i w:val="0"/>
                <w:color w:val="262B35"/>
                <w:sz w:val="17"/>
              </w:rPr>
              <w:t>$0.30</w:t>
            </w:r>
          </w:p>
        </w:tc>
      </w:tr>
      <w:tr>
        <w:trPr>
          <w:cantSplit/>
        </w:trPr>
        <w:tc>
          <w:tcPr>
            <w:tcW w:type="dxa" w:w="1900"/>
          </w:tcPr>
          <w:p>
            <w:pPr>
              <w:spacing w:after="0"/>
              <w:jc w:val="left"/>
            </w:pPr>
            <w:r/>
            <w:r>
              <w:rPr>
                <w:rFonts w:ascii="Georgia" w:hAnsi="Georgia"/>
                <w:b w:val="0"/>
                <w:i w:val="0"/>
                <w:color w:val="262B35"/>
                <w:sz w:val="17"/>
              </w:rPr>
              <w:t>Muse Spark 1.1</w:t>
            </w:r>
          </w:p>
        </w:tc>
        <w:tc>
          <w:tcPr>
            <w:tcW w:type="dxa" w:w="1243"/>
          </w:tcPr>
          <w:p>
            <w:pPr>
              <w:spacing w:after="0"/>
              <w:jc w:val="center"/>
            </w:pPr>
            <w:r/>
            <w:r>
              <w:rPr>
                <w:rFonts w:ascii="Georgia" w:hAnsi="Georgia"/>
                <w:b w:val="0"/>
                <w:i w:val="0"/>
                <w:color w:val="262B35"/>
                <w:sz w:val="17"/>
              </w:rPr>
              <w:t>$1.25</w:t>
            </w:r>
          </w:p>
        </w:tc>
        <w:tc>
          <w:tcPr>
            <w:tcW w:type="dxa" w:w="1243"/>
          </w:tcPr>
          <w:p>
            <w:pPr>
              <w:spacing w:after="0"/>
              <w:jc w:val="center"/>
            </w:pPr>
            <w:r/>
            <w:r>
              <w:rPr>
                <w:rFonts w:ascii="Georgia" w:hAnsi="Georgia"/>
                <w:b w:val="0"/>
                <w:i w:val="0"/>
                <w:color w:val="262B35"/>
                <w:sz w:val="17"/>
              </w:rPr>
              <w:t>$4.25</w:t>
            </w:r>
          </w:p>
        </w:tc>
        <w:tc>
          <w:tcPr>
            <w:tcW w:type="dxa" w:w="1243"/>
          </w:tcPr>
          <w:p>
            <w:pPr>
              <w:spacing w:after="0"/>
              <w:jc w:val="center"/>
            </w:pPr>
            <w:r/>
            <w:r>
              <w:rPr>
                <w:rFonts w:ascii="Georgia" w:hAnsi="Georgia"/>
                <w:b w:val="0"/>
                <w:i w:val="0"/>
                <w:color w:val="262B35"/>
                <w:sz w:val="17"/>
              </w:rPr>
              <w:t>$0.13</w:t>
            </w:r>
          </w:p>
        </w:tc>
        <w:tc>
          <w:tcPr>
            <w:tcW w:type="dxa" w:w="1243"/>
          </w:tcPr>
          <w:p>
            <w:pPr>
              <w:spacing w:after="0"/>
              <w:jc w:val="center"/>
            </w:pPr>
            <w:r/>
            <w:r>
              <w:rPr>
                <w:rFonts w:ascii="Georgia" w:hAnsi="Georgia"/>
                <w:b w:val="0"/>
                <w:i w:val="0"/>
                <w:color w:val="262B35"/>
                <w:sz w:val="17"/>
              </w:rPr>
              <w:t>$0.14</w:t>
            </w:r>
          </w:p>
        </w:tc>
        <w:tc>
          <w:tcPr>
            <w:tcW w:type="dxa" w:w="1243"/>
          </w:tcPr>
          <w:p>
            <w:pPr>
              <w:spacing w:after="0"/>
              <w:jc w:val="center"/>
            </w:pPr>
            <w:r/>
            <w:r>
              <w:rPr>
                <w:rFonts w:ascii="Georgia" w:hAnsi="Georgia"/>
                <w:b w:val="0"/>
                <w:i w:val="0"/>
                <w:color w:val="262B35"/>
                <w:sz w:val="17"/>
              </w:rPr>
              <w:t>$0.17</w:t>
            </w:r>
          </w:p>
        </w:tc>
        <w:tc>
          <w:tcPr>
            <w:tcW w:type="dxa" w:w="1243"/>
          </w:tcPr>
          <w:p>
            <w:pPr>
              <w:spacing w:after="0"/>
              <w:jc w:val="center"/>
            </w:pPr>
            <w:r/>
            <w:r>
              <w:rPr>
                <w:rFonts w:ascii="Georgia" w:hAnsi="Georgia"/>
                <w:b w:val="0"/>
                <w:i w:val="0"/>
                <w:color w:val="262B35"/>
                <w:sz w:val="17"/>
              </w:rPr>
              <w:t>$0.19</w:t>
            </w:r>
          </w:p>
        </w:tc>
      </w:tr>
    </w:tbl>
    <w:p>
      <w:pPr>
        <w:spacing w:after="40"/>
      </w:pPr>
    </w:p>
    <w:p>
      <w:r>
        <w:rPr>
          <w:rFonts w:ascii="Georgia" w:hAnsi="Georgia"/>
          <w:i/>
          <w:color w:val="6B7280"/>
          <w:sz w:val="17"/>
        </w:rPr>
        <w:t>All prices T1; per-task figures our arithmetic, T2.</w:t>
      </w:r>
    </w:p>
    <w:p>
      <w:r>
        <w:rPr>
          <w:rFonts w:ascii="Georgia" w:hAnsi="Georgia"/>
          <w:b w:val="0"/>
          <w:color w:val="262B35"/>
          <w:sz w:val="21"/>
        </w:rPr>
        <w:t>Run the token-only break-even and the result is stark: Opus at $0.60 per attempt is cheaper per completed task than Muse Spark at $0.126 only if its per-attempt success rate exceeds Muse's by a factor of 4.8. If Opus completes 90% of attempts, Muse would need to fail more than 81% of the time before Opus wins on tokens alone. No frontier gap is that wide. On raw token arithmetic, the cheap tier wins almost mechanically.</w:t>
      </w:r>
    </w:p>
    <w:p>
      <w:r>
        <w:rPr>
          <w:rFonts w:ascii="Georgia" w:hAnsi="Georgia"/>
          <w:b w:val="0"/>
          <w:color w:val="262B35"/>
          <w:sz w:val="21"/>
        </w:rPr>
        <w:t>That is why token arithmetic is incomplete. In deployed enterprise workflows, a failed agentic attempt is not free: it consumes reviewer time, breaks downstream automation, and erodes trust in the seat. Assign a conservative $17 remediation cost per failed attempt, ten minutes of a $100/hour fully loaded operator (our assumption, T2). The fully loaded cost per completed task becomes (cost per attempt + $17 x (1 - p)) / p:</w:t>
      </w:r>
    </w:p>
    <w:p>
      <w:pPr>
        <w:pStyle w:val="ListBullet"/>
        <w:spacing w:after="80"/>
      </w:pPr>
      <w:r>
        <w:rPr>
          <w:rFonts w:ascii="Georgia" w:hAnsi="Georgia"/>
          <w:b w:val="0"/>
          <w:color w:val="262B35"/>
          <w:sz w:val="21"/>
        </w:rPr>
        <w:t>Opus 4.8 at p = 90%: $0.67 in tokens plus $1.89 in remediation, $2.56 per completed task.</w:t>
      </w:r>
    </w:p>
    <w:p>
      <w:pPr>
        <w:pStyle w:val="ListBullet"/>
        <w:spacing w:after="80"/>
      </w:pPr>
      <w:r>
        <w:rPr>
          <w:rFonts w:ascii="Georgia" w:hAnsi="Georgia"/>
          <w:b w:val="0"/>
          <w:color w:val="262B35"/>
          <w:sz w:val="21"/>
        </w:rPr>
        <w:t>Muse Spark at p = 75%: $0.17 in tokens plus $5.67 in remediation, $5.83 per completed task, 2.3x more expensive despite tokens at roughly one quarter the cost.</w:t>
      </w:r>
    </w:p>
    <w:p>
      <w:pPr>
        <w:pStyle w:val="ListBullet"/>
        <w:spacing w:after="80"/>
      </w:pPr>
      <w:r>
        <w:rPr>
          <w:rFonts w:ascii="Georgia" w:hAnsi="Georgia"/>
          <w:b w:val="0"/>
          <w:color w:val="262B35"/>
          <w:sz w:val="21"/>
        </w:rPr>
        <w:t>Break-even: Muse Spark matches Opus's $2.56 at p = 87.6%. A gap of 2.4 percentage points, 90.0% versus 87.6%, fully funds a 4.8x token-price premium.</w:t>
      </w:r>
    </w:p>
    <w:tbl>
      <w:tblPr>
        <w:tblW w:type="dxa" w:w="9360"/>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9360"/>
      </w:tblGrid>
      <w:tr>
        <w:trPr>
          <w:cantSplit/>
        </w:trPr>
        <w:tc>
          <w:tcPr>
            <w:tcW w:type="dxa" w:w="9360"/>
            <w:shd w:val="clear" w:fill="F2F5F9"/>
          </w:tcPr>
          <w:p>
            <w:pPr>
              <w:spacing w:after="0"/>
            </w:pPr>
            <w:r/>
            <w:r>
              <w:rPr>
                <w:rFonts w:ascii="Georgia" w:hAnsi="Georgia"/>
                <w:b/>
                <w:color w:val="1F2A44"/>
                <w:sz w:val="18"/>
              </w:rPr>
              <w:t xml:space="preserve">CHART: </w:t>
            </w:r>
            <w:r>
              <w:rPr>
                <w:rFonts w:ascii="Georgia" w:hAnsi="Georgia"/>
                <w:i/>
                <w:color w:val="262B35"/>
                <w:sz w:val="18"/>
              </w:rPr>
              <w:t>Fully loaded cost per completed task versus per-attempt success rate, one curve per model, at $17 remediation cost. Takeaway: curves cross in a narrow band near 85-90% success; below it, token price dominates; above it, reliability dominates. Data: the five list prices above, the 60k/12k workload, p from 50% to 99%.</w:t>
            </w:r>
          </w:p>
        </w:tc>
      </w:tr>
    </w:tbl>
    <w:p>
      <w:pPr>
        <w:spacing w:after="40"/>
      </w:pPr>
    </w:p>
    <w:p>
      <w:r>
        <w:rPr>
          <w:rFonts w:ascii="Georgia" w:hAnsi="Georgia"/>
          <w:b w:val="0"/>
          <w:color w:val="262B35"/>
          <w:sz w:val="21"/>
        </w:rPr>
        <w:t>This is the spine of the note and the whole repricing debate compresses into it. Where failure is cheap, in drafting, summarization, internal search, the cheap tier wins and the mid-market reprices toward Muse and Luna immediately. Where failure is expensive, in agentic workflows that touch production systems, customer communications, or regulated output, single-digit reliability gaps justify multi-x token premiums. Anthropic's pricing is a bet that the second category is where the revenue pool concentrates; Meta's pricing is a bet that the first category is where the volume pool concentrates. Both can be right, which is why our read is segmentation, not war.</w:t>
      </w:r>
    </w:p>
    <w:p>
      <w:r>
        <w:rPr>
          <w:rFonts w:ascii="Georgia" w:hAnsi="Georgia"/>
          <w:b w:val="0"/>
          <w:color w:val="262B35"/>
          <w:sz w:val="21"/>
        </w:rPr>
        <w:t>Test: by September 30, 2026, third-party agentic evaluations that publish cost-per-completed-task (not per-token) comparisons should show Opus 4.8 within or below Luna/Muse pricing on high-stakes workflow suites. If independent (non-vendor) evals show the cheap tier matching premium task-success within 2 points at scale, the spine of this note breaks.</w:t>
      </w:r>
    </w:p>
    <w:p>
      <w:pPr>
        <w:pStyle w:val="Heading1"/>
      </w:pPr>
      <w:r>
        <w:t>2. Margin mechanics: who can subsidize, and is this a war?</w:t>
      </w:r>
    </w:p>
    <w:p>
      <w:r>
        <w:rPr>
          <w:rFonts w:ascii="Georgia" w:hAnsi="Georgia"/>
          <w:b w:val="0"/>
          <w:color w:val="262B35"/>
          <w:sz w:val="21"/>
        </w:rPr>
        <w:t>Consider what a 4x to 5x output-price cut does to model-layer gross margin. Assume a frontier-scale model serves at roughly $6 to $8 per million output tokens in amortized compute at current utilization (our estimate, T2, from public GPU-hour economics; serving-cost disclosures do not exist at T1). At $25 output, that is roughly a 70% gross margin. At $4.25 to $6, it is roughly negative 15% to negative 30% unless serving cost falls in step. Distillation, batching, and custom silicon have historically delivered 2x to 3x serving-cost reduction per model generation (T3, trade analyses), and frontier token prices have fallen roughly an order of magnitude per year at constant quality (T3). A 4x cut inside one generation therefore outruns cost decline. Someone is funding the gap.</w:t>
      </w:r>
    </w:p>
    <w:tbl>
      <w:tblPr>
        <w:tblW w:type="dxa" w:w="9360"/>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9360"/>
      </w:tblGrid>
      <w:tr>
        <w:trPr>
          <w:cantSplit/>
        </w:trPr>
        <w:tc>
          <w:tcPr>
            <w:tcW w:type="dxa" w:w="9360"/>
            <w:shd w:val="clear" w:fill="F2F5F9"/>
          </w:tcPr>
          <w:p>
            <w:pPr>
              <w:spacing w:after="0"/>
            </w:pPr>
            <w:r/>
            <w:r>
              <w:rPr>
                <w:rFonts w:ascii="Georgia" w:hAnsi="Georgia"/>
                <w:b/>
                <w:color w:val="1F2A44"/>
                <w:sz w:val="18"/>
              </w:rPr>
              <w:t xml:space="preserve">CHART: </w:t>
            </w:r>
            <w:r>
              <w:rPr>
                <w:rFonts w:ascii="Georgia" w:hAnsi="Georgia"/>
                <w:i/>
                <w:color w:val="262B35"/>
                <w:sz w:val="18"/>
              </w:rPr>
              <w:t>Implied model-layer gross margin versus output list price at a fixed serving cost of $6 to $8 per million output tokens (our estimate, T2). Takeaway: every output price below roughly $8 is gross-margin negative without a step change in serving cost; the floor tier is priced below cost. Data: the five output list prices against the $6 to $8 serving band.</w:t>
            </w:r>
          </w:p>
        </w:tc>
      </w:tr>
    </w:tbl>
    <w:p>
      <w:pPr>
        <w:spacing w:after="40"/>
      </w:pPr>
    </w:p>
    <w:p>
      <w:r>
        <w:rPr>
          <w:rFonts w:ascii="Georgia" w:hAnsi="Georgia"/>
          <w:b w:val="0"/>
          <w:color w:val="262B35"/>
          <w:sz w:val="21"/>
        </w:rPr>
        <w:t>Position by position:</w:t>
      </w:r>
    </w:p>
    <w:p>
      <w:r>
        <w:rPr>
          <w:rFonts w:ascii="Georgia" w:hAnsi="Georgia"/>
          <w:b/>
          <w:color w:val="262B35"/>
          <w:sz w:val="21"/>
        </w:rPr>
        <w:t>Meta: commoditize the complement, the one structural price warrior.</w:t>
      </w:r>
      <w:r>
        <w:rPr>
          <w:rFonts w:ascii="Georgia" w:hAnsi="Georgia"/>
          <w:b w:val="0"/>
          <w:color w:val="262B35"/>
          <w:sz w:val="21"/>
        </w:rPr>
        <w:t xml:space="preserve"> Meta does not need model-layer gross margin. Muse Spark priced near or below cost drives the complement's price toward zero while Meta monetizes the surface, the ad load, and increasingly its own silicon. This is the textbook commoditization play and it is durable because the funding source is an ads cash engine, not external capital. The T3 discount on its benchmark claim matters less than the price itself, which is real and T1.</w:t>
      </w:r>
    </w:p>
    <w:p>
      <w:r>
        <w:rPr>
          <w:rFonts w:ascii="Georgia" w:hAnsi="Georgia"/>
          <w:b/>
          <w:color w:val="262B35"/>
          <w:sz w:val="21"/>
        </w:rPr>
        <w:t>xAI: a forced participant with no clean cash engine.</w:t>
      </w:r>
      <w:r>
        <w:rPr>
          <w:rFonts w:ascii="Georgia" w:hAnsi="Georgia"/>
          <w:b w:val="0"/>
          <w:color w:val="262B35"/>
          <w:sz w:val="21"/>
        </w:rPr>
        <w:t xml:space="preserve"> Grok 4.5 at $2 / $6 sits on an AI segment with $3.2B ARR and a FY25 operating loss of $6.36B (T2), inside a combined SPCX structure marked near $1.97T. The subsidy runs through the SpaceX/Starlink cross-flow and external capital. That is a balance-sheet decision, not a business model, and it is the least durable position at the table if the financing channel tightens.</w:t>
      </w:r>
    </w:p>
    <w:p>
      <w:r>
        <w:rPr>
          <w:rFonts w:ascii="Georgia" w:hAnsi="Georgia"/>
          <w:b/>
          <w:color w:val="262B35"/>
          <w:sz w:val="21"/>
        </w:rPr>
        <w:t>OpenAI: segmentation, not a race to zero.</w:t>
      </w:r>
      <w:r>
        <w:rPr>
          <w:rFonts w:ascii="Georgia" w:hAnsi="Georgia"/>
          <w:b w:val="0"/>
          <w:color w:val="262B35"/>
          <w:sz w:val="21"/>
        </w:rPr>
        <w:t xml:space="preserve"> The tell is Sol at $5 / $30, priced above Opus on output. OpenAI is bifurcating: Luna harvests the price-sensitive volume pool at $1 / $6 while Sol defends the premium pool. With ~$25B net ARR, roughly 900M weekly actives, Codex above 1.5M weekly actives (T2), and capital efficiency of 0.14x, OpenAI needs the premium tier; its 34.1x multiple cannot be carried by $6-output economics.</w:t>
      </w:r>
    </w:p>
    <w:p>
      <w:r>
        <w:rPr>
          <w:rFonts w:ascii="Georgia" w:hAnsi="Georgia"/>
          <w:b/>
          <w:color w:val="262B35"/>
          <w:sz w:val="21"/>
        </w:rPr>
        <w:t>Anthropic: defends the premium and declines to chase.</w:t>
      </w:r>
      <w:r>
        <w:rPr>
          <w:rFonts w:ascii="Georgia" w:hAnsi="Georgia"/>
          <w:b w:val="0"/>
          <w:color w:val="262B35"/>
          <w:sz w:val="21"/>
        </w:rPr>
        <w:t xml:space="preserve"> Opus 4.8 holds at $5 / $25. Anthropic's $47B gross run-rate ARR, 20.5x multiple on a $965B mark, 0.38x capital efficiency, and a first quarterly operating profit of roughly $559M in Q2 (T2, with two qualifiers that matter: the figure excludes stock-based compensation and rides a ramp discount on its SpaceX compute deal, so it overstates steady-state economics) all argue the same strategy: hold price, prove attach.</w:t>
      </w:r>
    </w:p>
    <w:tbl>
      <w:tblPr>
        <w:tblW w:type="dxa" w:w="9360"/>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9360"/>
      </w:tblGrid>
      <w:tr>
        <w:trPr>
          <w:cantSplit/>
        </w:trPr>
        <w:tc>
          <w:tcPr>
            <w:tcW w:type="dxa" w:w="9360"/>
            <w:shd w:val="clear" w:fill="F2F5F9"/>
          </w:tcPr>
          <w:p>
            <w:pPr>
              <w:spacing w:after="0"/>
            </w:pPr>
            <w:r/>
            <w:r>
              <w:rPr>
                <w:rFonts w:ascii="Georgia" w:hAnsi="Georgia"/>
                <w:b/>
                <w:color w:val="1F2A44"/>
                <w:sz w:val="18"/>
              </w:rPr>
              <w:t xml:space="preserve">TABLE: </w:t>
            </w:r>
            <w:r>
              <w:rPr>
                <w:rFonts w:ascii="Georgia" w:hAnsi="Georgia"/>
                <w:i/>
                <w:color w:val="262B35"/>
                <w:sz w:val="18"/>
              </w:rPr>
              <w:t>AIBQ business quality versus valuation and economics. Takeaway: quality and price paid are widely dispersed; the premium-priced labs are not the highest-quality businesses on our framework, and the highest-quality business is the one selling to all of them.</w:t>
            </w:r>
          </w:p>
        </w:tc>
      </w:tr>
    </w:tbl>
    <w:p>
      <w:pPr>
        <w:spacing w:after="40"/>
      </w:pPr>
    </w:p>
    <w:tbl>
      <w:tblPr>
        <w:tblW w:type="dxa" w:w="9360"/>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1337"/>
        <w:gridCol w:w="1337"/>
        <w:gridCol w:w="1337"/>
        <w:gridCol w:w="1337"/>
        <w:gridCol w:w="1337"/>
        <w:gridCol w:w="1337"/>
        <w:gridCol w:w="1337"/>
      </w:tblGrid>
      <w:tr>
        <w:trPr>
          <w:cantSplit/>
          <w:tblHeader w:val="true"/>
        </w:trPr>
        <w:tc>
          <w:tcPr>
            <w:tcW w:type="dxa" w:w="1900"/>
            <w:shd w:val="clear" w:fill="1F2A44"/>
          </w:tcPr>
          <w:p>
            <w:pPr>
              <w:spacing w:after="0"/>
              <w:jc w:val="left"/>
            </w:pPr>
            <w:r/>
            <w:r>
              <w:rPr>
                <w:rFonts w:ascii="Georgia" w:hAnsi="Georgia"/>
                <w:b/>
                <w:i w:val="0"/>
                <w:color w:val="FFFFFF"/>
                <w:sz w:val="17"/>
              </w:rPr>
              <w:t>Company</w:t>
            </w:r>
          </w:p>
        </w:tc>
        <w:tc>
          <w:tcPr>
            <w:tcW w:type="dxa" w:w="1243"/>
            <w:shd w:val="clear" w:fill="1F2A44"/>
          </w:tcPr>
          <w:p>
            <w:pPr>
              <w:spacing w:after="0"/>
              <w:jc w:val="center"/>
            </w:pPr>
            <w:r/>
            <w:r>
              <w:rPr>
                <w:rFonts w:ascii="Georgia" w:hAnsi="Georgia"/>
                <w:b/>
                <w:i w:val="0"/>
                <w:color w:val="FFFFFF"/>
                <w:sz w:val="17"/>
              </w:rPr>
              <w:t>AIBQ composite</w:t>
            </w:r>
          </w:p>
        </w:tc>
        <w:tc>
          <w:tcPr>
            <w:tcW w:type="dxa" w:w="1243"/>
            <w:shd w:val="clear" w:fill="1F2A44"/>
          </w:tcPr>
          <w:p>
            <w:pPr>
              <w:spacing w:after="0"/>
              <w:jc w:val="center"/>
            </w:pPr>
            <w:r/>
            <w:r>
              <w:rPr>
                <w:rFonts w:ascii="Georgia" w:hAnsi="Georgia"/>
                <w:b/>
                <w:i w:val="0"/>
                <w:color w:val="FFFFFF"/>
                <w:sz w:val="17"/>
              </w:rPr>
              <w:t>Valuation / mark</w:t>
            </w:r>
          </w:p>
        </w:tc>
        <w:tc>
          <w:tcPr>
            <w:tcW w:type="dxa" w:w="1243"/>
            <w:shd w:val="clear" w:fill="1F2A44"/>
          </w:tcPr>
          <w:p>
            <w:pPr>
              <w:spacing w:after="0"/>
              <w:jc w:val="center"/>
            </w:pPr>
            <w:r/>
            <w:r>
              <w:rPr>
                <w:rFonts w:ascii="Georgia" w:hAnsi="Georgia"/>
                <w:b/>
                <w:i w:val="0"/>
                <w:color w:val="FFFFFF"/>
                <w:sz w:val="17"/>
              </w:rPr>
              <w:t>Revenue basis</w:t>
            </w:r>
          </w:p>
        </w:tc>
        <w:tc>
          <w:tcPr>
            <w:tcW w:type="dxa" w:w="1243"/>
            <w:shd w:val="clear" w:fill="1F2A44"/>
          </w:tcPr>
          <w:p>
            <w:pPr>
              <w:spacing w:after="0"/>
              <w:jc w:val="center"/>
            </w:pPr>
            <w:r/>
            <w:r>
              <w:rPr>
                <w:rFonts w:ascii="Georgia" w:hAnsi="Georgia"/>
                <w:b/>
                <w:i w:val="0"/>
                <w:color w:val="FFFFFF"/>
                <w:sz w:val="17"/>
              </w:rPr>
              <w:t>Multiple</w:t>
            </w:r>
          </w:p>
        </w:tc>
        <w:tc>
          <w:tcPr>
            <w:tcW w:type="dxa" w:w="1243"/>
            <w:shd w:val="clear" w:fill="1F2A44"/>
          </w:tcPr>
          <w:p>
            <w:pPr>
              <w:spacing w:after="0"/>
              <w:jc w:val="center"/>
            </w:pPr>
            <w:r/>
            <w:r>
              <w:rPr>
                <w:rFonts w:ascii="Georgia" w:hAnsi="Georgia"/>
                <w:b/>
                <w:i w:val="0"/>
                <w:color w:val="FFFFFF"/>
                <w:sz w:val="17"/>
              </w:rPr>
              <w:t>Capital efficiency</w:t>
            </w:r>
          </w:p>
        </w:tc>
        <w:tc>
          <w:tcPr>
            <w:tcW w:type="dxa" w:w="1243"/>
            <w:shd w:val="clear" w:fill="1F2A44"/>
          </w:tcPr>
          <w:p>
            <w:pPr>
              <w:spacing w:after="0"/>
              <w:jc w:val="center"/>
            </w:pPr>
            <w:r/>
            <w:r>
              <w:rPr>
                <w:rFonts w:ascii="Georgia" w:hAnsi="Georgia"/>
                <w:b/>
                <w:i w:val="0"/>
                <w:color w:val="FFFFFF"/>
                <w:sz w:val="17"/>
              </w:rPr>
              <w:t>Profitability marker</w:t>
            </w:r>
          </w:p>
        </w:tc>
      </w:tr>
      <w:tr>
        <w:trPr>
          <w:cantSplit/>
        </w:trPr>
        <w:tc>
          <w:tcPr>
            <w:tcW w:type="dxa" w:w="1900"/>
          </w:tcPr>
          <w:p>
            <w:pPr>
              <w:spacing w:after="0"/>
              <w:jc w:val="left"/>
            </w:pPr>
            <w:r/>
            <w:r>
              <w:rPr>
                <w:rFonts w:ascii="Georgia" w:hAnsi="Georgia"/>
                <w:b w:val="0"/>
                <w:i w:val="0"/>
                <w:color w:val="262B35"/>
                <w:sz w:val="17"/>
              </w:rPr>
              <w:t>Databricks</w:t>
            </w:r>
          </w:p>
        </w:tc>
        <w:tc>
          <w:tcPr>
            <w:tcW w:type="dxa" w:w="1243"/>
          </w:tcPr>
          <w:p>
            <w:pPr>
              <w:spacing w:after="0"/>
              <w:jc w:val="center"/>
            </w:pPr>
            <w:r/>
            <w:r>
              <w:rPr>
                <w:rFonts w:ascii="Georgia" w:hAnsi="Georgia"/>
                <w:b w:val="0"/>
                <w:i w:val="0"/>
                <w:color w:val="262B35"/>
                <w:sz w:val="17"/>
              </w:rPr>
              <w:t>8.81</w:t>
            </w:r>
          </w:p>
        </w:tc>
        <w:tc>
          <w:tcPr>
            <w:tcW w:type="dxa" w:w="1243"/>
          </w:tcPr>
          <w:p>
            <w:pPr>
              <w:spacing w:after="0"/>
              <w:jc w:val="center"/>
            </w:pPr>
            <w:r/>
            <w:r>
              <w:rPr>
                <w:rFonts w:ascii="Georgia" w:hAnsi="Georgia"/>
                <w:b w:val="0"/>
                <w:i w:val="0"/>
                <w:color w:val="262B35"/>
                <w:sz w:val="17"/>
              </w:rPr>
              <w:t>~$170B round in talks (unclosed, T3)</w:t>
            </w:r>
          </w:p>
        </w:tc>
        <w:tc>
          <w:tcPr>
            <w:tcW w:type="dxa" w:w="1243"/>
          </w:tcPr>
          <w:p>
            <w:pPr>
              <w:spacing w:after="0"/>
              <w:jc w:val="center"/>
            </w:pPr>
            <w:r/>
            <w:r>
              <w:rPr>
                <w:rFonts w:ascii="Georgia" w:hAnsi="Georgia"/>
                <w:b w:val="0"/>
                <w:i w:val="0"/>
                <w:color w:val="262B35"/>
                <w:sz w:val="17"/>
              </w:rPr>
              <w:t>$6.9B ARR, +80% YoY</w:t>
            </w:r>
          </w:p>
        </w:tc>
        <w:tc>
          <w:tcPr>
            <w:tcW w:type="dxa" w:w="1243"/>
          </w:tcPr>
          <w:p>
            <w:pPr>
              <w:spacing w:after="0"/>
              <w:jc w:val="center"/>
            </w:pPr>
            <w:r/>
            <w:r>
              <w:rPr>
                <w:rFonts w:ascii="Georgia" w:hAnsi="Georgia"/>
                <w:b w:val="0"/>
                <w:i w:val="0"/>
                <w:color w:val="262B35"/>
                <w:sz w:val="17"/>
              </w:rPr>
              <w:t>n.m. until closed</w:t>
            </w:r>
          </w:p>
        </w:tc>
        <w:tc>
          <w:tcPr>
            <w:tcW w:type="dxa" w:w="1243"/>
          </w:tcPr>
          <w:p>
            <w:pPr>
              <w:spacing w:after="0"/>
              <w:jc w:val="center"/>
            </w:pPr>
            <w:r/>
            <w:r>
              <w:rPr>
                <w:rFonts w:ascii="Georgia" w:hAnsi="Georgia"/>
                <w:b w:val="0"/>
                <w:i w:val="0"/>
                <w:color w:val="262B35"/>
                <w:sz w:val="17"/>
              </w:rPr>
              <w:t>n.d.</w:t>
            </w:r>
          </w:p>
        </w:tc>
        <w:tc>
          <w:tcPr>
            <w:tcW w:type="dxa" w:w="1243"/>
          </w:tcPr>
          <w:p>
            <w:pPr>
              <w:spacing w:after="0"/>
              <w:jc w:val="center"/>
            </w:pPr>
            <w:r/>
            <w:r>
              <w:rPr>
                <w:rFonts w:ascii="Georgia" w:hAnsi="Georgia"/>
                <w:b w:val="0"/>
                <w:i w:val="0"/>
                <w:color w:val="262B35"/>
                <w:sz w:val="17"/>
              </w:rPr>
              <w:t>FCF positive</w:t>
            </w:r>
          </w:p>
        </w:tc>
      </w:tr>
      <w:tr>
        <w:trPr>
          <w:cantSplit/>
        </w:trPr>
        <w:tc>
          <w:tcPr>
            <w:tcW w:type="dxa" w:w="1900"/>
            <w:shd w:val="clear" w:fill="F2F5F9"/>
          </w:tcPr>
          <w:p>
            <w:pPr>
              <w:spacing w:after="0"/>
              <w:jc w:val="left"/>
            </w:pPr>
            <w:r/>
            <w:r>
              <w:rPr>
                <w:rFonts w:ascii="Georgia" w:hAnsi="Georgia"/>
                <w:b w:val="0"/>
                <w:i w:val="0"/>
                <w:color w:val="262B35"/>
                <w:sz w:val="17"/>
              </w:rPr>
              <w:t>Anthropic</w:t>
            </w:r>
          </w:p>
        </w:tc>
        <w:tc>
          <w:tcPr>
            <w:tcW w:type="dxa" w:w="1243"/>
            <w:shd w:val="clear" w:fill="F2F5F9"/>
          </w:tcPr>
          <w:p>
            <w:pPr>
              <w:spacing w:after="0"/>
              <w:jc w:val="center"/>
            </w:pPr>
            <w:r/>
            <w:r>
              <w:rPr>
                <w:rFonts w:ascii="Georgia" w:hAnsi="Georgia"/>
                <w:b w:val="0"/>
                <w:i w:val="0"/>
                <w:color w:val="262B35"/>
                <w:sz w:val="17"/>
              </w:rPr>
              <w:t>8.20</w:t>
            </w:r>
          </w:p>
        </w:tc>
        <w:tc>
          <w:tcPr>
            <w:tcW w:type="dxa" w:w="1243"/>
            <w:shd w:val="clear" w:fill="F2F5F9"/>
          </w:tcPr>
          <w:p>
            <w:pPr>
              <w:spacing w:after="0"/>
              <w:jc w:val="center"/>
            </w:pPr>
            <w:r/>
            <w:r>
              <w:rPr>
                <w:rFonts w:ascii="Georgia" w:hAnsi="Georgia"/>
                <w:b w:val="0"/>
                <w:i w:val="0"/>
                <w:color w:val="262B35"/>
                <w:sz w:val="17"/>
              </w:rPr>
              <w:t>$965B</w:t>
            </w:r>
          </w:p>
        </w:tc>
        <w:tc>
          <w:tcPr>
            <w:tcW w:type="dxa" w:w="1243"/>
            <w:shd w:val="clear" w:fill="F2F5F9"/>
          </w:tcPr>
          <w:p>
            <w:pPr>
              <w:spacing w:after="0"/>
              <w:jc w:val="center"/>
            </w:pPr>
            <w:r/>
            <w:r>
              <w:rPr>
                <w:rFonts w:ascii="Georgia" w:hAnsi="Georgia"/>
                <w:b w:val="0"/>
                <w:i w:val="0"/>
                <w:color w:val="262B35"/>
                <w:sz w:val="17"/>
              </w:rPr>
              <w:t>$47B gross run-rate ARR</w:t>
            </w:r>
          </w:p>
        </w:tc>
        <w:tc>
          <w:tcPr>
            <w:tcW w:type="dxa" w:w="1243"/>
            <w:shd w:val="clear" w:fill="F2F5F9"/>
          </w:tcPr>
          <w:p>
            <w:pPr>
              <w:spacing w:after="0"/>
              <w:jc w:val="center"/>
            </w:pPr>
            <w:r/>
            <w:r>
              <w:rPr>
                <w:rFonts w:ascii="Georgia" w:hAnsi="Georgia"/>
                <w:b w:val="0"/>
                <w:i w:val="0"/>
                <w:color w:val="262B35"/>
                <w:sz w:val="17"/>
              </w:rPr>
              <w:t>20.5x</w:t>
            </w:r>
          </w:p>
        </w:tc>
        <w:tc>
          <w:tcPr>
            <w:tcW w:type="dxa" w:w="1243"/>
            <w:shd w:val="clear" w:fill="F2F5F9"/>
          </w:tcPr>
          <w:p>
            <w:pPr>
              <w:spacing w:after="0"/>
              <w:jc w:val="center"/>
            </w:pPr>
            <w:r/>
            <w:r>
              <w:rPr>
                <w:rFonts w:ascii="Georgia" w:hAnsi="Georgia"/>
                <w:b w:val="0"/>
                <w:i w:val="0"/>
                <w:color w:val="262B35"/>
                <w:sz w:val="17"/>
              </w:rPr>
              <w:t>0.38x</w:t>
            </w:r>
          </w:p>
        </w:tc>
        <w:tc>
          <w:tcPr>
            <w:tcW w:type="dxa" w:w="1243"/>
            <w:shd w:val="clear" w:fill="F2F5F9"/>
          </w:tcPr>
          <w:p>
            <w:pPr>
              <w:spacing w:after="0"/>
              <w:jc w:val="center"/>
            </w:pPr>
            <w:r/>
            <w:r>
              <w:rPr>
                <w:rFonts w:ascii="Georgia" w:hAnsi="Georgia"/>
                <w:b w:val="0"/>
                <w:i w:val="0"/>
                <w:color w:val="262B35"/>
                <w:sz w:val="17"/>
              </w:rPr>
              <w:t>~$559M Q2 op profit (adj., T2)</w:t>
            </w:r>
          </w:p>
        </w:tc>
      </w:tr>
      <w:tr>
        <w:trPr>
          <w:cantSplit/>
        </w:trPr>
        <w:tc>
          <w:tcPr>
            <w:tcW w:type="dxa" w:w="1900"/>
          </w:tcPr>
          <w:p>
            <w:pPr>
              <w:spacing w:after="0"/>
              <w:jc w:val="left"/>
            </w:pPr>
            <w:r/>
            <w:r>
              <w:rPr>
                <w:rFonts w:ascii="Georgia" w:hAnsi="Georgia"/>
                <w:b w:val="0"/>
                <w:i w:val="0"/>
                <w:color w:val="262B35"/>
                <w:sz w:val="17"/>
              </w:rPr>
              <w:t>OpenAI</w:t>
            </w:r>
          </w:p>
        </w:tc>
        <w:tc>
          <w:tcPr>
            <w:tcW w:type="dxa" w:w="1243"/>
          </w:tcPr>
          <w:p>
            <w:pPr>
              <w:spacing w:after="0"/>
              <w:jc w:val="center"/>
            </w:pPr>
            <w:r/>
            <w:r>
              <w:rPr>
                <w:rFonts w:ascii="Georgia" w:hAnsi="Georgia"/>
                <w:b w:val="0"/>
                <w:i w:val="0"/>
                <w:color w:val="262B35"/>
                <w:sz w:val="17"/>
              </w:rPr>
              <w:t>4.53</w:t>
            </w:r>
          </w:p>
        </w:tc>
        <w:tc>
          <w:tcPr>
            <w:tcW w:type="dxa" w:w="1243"/>
          </w:tcPr>
          <w:p>
            <w:pPr>
              <w:spacing w:after="0"/>
              <w:jc w:val="center"/>
            </w:pPr>
            <w:r/>
            <w:r>
              <w:rPr>
                <w:rFonts w:ascii="Georgia" w:hAnsi="Georgia"/>
                <w:b w:val="0"/>
                <w:i w:val="0"/>
                <w:color w:val="262B35"/>
                <w:sz w:val="17"/>
              </w:rPr>
              <w:t>$852B</w:t>
            </w:r>
          </w:p>
        </w:tc>
        <w:tc>
          <w:tcPr>
            <w:tcW w:type="dxa" w:w="1243"/>
          </w:tcPr>
          <w:p>
            <w:pPr>
              <w:spacing w:after="0"/>
              <w:jc w:val="center"/>
            </w:pPr>
            <w:r/>
            <w:r>
              <w:rPr>
                <w:rFonts w:ascii="Georgia" w:hAnsi="Georgia"/>
                <w:b w:val="0"/>
                <w:i w:val="0"/>
                <w:color w:val="262B35"/>
                <w:sz w:val="17"/>
              </w:rPr>
              <w:t>~$25B net ARR</w:t>
            </w:r>
          </w:p>
        </w:tc>
        <w:tc>
          <w:tcPr>
            <w:tcW w:type="dxa" w:w="1243"/>
          </w:tcPr>
          <w:p>
            <w:pPr>
              <w:spacing w:after="0"/>
              <w:jc w:val="center"/>
            </w:pPr>
            <w:r/>
            <w:r>
              <w:rPr>
                <w:rFonts w:ascii="Georgia" w:hAnsi="Georgia"/>
                <w:b w:val="0"/>
                <w:i w:val="0"/>
                <w:color w:val="262B35"/>
                <w:sz w:val="17"/>
              </w:rPr>
              <w:t>34.1x</w:t>
            </w:r>
          </w:p>
        </w:tc>
        <w:tc>
          <w:tcPr>
            <w:tcW w:type="dxa" w:w="1243"/>
          </w:tcPr>
          <w:p>
            <w:pPr>
              <w:spacing w:after="0"/>
              <w:jc w:val="center"/>
            </w:pPr>
            <w:r/>
            <w:r>
              <w:rPr>
                <w:rFonts w:ascii="Georgia" w:hAnsi="Georgia"/>
                <w:b w:val="0"/>
                <w:i w:val="0"/>
                <w:color w:val="262B35"/>
                <w:sz w:val="17"/>
              </w:rPr>
              <w:t>0.14x</w:t>
            </w:r>
          </w:p>
        </w:tc>
        <w:tc>
          <w:tcPr>
            <w:tcW w:type="dxa" w:w="1243"/>
          </w:tcPr>
          <w:p>
            <w:pPr>
              <w:spacing w:after="0"/>
              <w:jc w:val="center"/>
            </w:pPr>
            <w:r/>
            <w:r>
              <w:rPr>
                <w:rFonts w:ascii="Georgia" w:hAnsi="Georgia"/>
                <w:b w:val="0"/>
                <w:i w:val="0"/>
                <w:color w:val="262B35"/>
                <w:sz w:val="17"/>
              </w:rPr>
              <w:t>not disclosed</w:t>
            </w:r>
          </w:p>
        </w:tc>
      </w:tr>
      <w:tr>
        <w:trPr>
          <w:cantSplit/>
        </w:trPr>
        <w:tc>
          <w:tcPr>
            <w:tcW w:type="dxa" w:w="1900"/>
            <w:shd w:val="clear" w:fill="F2F5F9"/>
          </w:tcPr>
          <w:p>
            <w:pPr>
              <w:spacing w:after="0"/>
              <w:jc w:val="left"/>
            </w:pPr>
            <w:r/>
            <w:r>
              <w:rPr>
                <w:rFonts w:ascii="Georgia" w:hAnsi="Georgia"/>
                <w:b w:val="0"/>
                <w:i w:val="0"/>
                <w:color w:val="262B35"/>
                <w:sz w:val="17"/>
              </w:rPr>
              <w:t>xAI (in SPCX)</w:t>
            </w:r>
          </w:p>
        </w:tc>
        <w:tc>
          <w:tcPr>
            <w:tcW w:type="dxa" w:w="1243"/>
            <w:shd w:val="clear" w:fill="F2F5F9"/>
          </w:tcPr>
          <w:p>
            <w:pPr>
              <w:spacing w:after="0"/>
              <w:jc w:val="center"/>
            </w:pPr>
            <w:r/>
            <w:r>
              <w:rPr>
                <w:rFonts w:ascii="Georgia" w:hAnsi="Georgia"/>
                <w:b w:val="0"/>
                <w:i w:val="0"/>
                <w:color w:val="262B35"/>
                <w:sz w:val="17"/>
              </w:rPr>
              <w:t>4.49</w:t>
            </w:r>
          </w:p>
        </w:tc>
        <w:tc>
          <w:tcPr>
            <w:tcW w:type="dxa" w:w="1243"/>
            <w:shd w:val="clear" w:fill="F2F5F9"/>
          </w:tcPr>
          <w:p>
            <w:pPr>
              <w:spacing w:after="0"/>
              <w:jc w:val="center"/>
            </w:pPr>
            <w:r/>
            <w:r>
              <w:rPr>
                <w:rFonts w:ascii="Georgia" w:hAnsi="Georgia"/>
                <w:b w:val="0"/>
                <w:i w:val="0"/>
                <w:color w:val="262B35"/>
                <w:sz w:val="17"/>
              </w:rPr>
              <w:t>~$1.97T combined</w:t>
            </w:r>
          </w:p>
        </w:tc>
        <w:tc>
          <w:tcPr>
            <w:tcW w:type="dxa" w:w="1243"/>
            <w:shd w:val="clear" w:fill="F2F5F9"/>
          </w:tcPr>
          <w:p>
            <w:pPr>
              <w:spacing w:after="0"/>
              <w:jc w:val="center"/>
            </w:pPr>
            <w:r/>
            <w:r>
              <w:rPr>
                <w:rFonts w:ascii="Georgia" w:hAnsi="Georgia"/>
                <w:b w:val="0"/>
                <w:i w:val="0"/>
                <w:color w:val="262B35"/>
                <w:sz w:val="17"/>
              </w:rPr>
              <w:t>$3.2B AI-segment ARR</w:t>
            </w:r>
          </w:p>
        </w:tc>
        <w:tc>
          <w:tcPr>
            <w:tcW w:type="dxa" w:w="1243"/>
            <w:shd w:val="clear" w:fill="F2F5F9"/>
          </w:tcPr>
          <w:p>
            <w:pPr>
              <w:spacing w:after="0"/>
              <w:jc w:val="center"/>
            </w:pPr>
            <w:r/>
            <w:r>
              <w:rPr>
                <w:rFonts w:ascii="Georgia" w:hAnsi="Georgia"/>
                <w:b w:val="0"/>
                <w:i w:val="0"/>
                <w:color w:val="262B35"/>
                <w:sz w:val="17"/>
              </w:rPr>
              <w:t>n.m.</w:t>
            </w:r>
          </w:p>
        </w:tc>
        <w:tc>
          <w:tcPr>
            <w:tcW w:type="dxa" w:w="1243"/>
            <w:shd w:val="clear" w:fill="F2F5F9"/>
          </w:tcPr>
          <w:p>
            <w:pPr>
              <w:spacing w:after="0"/>
              <w:jc w:val="center"/>
            </w:pPr>
            <w:r/>
            <w:r>
              <w:rPr>
                <w:rFonts w:ascii="Georgia" w:hAnsi="Georgia"/>
                <w:b w:val="0"/>
                <w:i w:val="0"/>
                <w:color w:val="262B35"/>
                <w:sz w:val="17"/>
              </w:rPr>
              <w:t>n.d.</w:t>
            </w:r>
          </w:p>
        </w:tc>
        <w:tc>
          <w:tcPr>
            <w:tcW w:type="dxa" w:w="1243"/>
            <w:shd w:val="clear" w:fill="F2F5F9"/>
          </w:tcPr>
          <w:p>
            <w:pPr>
              <w:spacing w:after="0"/>
              <w:jc w:val="center"/>
            </w:pPr>
            <w:r/>
            <w:r>
              <w:rPr>
                <w:rFonts w:ascii="Georgia" w:hAnsi="Georgia"/>
                <w:b w:val="0"/>
                <w:i w:val="0"/>
                <w:color w:val="262B35"/>
                <w:sz w:val="17"/>
              </w:rPr>
              <w:t>-$6.36B FY25 AI op loss</w:t>
            </w:r>
          </w:p>
        </w:tc>
      </w:tr>
      <w:tr>
        <w:trPr>
          <w:cantSplit/>
        </w:trPr>
        <w:tc>
          <w:tcPr>
            <w:tcW w:type="dxa" w:w="1900"/>
          </w:tcPr>
          <w:p>
            <w:pPr>
              <w:spacing w:after="0"/>
              <w:jc w:val="left"/>
            </w:pPr>
            <w:r/>
            <w:r>
              <w:rPr>
                <w:rFonts w:ascii="Georgia" w:hAnsi="Georgia"/>
                <w:b w:val="0"/>
                <w:i w:val="0"/>
                <w:color w:val="262B35"/>
                <w:sz w:val="17"/>
              </w:rPr>
              <w:t>SSI</w:t>
            </w:r>
          </w:p>
        </w:tc>
        <w:tc>
          <w:tcPr>
            <w:tcW w:type="dxa" w:w="1243"/>
          </w:tcPr>
          <w:p>
            <w:pPr>
              <w:spacing w:after="0"/>
              <w:jc w:val="center"/>
            </w:pPr>
            <w:r/>
            <w:r>
              <w:rPr>
                <w:rFonts w:ascii="Georgia" w:hAnsi="Georgia"/>
                <w:b w:val="0"/>
                <w:i w:val="0"/>
                <w:color w:val="262B35"/>
                <w:sz w:val="17"/>
              </w:rPr>
              <w:t>2.30</w:t>
            </w:r>
          </w:p>
        </w:tc>
        <w:tc>
          <w:tcPr>
            <w:tcW w:type="dxa" w:w="1243"/>
          </w:tcPr>
          <w:p>
            <w:pPr>
              <w:spacing w:after="0"/>
              <w:jc w:val="center"/>
            </w:pPr>
            <w:r/>
            <w:r>
              <w:rPr>
                <w:rFonts w:ascii="Georgia" w:hAnsi="Georgia"/>
                <w:b w:val="0"/>
                <w:i w:val="0"/>
                <w:color w:val="262B35"/>
                <w:sz w:val="17"/>
              </w:rPr>
              <w:t>n.d.</w:t>
            </w:r>
          </w:p>
        </w:tc>
        <w:tc>
          <w:tcPr>
            <w:tcW w:type="dxa" w:w="1243"/>
          </w:tcPr>
          <w:p>
            <w:pPr>
              <w:spacing w:after="0"/>
              <w:jc w:val="center"/>
            </w:pPr>
            <w:r/>
            <w:r>
              <w:rPr>
                <w:rFonts w:ascii="Georgia" w:hAnsi="Georgia"/>
                <w:b w:val="0"/>
                <w:i w:val="0"/>
                <w:color w:val="262B35"/>
                <w:sz w:val="17"/>
              </w:rPr>
              <w:t>pre-revenue</w:t>
            </w:r>
          </w:p>
        </w:tc>
        <w:tc>
          <w:tcPr>
            <w:tcW w:type="dxa" w:w="1243"/>
          </w:tcPr>
          <w:p>
            <w:pPr>
              <w:spacing w:after="0"/>
              <w:jc w:val="center"/>
            </w:pPr>
            <w:r/>
            <w:r>
              <w:rPr>
                <w:rFonts w:ascii="Georgia" w:hAnsi="Georgia"/>
                <w:b w:val="0"/>
                <w:i w:val="0"/>
                <w:color w:val="262B35"/>
                <w:sz w:val="17"/>
              </w:rPr>
              <w:t>n.m.</w:t>
            </w:r>
          </w:p>
        </w:tc>
        <w:tc>
          <w:tcPr>
            <w:tcW w:type="dxa" w:w="1243"/>
          </w:tcPr>
          <w:p>
            <w:pPr>
              <w:spacing w:after="0"/>
              <w:jc w:val="center"/>
            </w:pPr>
            <w:r/>
            <w:r>
              <w:rPr>
                <w:rFonts w:ascii="Georgia" w:hAnsi="Georgia"/>
                <w:b w:val="0"/>
                <w:i w:val="0"/>
                <w:color w:val="262B35"/>
                <w:sz w:val="17"/>
              </w:rPr>
              <w:t>n.d.</w:t>
            </w:r>
          </w:p>
        </w:tc>
        <w:tc>
          <w:tcPr>
            <w:tcW w:type="dxa" w:w="1243"/>
          </w:tcPr>
          <w:p>
            <w:pPr>
              <w:spacing w:after="0"/>
              <w:jc w:val="center"/>
            </w:pPr>
            <w:r/>
            <w:r>
              <w:rPr>
                <w:rFonts w:ascii="Georgia" w:hAnsi="Georgia"/>
                <w:b w:val="0"/>
                <w:i w:val="0"/>
                <w:color w:val="262B35"/>
                <w:sz w:val="17"/>
              </w:rPr>
              <w:t>n.a.</w:t>
            </w:r>
          </w:p>
        </w:tc>
      </w:tr>
    </w:tbl>
    <w:p>
      <w:pPr>
        <w:spacing w:after="40"/>
      </w:pPr>
    </w:p>
    <w:p>
      <w:r>
        <w:rPr>
          <w:rFonts w:ascii="Georgia" w:hAnsi="Georgia"/>
          <w:i/>
          <w:color w:val="6B7280"/>
          <w:sz w:val="17"/>
        </w:rPr>
        <w:t>All figures T2 (PitchBook dataset) except as flagged. Revenue bases differ (gross run-rate vs net ARR); multiples are not directly comparable across rows.</w:t>
      </w:r>
    </w:p>
    <w:p>
      <w:r>
        <w:rPr>
          <w:rFonts w:ascii="Georgia" w:hAnsi="Georgia"/>
          <w:b w:val="0"/>
          <w:color w:val="262B35"/>
          <w:sz w:val="21"/>
        </w:rPr>
        <w:t xml:space="preserve">So: war or segmentation? Our read, and we commit to it: </w:t>
      </w:r>
      <w:r>
        <w:rPr>
          <w:rFonts w:ascii="Georgia" w:hAnsi="Georgia"/>
          <w:b/>
          <w:color w:val="262B35"/>
          <w:sz w:val="21"/>
        </w:rPr>
        <w:t>this is a segmentation play at the premium end and a genuine price war only at the commodity floor.</w:t>
      </w:r>
      <w:r>
        <w:rPr>
          <w:rFonts w:ascii="Georgia" w:hAnsi="Georgia"/>
          <w:b w:val="0"/>
          <w:color w:val="262B35"/>
          <w:sz w:val="21"/>
        </w:rPr>
        <w:t xml:space="preserve"> Two of four players (OpenAI, Anthropic) are explicitly defending premium tiers; one (Meta) is running a complement-commoditization strategy that looks like war but is really a different business; one (xAI) is price-following without the economics to sustain it. A true race to zero requires the premium players to chase. They have not, and the cost-per-completed-task arithmetic in Section 1 explains why they may never need to.</w:t>
      </w:r>
    </w:p>
    <w:p>
      <w:r>
        <w:rPr>
          <w:rFonts w:ascii="Georgia" w:hAnsi="Georgia"/>
          <w:b w:val="0"/>
          <w:color w:val="262B35"/>
          <w:sz w:val="21"/>
        </w:rPr>
        <w:t>Test: by August 31, 2026, if either Anthropic or OpenAI cuts flagship output pricing by 15% or more, the segmentation read fails and this becomes a war note. Our lean and probability are formalized in the calls below.</w:t>
      </w:r>
    </w:p>
    <w:p>
      <w:pPr>
        <w:pStyle w:val="Heading1"/>
      </w:pPr>
      <w:r>
        <w:t>3. The squeezed middle: the barbell forms</w:t>
      </w:r>
    </w:p>
    <w:p>
      <w:r>
        <w:rPr>
          <w:rFonts w:ascii="Georgia" w:hAnsi="Georgia"/>
          <w:b w:val="0"/>
          <w:color w:val="262B35"/>
          <w:sz w:val="21"/>
        </w:rPr>
        <w:t>Repricing events in infrastructure markets rarely kill the top or the bottom; they kill the middle. Undifferentiated mid-tier model access, models that are neither the cheapest useful inference nor the most reliable premium surface, reprices to commodity within quarters, because Luna at $1 / $6 and Muse Spark at $1.25 / $4.25 define a new floor for "good enough" and the premium tier defines the reliability bar the middle cannot reach.</w:t>
      </w:r>
    </w:p>
    <w:p>
      <w:r>
        <w:rPr>
          <w:rFonts w:ascii="Georgia" w:hAnsi="Georgia"/>
          <w:b w:val="0"/>
          <w:color w:val="262B35"/>
          <w:sz w:val="21"/>
        </w:rPr>
        <w:t>The barbell wins. On one end, cheapest-useful-inference at scale: Meta and OpenAI's Luna tier harvesting high-volume, failure-tolerant workloads. On the other, most-reliable-premium-surface: Opus and Sol attached to enterprise-agent seats where Section 1's remediation arithmetic governs. Capital and revenue migrate to the ends.</w:t>
      </w:r>
    </w:p>
    <w:p>
      <w:r>
        <w:rPr>
          <w:rFonts w:ascii="Georgia" w:hAnsi="Georgia"/>
          <w:b w:val="0"/>
          <w:color w:val="262B35"/>
          <w:sz w:val="21"/>
        </w:rPr>
        <w:t xml:space="preserve">The losers, named: </w:t>
      </w:r>
      <w:r>
        <w:rPr>
          <w:rFonts w:ascii="Georgia" w:hAnsi="Georgia"/>
          <w:b/>
          <w:color w:val="262B35"/>
          <w:sz w:val="21"/>
        </w:rPr>
        <w:t>undifferentiated model resellers</w:t>
      </w:r>
      <w:r>
        <w:rPr>
          <w:rFonts w:ascii="Georgia" w:hAnsi="Georgia"/>
          <w:b w:val="0"/>
          <w:color w:val="262B35"/>
          <w:sz w:val="21"/>
        </w:rPr>
        <w:t xml:space="preserve">, API middlemen and white-label "model gateway" vendors whose gross margin was the spread between list price and enterprise inertia; that spread is gone. And </w:t>
      </w:r>
      <w:r>
        <w:rPr>
          <w:rFonts w:ascii="Georgia" w:hAnsi="Georgia"/>
          <w:b/>
          <w:color w:val="262B35"/>
          <w:sz w:val="21"/>
        </w:rPr>
        <w:t>legacy vertical SaaS</w:t>
      </w:r>
      <w:r>
        <w:rPr>
          <w:rFonts w:ascii="Georgia" w:hAnsi="Georgia"/>
          <w:b w:val="0"/>
          <w:color w:val="262B35"/>
          <w:sz w:val="21"/>
        </w:rPr>
        <w:t>, whose effective moat was workflow lock-in priced per seat: when an agent at $0.14 to $2.56 per completed task can execute the workflow directly, the seat-based pricing umbrella collapses from below. The mid-tier model layer and the seat-priced application middle are the same trade: undifferentiated capacity priced above its replacement cost.</w:t>
      </w:r>
    </w:p>
    <w:p>
      <w:r>
        <w:rPr>
          <w:rFonts w:ascii="Georgia" w:hAnsi="Georgia"/>
          <w:b w:val="0"/>
          <w:color w:val="262B35"/>
          <w:sz w:val="21"/>
        </w:rPr>
        <w:t>Test: by December 31, 2026, at least one publicly known model reseller or gateway vendor repricing to usage-plus-thin-margin, exiting, or being acquired for less than its last private mark would confirm the squeeze; none would weaken it.</w:t>
      </w:r>
    </w:p>
    <w:p>
      <w:pPr>
        <w:pStyle w:val="Heading1"/>
      </w:pPr>
      <w:r>
        <w:t>4. Market implications</w:t>
      </w:r>
    </w:p>
    <w:p>
      <w:r>
        <w:rPr>
          <w:rFonts w:ascii="Georgia" w:hAnsi="Georgia"/>
          <w:b/>
          <w:color w:val="262B35"/>
          <w:sz w:val="21"/>
        </w:rPr>
        <w:t>The margin moves down the stack, not out of the system.</w:t>
      </w:r>
      <w:r>
        <w:rPr>
          <w:rFonts w:ascii="Georgia" w:hAnsi="Georgia"/>
          <w:b w:val="0"/>
          <w:color w:val="262B35"/>
          <w:sz w:val="21"/>
        </w:rPr>
        <w:t xml:space="preserve"> Inference-cost deflation is margin-accretive to the application and SaaS layer and margin-dilutive to the model layer. Every dollar cut from output pricing is a dollar of gross margin transferred to whoever owns the customer workflow. Winners: application-layer software with real distribution, agent-orchestration vendors who route across models and arbitrage the barbell, and enterprise buyers themselves, whose AI line items deflate while capability rises. Databricks, the highest-quality business on our AIBQ framework at 8.81, FCF positive at $6.9B ARR growing 80%, is the cleanest expression: it buys inference, sells data-plus-agent workflows, and benefits from every price cut its suppliers inflict on each other. Losers: undifferentiated model vendors and the mid-tier named in Section 3.</w:t>
      </w:r>
    </w:p>
    <w:p>
      <w:r>
        <w:rPr>
          <w:rFonts w:ascii="Georgia" w:hAnsi="Georgia"/>
          <w:b/>
          <w:color w:val="262B35"/>
          <w:sz w:val="21"/>
        </w:rPr>
        <w:t>Picks-and-shovels are insulated.</w:t>
      </w:r>
      <w:r>
        <w:rPr>
          <w:rFonts w:ascii="Georgia" w:hAnsi="Georgia"/>
          <w:b w:val="0"/>
          <w:color w:val="262B35"/>
          <w:sz w:val="21"/>
        </w:rPr>
        <w:t xml:space="preserve"> HBM and memory, wafer fab equipment, data-center power, cooling, and permitted baseload generation are priced on capacity scarcity, not on model-layer margin. The buildout's binding constraints are physical: HBM supply, interconnect, megawatts, and permitting timelines. A model-layer price war does not cancel compute demand; at the volumes the cheap tier is targeting, it increases it. The complex is exposed to a financing shock, not a pricing shock.</w:t>
      </w:r>
    </w:p>
    <w:tbl>
      <w:tblPr>
        <w:tblW w:type="dxa" w:w="9360"/>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9360"/>
      </w:tblGrid>
      <w:tr>
        <w:trPr>
          <w:cantSplit/>
        </w:trPr>
        <w:tc>
          <w:tcPr>
            <w:tcW w:type="dxa" w:w="9360"/>
            <w:shd w:val="clear" w:fill="F2F5F9"/>
          </w:tcPr>
          <w:p>
            <w:pPr>
              <w:spacing w:after="0"/>
            </w:pPr>
            <w:r/>
            <w:r>
              <w:rPr>
                <w:rFonts w:ascii="Georgia" w:hAnsi="Georgia"/>
                <w:b/>
                <w:color w:val="1F2A44"/>
                <w:sz w:val="18"/>
              </w:rPr>
              <w:t xml:space="preserve">CHART: </w:t>
            </w:r>
            <w:r>
              <w:rPr>
                <w:rFonts w:ascii="Georgia" w:hAnsi="Georgia"/>
                <w:i/>
                <w:color w:val="262B35"/>
                <w:sz w:val="18"/>
              </w:rPr>
              <w:t>Model-layer economics versus buildout economics, FY25/H1-26. Left panel: AI-segment ARR versus operating result by lab (Anthropic +$559M adj. Q2, xAI -$6.36B FY25). Right panel: indicative HBM and data-center-power capacity utilization (T3, trade press). Takeaway: the layer cutting prices is the layer losing money; the layer selling scarcity is not participating in the war.</w:t>
            </w:r>
          </w:p>
        </w:tc>
      </w:tr>
    </w:tbl>
    <w:p>
      <w:pPr>
        <w:spacing w:after="40"/>
      </w:pPr>
    </w:p>
    <w:p>
      <w:r>
        <w:rPr>
          <w:rFonts w:ascii="Georgia" w:hAnsi="Georgia"/>
          <w:b/>
          <w:color w:val="262B35"/>
          <w:sz w:val="21"/>
        </w:rPr>
        <w:t>The financing tail wags the pricing dog.</w:t>
      </w:r>
      <w:r>
        <w:rPr>
          <w:rFonts w:ascii="Georgia" w:hAnsi="Georgia"/>
          <w:b w:val="0"/>
          <w:color w:val="262B35"/>
          <w:sz w:val="21"/>
        </w:rPr>
        <w:t xml:space="preserve"> The ~$3.5T private-credit and "shadow bond" market is now the marginal source of AI capital, and it is what makes below-cost pricing possible: labs can price under serving cost because debt capital funds the gap between price and cost. Anthropic's roughly $35B chip-bond stack raised in June (T2) is the template; xAI's cross-subsidy is the same mechanism with a corporate wrapper. Our read: this is a solvency question deferred, not resolved. Price wars funded by operating cash flow end when the weakest operator's margin breaks; price wars funded by credit end when the credit reprices. The relevant covenant is not any lab's gross margin this quarter but the shadow-bond channel's continued willingness to fund negative-margin token sales. That linkage is why the price war and the IPO question are the same question.</w:t>
      </w:r>
    </w:p>
    <w:p>
      <w:r>
        <w:rPr>
          <w:rFonts w:ascii="Georgia" w:hAnsi="Georgia"/>
          <w:b/>
          <w:color w:val="262B35"/>
          <w:sz w:val="21"/>
        </w:rPr>
        <w:t>The IPO intersection.</w:t>
      </w:r>
      <w:r>
        <w:rPr>
          <w:rFonts w:ascii="Georgia" w:hAnsi="Georgia"/>
          <w:b w:val="0"/>
          <w:color w:val="262B35"/>
          <w:sz w:val="21"/>
        </w:rPr>
        <w:t xml:space="preserve"> The repricing lands roughly three months before Anthropic's expected October S-1. An S-1 forces into the open what private markets have not seen: model-layer gross margin, revenue mix, and, if disclosed, enterprise attach. Filing at a $965B reference mark and 20.5x gross run-rate ARR while a competitor prices comparable-claim inference at one quarter of your rate is the hardest possible setup, and it makes the price war the single largest tax on the Anthropic bull case: every basis point of attach lost to Muse or Luna between now and October is discovery the roadshow cannot spin. The inverse is equally sharp. If Anthropic holds list price AND enterprise attach through the filing window, it will have validated the premium thesis under live fire, and the 20.5x multiple gets underwritten by evidence no private round could produce. Our read: the S-1's gross-margin page, not any benchmark, will be the single most repriced disclosure in the filing.</w:t>
      </w:r>
    </w:p>
    <w:p>
      <w:r>
        <w:rPr>
          <w:rFonts w:ascii="Georgia" w:hAnsi="Georgia"/>
          <w:b/>
          <w:color w:val="262B35"/>
          <w:sz w:val="21"/>
        </w:rPr>
        <w:t>Public-market expression.</w:t>
      </w:r>
      <w:r>
        <w:rPr>
          <w:rFonts w:ascii="Georgia" w:hAnsi="Georgia"/>
          <w:b w:val="0"/>
          <w:color w:val="262B35"/>
          <w:sz w:val="21"/>
        </w:rPr>
        <w:t xml:space="preserve"> Long the buildout: memory and HBM, WFE, data-center power and cooling, permitted baseload generation, priced on scarcity and insulated from model-layer margin (directional reads, not recommendations; see disclaimer). Watch legacy vertical-SaaS net-retention guidance as the first displacement signal; agents show up in NRR before they show up in logo churn. Treat model-layer token pricing as a race whose only durable winners own either a surface (Meta, OpenAI) or a cost structure rivals cannot match (custom silicon, subsidized compute). Everyone else in the token race is renting scale from the credit market.</w:t>
      </w:r>
    </w:p>
    <w:p>
      <w:r>
        <w:rPr>
          <w:rFonts w:ascii="Georgia" w:hAnsi="Georgia"/>
          <w:b w:val="0"/>
          <w:color w:val="262B35"/>
          <w:sz w:val="21"/>
        </w:rPr>
        <w:t>Test: by January 31, 2027, at least one AI-exposed private-credit vehicle disclosing markdowns or tightened terms on chip-backed paper would confirm the financing-fragility read; a second $30B+ chip-bond stack pricing at or inside June's terms would refute it.</w:t>
      </w:r>
    </w:p>
    <w:p>
      <w:pPr>
        <w:pStyle w:val="Heading1"/>
      </w:pPr>
      <w:r>
        <w:t>5. Game theory: the surface decides, not the tokens</w:t>
      </w:r>
    </w:p>
    <w:p>
      <w:r>
        <w:rPr>
          <w:rFonts w:ascii="Georgia" w:hAnsi="Georgia"/>
          <w:b w:val="0"/>
          <w:color w:val="262B35"/>
          <w:sz w:val="21"/>
        </w:rPr>
        <w:t>The war looks like a pricing table but is being decided on the desktop. OpenAI's ChatGPT Work plus the Codex superapp (built-in browser, computer use, &gt;1.5M weekly Codex actives, T2) and Anthropic's Claude Cowork are competing for the enterprise-agent seat: the persistent, permissioned surface through which agents touch company systems. Whoever owns that seat owns task routing, and whoever owns task routing decides which model gets called, at what tier, for which task. Model quality deltas matter less because the surface owner can route silently between premium and cheap tiers per task, capturing the barbell internally, which is what Sol/Luna segmentation is built for.</w:t>
      </w:r>
    </w:p>
    <w:p>
      <w:r>
        <w:rPr>
          <w:rFonts w:ascii="Georgia" w:hAnsi="Georgia"/>
          <w:b w:val="0"/>
          <w:color w:val="262B35"/>
          <w:sz w:val="21"/>
        </w:rPr>
        <w:t>This reframes the token price cuts as second-order moves. Cheap tokens are necessary but not sufficient: they win benchmarks and API spot volume, both of which churn on the next price sheet. Seat-level reliability, admin tooling, audit trails, and permissioning are what enterprises cannot switch quarterly. Meta's problem is not price, where it wins, but the absence of an enterprise surface to convert cheap tokens into sticky seats. xAI has neither the surface nor the economics. The end state we expect is not a token price winner but two or three surface owners buying inference, including one another's, at whatever the floor price is that quarter.</w:t>
      </w:r>
    </w:p>
    <w:p>
      <w:r>
        <w:rPr>
          <w:rFonts w:ascii="Georgia" w:hAnsi="Georgia"/>
          <w:b w:val="0"/>
          <w:color w:val="262B35"/>
          <w:sz w:val="21"/>
        </w:rPr>
        <w:t>Test: by September 30, 2026, the first disclosed enterprise-agent seat or attach metric from any lab will show whether the surface thesis is measurable; if disclosed seats are trivial (&lt;100k) at both OpenAI and Anthropic, the surface war is earlier than we think and the token war matters more than this section argues.</w:t>
      </w:r>
    </w:p>
    <w:p>
      <w:pPr>
        <w:pStyle w:val="Heading1"/>
      </w:pPr>
      <w:r>
        <w:t>What would change the call, and what we're watching</w:t>
      </w:r>
    </w:p>
    <w:p>
      <w:pPr>
        <w:pStyle w:val="Heading2"/>
      </w:pPr>
      <w:r>
        <w:t>Falsifiable calls:</w:t>
      </w:r>
    </w:p>
    <w:p>
      <w:pPr>
        <w:pStyle w:val="ListNumber"/>
        <w:spacing w:after="80"/>
      </w:pPr>
      <w:r>
        <w:rPr>
          <w:rFonts w:ascii="Georgia" w:hAnsi="Georgia"/>
          <w:b/>
          <w:color w:val="262B35"/>
          <w:sz w:val="21"/>
        </w:rPr>
        <w:t>By August 31, 2026: Anthropic holds.</w:t>
      </w:r>
      <w:r>
        <w:rPr>
          <w:rFonts w:ascii="Georgia" w:hAnsi="Georgia"/>
          <w:b w:val="0"/>
          <w:color w:val="262B35"/>
          <w:sz w:val="21"/>
        </w:rPr>
        <w:t xml:space="preserve"> Either Anthropic cuts Opus/Sonnet output pricing 15%+ or ships a cheaper flagship tier, or the cuts come only from rivals. Our lean: Anthropic holds list price into the S-1 window; cutting three months before filing would concede the premium thesis it must sell. P(holds) = 70%. A cut would flip our Section 2 read from segmentation to war.</w:t>
      </w:r>
    </w:p>
    <w:p>
      <w:pPr>
        <w:pStyle w:val="ListNumber"/>
        <w:spacing w:after="80"/>
      </w:pPr>
      <w:r>
        <w:rPr>
          <w:rFonts w:ascii="Georgia" w:hAnsi="Georgia"/>
          <w:b/>
          <w:color w:val="262B35"/>
          <w:sz w:val="21"/>
        </w:rPr>
        <w:t>By September 30, 2026: an agent metric surfaces.</w:t>
      </w:r>
      <w:r>
        <w:rPr>
          <w:rFonts w:ascii="Georgia" w:hAnsi="Georgia"/>
          <w:b w:val="0"/>
          <w:color w:val="262B35"/>
          <w:sz w:val="21"/>
        </w:rPr>
        <w:t xml:space="preserve"> At least one of: a lab discloses an enterprise-agent seat or attach metric, or Anthropic breaks out agentic/Cowork revenue. Our lean: yes, because S-1 marketing logic demands it and OpenAI will not let a disclosure vacuum stand. P = 60%.</w:t>
      </w:r>
    </w:p>
    <w:p>
      <w:pPr>
        <w:pStyle w:val="ListNumber"/>
        <w:spacing w:after="80"/>
      </w:pPr>
      <w:r>
        <w:rPr>
          <w:rFonts w:ascii="Georgia" w:hAnsi="Georgia"/>
          <w:b/>
          <w:color w:val="262B35"/>
          <w:sz w:val="21"/>
        </w:rPr>
        <w:t>Within two quarters (by the January 2027 reporting cycle): mid-tier repricing does NOT yet reach a named vertical-SaaS guide.</w:t>
      </w:r>
      <w:r>
        <w:rPr>
          <w:rFonts w:ascii="Georgia" w:hAnsi="Georgia"/>
          <w:b w:val="0"/>
          <w:color w:val="262B35"/>
          <w:sz w:val="21"/>
        </w:rPr>
        <w:t xml:space="preserve"> Specifically, nCino's net-revenue-retention guidance or commentary shows agent-displacement pressure. Our lean: not yet visible; displacement lags repricing by 12 to 18 months in seat-based software. P(shows within two quarters) = 25%. If it does show, the Section 3 squeeze is running a year ahead of our timeline and vertical SaaS is a faster-decaying asset than modeled.</w:t>
      </w:r>
    </w:p>
    <w:p>
      <w:pPr>
        <w:pStyle w:val="Heading2"/>
      </w:pPr>
      <w:r>
        <w:t>Watching, dated:</w:t>
      </w:r>
    </w:p>
    <w:p>
      <w:pPr>
        <w:pStyle w:val="ListBullet"/>
        <w:spacing w:after="80"/>
      </w:pPr>
      <w:r>
        <w:rPr>
          <w:rFonts w:ascii="Georgia" w:hAnsi="Georgia"/>
          <w:b/>
          <w:color w:val="262B35"/>
          <w:sz w:val="21"/>
        </w:rPr>
        <w:t>Anthropic's October S-1</w:t>
      </w:r>
      <w:r>
        <w:rPr>
          <w:rFonts w:ascii="Georgia" w:hAnsi="Georgia"/>
          <w:b w:val="0"/>
          <w:color w:val="262B35"/>
          <w:sz w:val="21"/>
        </w:rPr>
        <w:t>: pricing of the offering versus the $965B mark; any enterprise-attach disclosure; and above all the model-layer gross-margin page an S-1 forces into the open. This is the single event that converts most of this note's T2 and T3 into T1.</w:t>
      </w:r>
    </w:p>
    <w:p>
      <w:pPr>
        <w:pStyle w:val="ListBullet"/>
        <w:spacing w:after="80"/>
      </w:pPr>
      <w:r>
        <w:rPr>
          <w:rFonts w:ascii="Georgia" w:hAnsi="Georgia"/>
          <w:b/>
          <w:color w:val="262B35"/>
          <w:sz w:val="21"/>
        </w:rPr>
        <w:t>Any flagship price cut</w:t>
      </w:r>
      <w:r>
        <w:rPr>
          <w:rFonts w:ascii="Georgia" w:hAnsi="Georgia"/>
          <w:b w:val="0"/>
          <w:color w:val="262B35"/>
          <w:sz w:val="21"/>
        </w:rPr>
        <w:t xml:space="preserve"> at Anthropic or OpenAI's Sol tier (test 1 above).</w:t>
      </w:r>
    </w:p>
    <w:p>
      <w:pPr>
        <w:pStyle w:val="ListBullet"/>
        <w:spacing w:after="80"/>
      </w:pPr>
      <w:r>
        <w:rPr>
          <w:rFonts w:ascii="Georgia" w:hAnsi="Georgia"/>
          <w:b/>
          <w:color w:val="262B35"/>
          <w:sz w:val="21"/>
        </w:rPr>
        <w:t>The first enterprise-agent seat metric</w:t>
      </w:r>
      <w:r>
        <w:rPr>
          <w:rFonts w:ascii="Georgia" w:hAnsi="Georgia"/>
          <w:b w:val="0"/>
          <w:color w:val="262B35"/>
          <w:sz w:val="21"/>
        </w:rPr>
        <w:t xml:space="preserve"> from any lab (test 2 above).</w:t>
      </w:r>
    </w:p>
    <w:p>
      <w:pPr>
        <w:pStyle w:val="ListBullet"/>
        <w:spacing w:after="80"/>
      </w:pPr>
      <w:r>
        <w:rPr>
          <w:rFonts w:ascii="Georgia" w:hAnsi="Georgia"/>
          <w:b/>
          <w:color w:val="262B35"/>
          <w:sz w:val="21"/>
        </w:rPr>
        <w:t>The shadow-bond channel</w:t>
      </w:r>
      <w:r>
        <w:rPr>
          <w:rFonts w:ascii="Georgia" w:hAnsi="Georgia"/>
          <w:b w:val="0"/>
          <w:color w:val="262B35"/>
          <w:sz w:val="21"/>
        </w:rPr>
        <w:t>: whether the ~$3.5T private-credit complex keeps funding chip-backed paper at June's terms, the true covenant under below-cost pricing.</w:t>
      </w:r>
    </w:p>
    <w:p>
      <w:pPr>
        <w:pStyle w:val="ListBullet"/>
        <w:spacing w:after="80"/>
      </w:pPr>
      <w:r>
        <w:rPr>
          <w:rFonts w:ascii="Georgia" w:hAnsi="Georgia"/>
          <w:b/>
          <w:color w:val="262B35"/>
          <w:sz w:val="21"/>
        </w:rPr>
        <w:t>Independent cost-per-completed-task evaluations</w:t>
      </w:r>
      <w:r>
        <w:rPr>
          <w:rFonts w:ascii="Georgia" w:hAnsi="Georgia"/>
          <w:b w:val="0"/>
          <w:color w:val="262B35"/>
          <w:sz w:val="21"/>
        </w:rPr>
        <w:t>: any credible third-party publication of task-success-adjusted pricing would let the market reprice this war on the correct unit of account, and Section 1 tells you who benefits.</w:t>
      </w:r>
    </w:p>
    <w:p>
      <w:pPr>
        <w:pStyle w:val="Heading1"/>
      </w:pPr>
      <w:r>
        <w:t>References</w:t>
      </w:r>
    </w:p>
    <w:p>
      <w:pPr>
        <w:pStyle w:val="ListNumber"/>
        <w:spacing w:after="80"/>
      </w:pPr>
      <w:r>
        <w:rPr>
          <w:rFonts w:ascii="Georgia" w:hAnsi="Georgia"/>
          <w:b w:val="0"/>
          <w:color w:val="262B35"/>
          <w:sz w:val="21"/>
        </w:rPr>
        <w:t>Published API price lists: Anthropic (Claude Opus 4.8), OpenAI (GPT-5.6 Sol, GPT-5.6 Luna), xAI (Grok 4.5), Meta (Muse Spark 1.1), accessed July 2026. List prices T1; accompanying performance claims T3 after standard one-tier discount.</w:t>
      </w:r>
    </w:p>
    <w:p>
      <w:pPr>
        <w:pStyle w:val="ListNumber"/>
        <w:spacing w:after="80"/>
      </w:pPr>
      <w:r>
        <w:rPr>
          <w:rFonts w:ascii="Georgia" w:hAnsi="Georgia"/>
          <w:b w:val="0"/>
          <w:color w:val="262B35"/>
          <w:sz w:val="21"/>
        </w:rPr>
        <w:t>Meta announcement, Muse Spark 1.1 agent-reasoning and 1M-context claims, July 2026. Vendor-reported, T3.</w:t>
      </w:r>
    </w:p>
    <w:p>
      <w:pPr>
        <w:pStyle w:val="ListNumber"/>
        <w:spacing w:after="80"/>
      </w:pPr>
      <w:r>
        <w:rPr>
          <w:rFonts w:ascii="Georgia" w:hAnsi="Georgia"/>
          <w:b w:val="0"/>
          <w:color w:val="262B35"/>
          <w:sz w:val="21"/>
        </w:rPr>
        <w:t>PitchBook Institutional Research Group, AI Business Quality (AIBQ) composite framework and scores, July 2026 refresh. T2.</w:t>
      </w:r>
    </w:p>
    <w:p>
      <w:pPr>
        <w:pStyle w:val="ListNumber"/>
        <w:spacing w:after="80"/>
      </w:pPr>
      <w:r>
        <w:rPr>
          <w:rFonts w:ascii="Georgia" w:hAnsi="Georgia"/>
          <w:b w:val="0"/>
          <w:color w:val="262B35"/>
          <w:sz w:val="21"/>
        </w:rPr>
        <w:t>PitchBook company datasets: Anthropic ($965B mark, $47B gross run-rate ARR, Q2 operating profit ~$559M as adjusted, capital efficiency 0.38x), OpenAI ($852B, ~$25B net ARR, weekly-active disclosures), July 2026. T2.</w:t>
      </w:r>
    </w:p>
    <w:p>
      <w:pPr>
        <w:pStyle w:val="ListNumber"/>
        <w:spacing w:after="80"/>
      </w:pPr>
      <w:r>
        <w:rPr>
          <w:rFonts w:ascii="Georgia" w:hAnsi="Georgia"/>
          <w:b w:val="0"/>
          <w:color w:val="262B35"/>
          <w:sz w:val="21"/>
        </w:rPr>
        <w:t>SPCX combined-structure disclosures and press reporting on xAI AI-segment ARR and FY25 operating loss. T2/T3.</w:t>
      </w:r>
    </w:p>
    <w:p>
      <w:pPr>
        <w:pStyle w:val="ListNumber"/>
        <w:spacing w:after="80"/>
      </w:pPr>
      <w:r>
        <w:rPr>
          <w:rFonts w:ascii="Georgia" w:hAnsi="Georgia"/>
          <w:b w:val="0"/>
          <w:color w:val="262B35"/>
          <w:sz w:val="21"/>
        </w:rPr>
        <w:t>Databricks company disclosures and PitchBook data: ARR $6.9B (+80% YoY), FCF positivity; press reports of a ~$170B round in talks, unclosed. T2; round talks T3.</w:t>
      </w:r>
    </w:p>
    <w:p>
      <w:pPr>
        <w:pStyle w:val="ListNumber"/>
        <w:spacing w:after="80"/>
      </w:pPr>
      <w:r>
        <w:rPr>
          <w:rFonts w:ascii="Georgia" w:hAnsi="Georgia"/>
          <w:b w:val="0"/>
          <w:color w:val="262B35"/>
          <w:sz w:val="21"/>
        </w:rPr>
        <w:t>Press reporting on Anthropic's ~$35B chip-bond financing stack, June 2026, and the ~$3.5T AI-linked private-credit market. T2/T3.</w:t>
      </w:r>
    </w:p>
    <w:p>
      <w:pPr>
        <w:pStyle w:val="ListNumber"/>
        <w:spacing w:after="80"/>
      </w:pPr>
      <w:r>
        <w:rPr>
          <w:rFonts w:ascii="Georgia" w:hAnsi="Georgia"/>
          <w:b w:val="0"/>
          <w:color w:val="262B35"/>
          <w:sz w:val="21"/>
        </w:rPr>
        <w:t>Trade analyses of frontier inference serving costs, distillation and custom-silicon cost curves, and historical token-price deflation. T3; used as context only, no canonical figure rests on them.</w:t>
      </w:r>
    </w:p>
    <w:p>
      <w:pPr>
        <w:pStyle w:val="ListNumber"/>
        <w:spacing w:after="80"/>
      </w:pPr>
      <w:r>
        <w:rPr>
          <w:rFonts w:ascii="Georgia" w:hAnsi="Georgia"/>
          <w:b w:val="0"/>
          <w:color w:val="262B35"/>
          <w:sz w:val="21"/>
        </w:rPr>
        <w:t>Company product disclosures: OpenAI ChatGPT Work and Codex desktop (browser and computer use); Anthropic Claude Cowork. T2.</w:t>
      </w:r>
    </w:p>
    <w:p>
      <w:pPr>
        <w:pStyle w:val="ListNumber"/>
        <w:spacing w:after="80"/>
      </w:pPr>
      <w:r>
        <w:rPr>
          <w:rFonts w:ascii="Georgia" w:hAnsi="Georgia"/>
          <w:b w:val="0"/>
          <w:color w:val="262B35"/>
          <w:sz w:val="21"/>
        </w:rPr>
        <w:t>nCino, Inc. public filings and guidance history (net revenue retention). T1 for reported figures; our displacement call is a forward estimate.</w:t>
      </w:r>
    </w:p>
    <w:p>
      <w:pPr>
        <w:pStyle w:val="Heading1"/>
      </w:pPr>
      <w:r>
        <w:t>Disclaimer</w:t>
      </w:r>
    </w:p>
    <w:p>
      <w:r>
        <w:rPr>
          <w:rFonts w:ascii="Georgia" w:hAnsi="Georgia"/>
          <w:b w:val="0"/>
          <w:color w:val="262B35"/>
          <w:sz w:val="21"/>
        </w:rPr>
        <w:t>This note is published by the PitchBook Institutional Research Group for informational purposes only and does not constitute investment advice, an offer, or a solicitation to buy or sell any security. Figures are evidence-tiered as marked (T1 primary/SEC-grade, T2 PitchBook data and company statements, T3 vendor claims and trade press); vendor-reported benchmarks and pricing claims are discounted one tier on receipt. Estimates and assumptions are flagged in the text and may prove wrong. Where conflicting figures exist across sources, conflicts are frozen and disclosed rather than resolved. Private-company financial data reflect the best available information as of July 10, 2026, and are subject to revision. PitchBook may provide data services to companies referenced in this note.</w:t>
      </w:r>
    </w:p>
    <w:p>
      <w:r>
        <w:rPr>
          <w:rFonts w:ascii="Georgia" w:hAnsi="Georgia"/>
          <w:i/>
          <w:color w:val="6B7280"/>
          <w:sz w:val="17"/>
        </w:rPr>
        <w:t>Word count, Key takeaways through What we're watching, including tables and chart captions: 3,283 as rendered in the .docx (3,286 in this markdown mirror; target 3,200, ceiling 3,300). References and disclaimer excluded as boilerplate.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Georgia" w:hAnsi="Georgia"/>
      <w:color w:val="262B3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Georgia" w:hAnsi="Georgia"/>
      <w:b/>
      <w:bCs/>
      <w:i w:val="0"/>
      <w:color w:val="1F2A44"/>
      <w:sz w:val="3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Georgia" w:hAnsi="Georgia"/>
      <w:b/>
      <w:bCs/>
      <w:i/>
      <w:color w:val="35506E"/>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