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cheapest model to run is the one with the highest sticker price.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225094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225094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and it is not close.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so writing is expensive and serial while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price cut not paid for by better hardware or utilization comes out of gross margin, so a lower number means better economics or a subsidy, indistinguishable on a sheet. A long context is not free either, because conversation memory grows with the context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082203"/>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082203"/>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r>
        <w:trPr>
          <w:cantSplit/>
        </w:trPr>
        <w:tc>
          <w:tcPr>
            <w:tcW w:type="dxa" w:w="2050"/>
            <w:shd w:val="clear" w:fill="EAF0F8"/>
          </w:tcPr>
          <w:p>
            <w:pPr>
              <w:spacing w:after="0"/>
              <w:jc w:val="left"/>
            </w:pPr>
            <w:r/>
            <w:r>
              <w:rPr>
                <w:rFonts w:ascii="Calibri Light" w:hAnsi="Calibri Light"/>
                <w:b w:val="0"/>
                <w:color w:val="000000"/>
                <w:sz w:val="17"/>
              </w:rPr>
              <w:t>Claude Mythos 5</w:t>
            </w:r>
          </w:p>
        </w:tc>
        <w:tc>
          <w:tcPr>
            <w:tcW w:type="dxa" w:w="1298"/>
            <w:shd w:val="clear" w:fill="EAF0F8"/>
          </w:tcPr>
          <w:p>
            <w:pPr>
              <w:spacing w:after="0"/>
              <w:jc w:val="center"/>
            </w:pPr>
            <w:r/>
            <w:r>
              <w:rPr>
                <w:rFonts w:ascii="Calibri Light" w:hAnsi="Calibri Light"/>
                <w:b w:val="0"/>
                <w:color w:val="000000"/>
                <w:sz w:val="17"/>
              </w:rPr>
              <w:t>$10.00</w:t>
            </w:r>
          </w:p>
        </w:tc>
        <w:tc>
          <w:tcPr>
            <w:tcW w:type="dxa" w:w="1298"/>
            <w:shd w:val="clear" w:fill="EAF0F8"/>
          </w:tcPr>
          <w:p>
            <w:pPr>
              <w:spacing w:after="0"/>
              <w:jc w:val="center"/>
            </w:pPr>
            <w:r/>
            <w:r>
              <w:rPr>
                <w:rFonts w:ascii="Calibri Light" w:hAnsi="Calibri Light"/>
                <w:b w:val="0"/>
                <w:color w:val="000000"/>
                <w:sz w:val="17"/>
              </w:rPr>
              <w:t>$50.00</w:t>
            </w:r>
          </w:p>
        </w:tc>
        <w:tc>
          <w:tcPr>
            <w:tcW w:type="dxa" w:w="1298"/>
            <w:shd w:val="clear" w:fill="EAF0F8"/>
          </w:tcPr>
          <w:p>
            <w:pPr>
              <w:spacing w:after="0"/>
              <w:jc w:val="center"/>
            </w:pPr>
            <w:r/>
            <w:r>
              <w:rPr>
                <w:rFonts w:ascii="Calibri Light" w:hAnsi="Calibri Light"/>
                <w:b w:val="0"/>
                <w:color w:val="000000"/>
                <w:sz w:val="17"/>
              </w:rPr>
              <w:t>$1.20</w:t>
            </w:r>
          </w:p>
        </w:tc>
        <w:tc>
          <w:tcPr>
            <w:tcW w:type="dxa" w:w="1298"/>
            <w:shd w:val="clear" w:fill="EAF0F8"/>
          </w:tcPr>
          <w:p>
            <w:pPr>
              <w:spacing w:after="0"/>
              <w:jc w:val="center"/>
            </w:pPr>
            <w:r/>
            <w:r>
              <w:rPr>
                <w:rFonts w:ascii="Calibri Light" w:hAnsi="Calibri Light"/>
                <w:b w:val="0"/>
                <w:color w:val="000000"/>
                <w:sz w:val="17"/>
              </w:rPr>
              <w:t>$1.33</w:t>
            </w:r>
          </w:p>
        </w:tc>
        <w:tc>
          <w:tcPr>
            <w:tcW w:type="dxa" w:w="1298"/>
            <w:shd w:val="clear" w:fill="EAF0F8"/>
          </w:tcPr>
          <w:p>
            <w:pPr>
              <w:spacing w:after="0"/>
              <w:jc w:val="center"/>
            </w:pPr>
            <w:r/>
            <w:r>
              <w:rPr>
                <w:rFonts w:ascii="Calibri Light" w:hAnsi="Calibri Light"/>
                <w:b w:val="0"/>
                <w:color w:val="000000"/>
                <w:sz w:val="17"/>
              </w:rPr>
              <w:t>$1.60</w:t>
            </w:r>
          </w:p>
        </w:tc>
        <w:tc>
          <w:tcPr>
            <w:tcW w:type="dxa" w:w="1298"/>
            <w:shd w:val="clear" w:fill="EAF0F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Anthropic's limited-availability flagship at $10 and $50, exactly twice Opus.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in a narrow band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the one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and the subsidy runs through the SpaceX and Starlink cross-flow, a balance-sheet decision rather than a business model.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is three moves: hold list price, extend the premium upward, and prove that enterprises keep buying it.</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six-to-eight-dollar serving cost. Every output price below roughly eight dollars is gross-margin negative, so the floor tier is sold below cost.</w:t>
      </w:r>
    </w:p>
    <w:p>
      <w:pPr>
        <w:spacing w:before="40" w:after="120"/>
      </w:pPr>
      <w:r>
        <w:drawing>
          <wp:inline xmlns:a="http://schemas.openxmlformats.org/drawingml/2006/main" xmlns:pic="http://schemas.openxmlformats.org/drawingml/2006/picture">
            <wp:extent cx="6309360" cy="210246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and the value end is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A valuation dislocation follows: Anthropic trades near 20.5 times gross run-rate revenue against OpenAI's 34.1, so the market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The IPO is the pressure test. The repricing lands about three months before Anthropic's October S-1, which forces open what private markets have never seen: model-layer gross margin, mix, and any enterprise attach. Filing at a $965B mark while a rival prices comparable-claim inference at a quarter of the rate is the hardest setup and the cleanest validation at once: hold price and attach through the window and the best-value thesis is proven under live fire. The gross-margin page, not any benchmark, is the most repriced disclosure in the filing.</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They pay a flat subscription near twenty dollars a month, or in attention and data on an ad-funded free tier, which is Meta's model, or invisibly through AI folded into a subscription they hold. The token war reaches them indirectly but governs what they are offered.</w:t>
      </w:r>
    </w:p>
    <w:p>
      <w:pPr>
        <w:spacing w:after="140"/>
      </w:pPr>
      <w:r>
        <w:rPr>
          <w:rFonts w:ascii="Calibri Light" w:hAnsi="Calibri Light"/>
          <w:b w:val="0"/>
          <w:i w:val="0"/>
          <w:color w:val="000000"/>
          <w:sz w:val="20"/>
        </w:rPr>
        <w:t>The central consequence is that cheaper inference makes the free tier good enough: when serving a capable model costs a fraction of a year ago, the rational move is to give more away, so capability inflates at the free tier while willingness to pay compresses above it. That is the mirror of the enterprise story: enterprises pay for reliability they can measure, consumers will not pay for quality they cannot perceive. The market splits along the same barbell, a free ad-funded tier where Meta is advantaged and a premium bundle sold as an agent that books, buys, and codes; a paid chatbot that only answers questions is the consumer squeezed middle. Distribution decides this one: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Highest quality; Opus plus Mythos</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sticker, dearest per completed task</w:t>
            </w:r>
          </w:p>
        </w:tc>
        <w:tc>
          <w:tcPr>
            <w:tcW w:type="dxa" w:w="1558"/>
          </w:tcPr>
          <w:p>
            <w:pPr>
              <w:spacing w:after="0"/>
              <w:jc w:val="center"/>
            </w:pPr>
            <w:r/>
            <w:r>
              <w:rPr>
                <w:rFonts w:ascii="Calibri Light" w:hAnsi="Calibri Light"/>
                <w:b w:val="0"/>
                <w:color w:val="000000"/>
                <w:sz w:val="17"/>
              </w:rPr>
              <w:t>Reported strong agent</w:t>
            </w:r>
          </w:p>
        </w:tc>
        <w:tc>
          <w:tcPr>
            <w:tcW w:type="dxa" w:w="1558"/>
          </w:tcPr>
          <w:p>
            <w:pPr>
              <w:spacing w:after="0"/>
              <w:jc w:val="center"/>
            </w:pPr>
            <w:r/>
            <w:r>
              <w:rPr>
                <w:rFonts w:ascii="Calibri Light" w:hAnsi="Calibri Light"/>
                <w:b w:val="0"/>
                <w:color w:val="000000"/>
                <w:sz w:val="17"/>
              </w:rPr>
              <w:t>Ad engine and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Value leader on paper only</w:t>
            </w:r>
          </w:p>
        </w:tc>
        <w:tc>
          <w:tcPr>
            <w:tcW w:type="dxa" w:w="1558"/>
            <w:shd w:val="clear" w:fill="EAF0F8"/>
          </w:tcPr>
          <w:p>
            <w:pPr>
              <w:spacing w:after="0"/>
              <w:jc w:val="center"/>
            </w:pPr>
            <w:r/>
            <w:r>
              <w:rPr>
                <w:rFonts w:ascii="Calibri Light" w:hAnsi="Calibri Light"/>
                <w:b w:val="0"/>
                <w:color w:val="000000"/>
                <w:sz w:val="17"/>
              </w:rPr>
              <w:t>Grok 4.5 refresh: agentic, real-time data</w:t>
            </w:r>
          </w:p>
        </w:tc>
        <w:tc>
          <w:tcPr>
            <w:tcW w:type="dxa" w:w="1558"/>
            <w:shd w:val="clear" w:fill="EAF0F8"/>
          </w:tcPr>
          <w:p>
            <w:pPr>
              <w:spacing w:after="0"/>
              <w:jc w:val="center"/>
            </w:pPr>
            <w:r/>
            <w:r>
              <w:rPr>
                <w:rFonts w:ascii="Calibri Light" w:hAnsi="Calibri Light"/>
                <w:b w:val="0"/>
                <w:color w:val="000000"/>
                <w:sz w:val="17"/>
              </w:rPr>
              <w:t>Real-time X and Starlink feed; no seat</w:t>
            </w:r>
          </w:p>
        </w:tc>
        <w:tc>
          <w:tcPr>
            <w:tcW w:type="dxa" w:w="1558"/>
            <w:shd w:val="clear" w:fill="EAF0F8"/>
          </w:tcPr>
          <w:p>
            <w:pPr>
              <w:spacing w:after="0"/>
              <w:jc w:val="center"/>
            </w:pPr>
            <w:r/>
            <w:r>
              <w:rPr>
                <w:rFonts w:ascii="Calibri Light" w:hAnsi="Calibri Light"/>
                <w:b w:val="0"/>
                <w:color w:val="000000"/>
                <w:sz w:val="17"/>
              </w:rPr>
              <w:t>Loss north of six billion a year</w:t>
            </w:r>
          </w:p>
        </w:tc>
        <w:tc>
          <w:tcPr>
            <w:tcW w:type="dxa" w:w="1558"/>
            <w:shd w:val="clear" w:fill="EAF0F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Either way, the company is Anthropic.</w:t>
      </w:r>
    </w:p>
    <w:p>
      <w:pPr>
        <w:spacing w:after="140"/>
      </w:pPr>
      <w:r>
        <w:rPr>
          <w:rFonts w:ascii="Calibri Light" w:hAnsi="Calibri Light"/>
          <w:b w:val="0"/>
          <w:i w:val="0"/>
          <w:color w:val="000000"/>
          <w:sz w:val="20"/>
        </w:rPr>
        <w:t>Is Opus really best, or an artifact of our reliability assumption? The verdict is sturdier than it looks. Against Sol it wins at every equal level of reliability, because Sol prices output at thirty dollars to Opus's twenty-five, so Sol can take the value crown only by being materially more reliable, which nothing in the quality data suggests. Against the cheap tier it wins the moment its reliability edge clears a few points, which the break-even math shows is a low bar. The one load-bearing assumption is the ordering, that Anthropic's models are the most reliable, and that is what the business-quality data supports: Anthropic outscores every other lab on our composite. The controversial part is not the pick but what it says about the market: the companies winning the price-cut headlines are selling the worst value in it, and the model the war was meant to kill is the cheapest way to get real work done.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the Anthropic pricing page (platform.claude.com/docs/en/about-claude/pricing) for Claude Opus 4.8 at $5 and $25 and the limited-availability Claude Mythos 5 at $10 and $50; and the vendors' own price lists for GPT-5.6 Sol and Luna, Grok 4.5, and Meta Muse Spark 1.1.</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