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both"/>
      </w:pPr>
      <w:r>
        <w:rPr>
          <w:b w:val="0"/>
          <w:i w:val="0"/>
          <w:color w:val="262B35"/>
          <w:sz w:val="20"/>
        </w:rPr>
      </w:r>
    </w:p>
    <w:p>
      <w:pPr>
        <w:spacing w:after="120"/>
        <w:jc w:val="left"/>
      </w:pPr>
      <w:r>
        <w:rPr>
          <w:b/>
          <w:i w:val="0"/>
          <w:color w:val="6B7280"/>
          <w:sz w:val="20"/>
        </w:rPr>
        <w:t>COMPANY UPDATE</w:t>
      </w:r>
    </w:p>
    <w:p>
      <w:pPr>
        <w:spacing w:after="40"/>
      </w:pPr>
      <w:r>
        <w:rPr>
          <w:rFonts w:ascii="Georgia" w:hAnsi="Georgia"/>
          <w:b/>
          <w:color w:val="1F2A44"/>
          <w:sz w:val="60"/>
        </w:rPr>
        <w:t>Databricks, Inc.</w:t>
      </w:r>
    </w:p>
    <w:p>
      <w:pPr>
        <w:spacing w:after="80"/>
        <w:jc w:val="left"/>
      </w:pPr>
      <w:r>
        <w:rPr>
          <w:b w:val="0"/>
          <w:i/>
          <w:color w:val="35506E"/>
          <w:sz w:val="28"/>
        </w:rPr>
        <w:t>The Appraisal Moves: Reading the $188 Billion Term Sheet</w:t>
      </w:r>
    </w:p>
    <w:p>
      <w:pPr>
        <w:spacing w:after="280"/>
        <w:jc w:val="left"/>
      </w:pPr>
      <w:r>
        <w:rPr>
          <w:b w:val="0"/>
          <w:i w:val="0"/>
          <w:color w:val="262B35"/>
          <w:sz w:val="21"/>
        </w:rPr>
        <w:t>What the signed but unclosed Coatue round changes about the July thesis, what it cannot change until it closes, and the three dated numbers that decide the next quarter of this coverage. Built from the company tracker; every load-bearing figure re-verified on the run date.</w:t>
      </w:r>
    </w:p>
    <w:tbl>
      <w:tblPr>
        <w:tblW w:type="dxa" w:w="9360"/>
        <w:tblLook w:firstColumn="1" w:firstRow="1" w:lastColumn="0" w:lastRow="0" w:noHBand="0" w:noVBand="1" w:val="04A0"/>
        <w:tblBorders>
          <w:top w:val="single" w:sz="8" w:space="0" w:color="1F2A44"/>
          <w:left w:val="single" w:sz="8" w:space="0" w:color="1F2A44"/>
          <w:bottom w:val="single" w:sz="8" w:space="0" w:color="1F2A44"/>
          <w:right w:val="single" w:sz="8" w:space="0" w:color="1F2A44"/>
          <w:insideH w:val="single" w:sz="8" w:space="0" w:color="1F2A44"/>
          <w:insideV w:val="single" w:sz="8" w:space="0" w:color="1F2A44"/>
        </w:tblBorders>
        <w:tblCellMar>
          <w:top w:w="130" w:type="dxa"/>
          <w:left w:w="120" w:type="dxa"/>
          <w:bottom w:w="130" w:type="dxa"/>
          <w:right w:w="120" w:type="dxa"/>
        </w:tblCellMar>
      </w:tblPr>
      <w:tblGrid>
        <w:gridCol w:w="3120"/>
        <w:gridCol w:w="3120"/>
        <w:gridCol w:w="3120"/>
      </w:tblGrid>
      <w:tr>
        <w:tc>
          <w:tcPr>
            <w:tcW w:type="dxa" w:w="3120"/>
            <w:shd w:val="clear" w:fill="EAF2EE"/>
          </w:tcPr>
          <w:p>
            <w:pPr>
              <w:spacing w:after="40"/>
              <w:jc w:val="center"/>
            </w:pPr>
            <w:r/>
            <w:r>
              <w:rPr>
                <w:rFonts w:ascii="Georgia" w:hAnsi="Georgia"/>
                <w:b/>
                <w:color w:val="6B7280"/>
                <w:sz w:val="15"/>
              </w:rPr>
              <w:t>BUSINESS QUALITY (AIBQ)</w:t>
            </w:r>
          </w:p>
          <w:p>
            <w:pPr>
              <w:spacing w:after="40"/>
              <w:jc w:val="center"/>
            </w:pPr>
            <w:r>
              <w:rPr>
                <w:rFonts w:ascii="Georgia" w:hAnsi="Georgia"/>
                <w:b/>
                <w:color w:val="1C5D46"/>
                <w:sz w:val="26"/>
              </w:rPr>
              <w:t>8.81  /  ELITE</w:t>
            </w:r>
          </w:p>
          <w:p>
            <w:pPr>
              <w:spacing w:after="0"/>
              <w:jc w:val="center"/>
            </w:pPr>
            <w:r>
              <w:rPr>
                <w:rFonts w:ascii="Georgia" w:hAnsi="Georgia"/>
                <w:color w:val="6B7280"/>
                <w:sz w:val="14"/>
              </w:rPr>
              <w:t>Unchanged at the July 2026 re-score; the cohort's only Elite rating</w:t>
            </w:r>
          </w:p>
        </w:tc>
        <w:tc>
          <w:tcPr>
            <w:tcW w:type="dxa" w:w="3120"/>
            <w:shd w:val="clear" w:fill="F2F5F9"/>
          </w:tcPr>
          <w:p>
            <w:pPr>
              <w:spacing w:after="40"/>
              <w:jc w:val="center"/>
            </w:pPr>
            <w:r/>
            <w:r>
              <w:rPr>
                <w:rFonts w:ascii="Georgia" w:hAnsi="Georgia"/>
                <w:b/>
                <w:color w:val="6B7280"/>
                <w:sz w:val="15"/>
              </w:rPr>
              <w:t>COMPLETED MARK</w:t>
            </w:r>
          </w:p>
          <w:p>
            <w:pPr>
              <w:spacing w:after="40"/>
              <w:jc w:val="center"/>
            </w:pPr>
            <w:r>
              <w:rPr>
                <w:rFonts w:ascii="Georgia" w:hAnsi="Georgia"/>
                <w:b/>
                <w:color w:val="1F2A44"/>
                <w:sz w:val="26"/>
              </w:rPr>
              <w:t>$134B  ·  19.4x</w:t>
            </w:r>
          </w:p>
          <w:p>
            <w:pPr>
              <w:spacing w:after="0"/>
              <w:jc w:val="center"/>
            </w:pPr>
            <w:r>
              <w:rPr>
                <w:rFonts w:ascii="Georgia" w:hAnsi="Georgia"/>
                <w:color w:val="6B7280"/>
                <w:sz w:val="14"/>
              </w:rPr>
              <w:t>Series L, Feb 9, 2026; anchors the base case until the close</w:t>
            </w:r>
          </w:p>
        </w:tc>
        <w:tc>
          <w:tcPr>
            <w:tcW w:type="dxa" w:w="3120"/>
            <w:shd w:val="clear" w:fill="F2F5F9"/>
          </w:tcPr>
          <w:p>
            <w:pPr>
              <w:spacing w:after="40"/>
              <w:jc w:val="center"/>
            </w:pPr>
            <w:r/>
            <w:r>
              <w:rPr>
                <w:rFonts w:ascii="Georgia" w:hAnsi="Georgia"/>
                <w:b/>
                <w:color w:val="6B7280"/>
                <w:sz w:val="15"/>
              </w:rPr>
              <w:t>ANNOUNCED BID</w:t>
            </w:r>
          </w:p>
          <w:p>
            <w:pPr>
              <w:spacing w:after="40"/>
              <w:jc w:val="center"/>
            </w:pPr>
            <w:r>
              <w:rPr>
                <w:rFonts w:ascii="Georgia" w:hAnsi="Georgia"/>
                <w:b/>
                <w:color w:val="1F2A44"/>
                <w:sz w:val="26"/>
              </w:rPr>
              <w:t>$188B  ·  27.2x</w:t>
            </w:r>
          </w:p>
          <w:p>
            <w:pPr>
              <w:spacing w:after="0"/>
              <w:jc w:val="center"/>
            </w:pPr>
            <w:r>
              <w:rPr>
                <w:rFonts w:ascii="Georgia" w:hAnsi="Georgia"/>
                <w:color w:val="6B7280"/>
                <w:sz w:val="14"/>
              </w:rPr>
              <w:t>Term sheet Jul 17, 2026, Coatue lead; adopted only on completion</w:t>
            </w:r>
          </w:p>
        </w:tc>
      </w:tr>
    </w:tbl>
    <w:p>
      <w:pPr>
        <w:spacing w:after="160"/>
        <w:jc w:val="both"/>
      </w:pPr>
      <w:r>
        <w:rPr>
          <w:b w:val="0"/>
          <w:i w:val="0"/>
          <w:color w:val="262B35"/>
          <w:sz w:val="12"/>
        </w:rPr>
      </w:r>
    </w:p>
    <w:p>
      <w:pPr>
        <w:keepNext/>
        <w:spacing w:after="60"/>
        <w:jc w:val="left"/>
      </w:pPr>
      <w:r>
        <w:rPr>
          <w:b/>
          <w:i w:val="0"/>
          <w:color w:val="1F2A44"/>
          <w:sz w:val="19"/>
        </w:rPr>
        <w:t>Snapshot (figures re-verified August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450"/>
            <w:shd w:val="clear" w:fill="1F2A44"/>
          </w:tcPr>
          <w:p>
            <w:pPr>
              <w:spacing w:after="0"/>
              <w:jc w:val="left"/>
            </w:pPr>
            <w:r/>
            <w:r>
              <w:rPr>
                <w:rFonts w:ascii="Georgia" w:hAnsi="Georgia"/>
                <w:b/>
                <w:i w:val="0"/>
                <w:color w:val="FFFFFF"/>
                <w:sz w:val="17"/>
              </w:rPr>
              <w:t>Metric</w:t>
            </w:r>
          </w:p>
        </w:tc>
        <w:tc>
          <w:tcPr>
            <w:tcW w:type="dxa" w:w="3954"/>
            <w:shd w:val="clear" w:fill="1F2A44"/>
          </w:tcPr>
          <w:p>
            <w:pPr>
              <w:spacing w:after="0"/>
              <w:jc w:val="left"/>
            </w:pPr>
            <w:r/>
            <w:r>
              <w:rPr>
                <w:rFonts w:ascii="Georgia" w:hAnsi="Georgia"/>
                <w:b/>
                <w:i w:val="0"/>
                <w:color w:val="FFFFFF"/>
                <w:sz w:val="17"/>
              </w:rPr>
              <w:t>Value</w:t>
            </w:r>
          </w:p>
        </w:tc>
        <w:tc>
          <w:tcPr>
            <w:tcW w:type="dxa" w:w="3954"/>
            <w:shd w:val="clear" w:fill="1F2A44"/>
          </w:tcPr>
          <w:p>
            <w:pPr>
              <w:spacing w:after="0"/>
              <w:jc w:val="left"/>
            </w:pPr>
            <w:r/>
            <w:r>
              <w:rPr>
                <w:rFonts w:ascii="Georgia" w:hAnsi="Georgia"/>
                <w:b/>
                <w:i w:val="0"/>
                <w:color w:val="FFFFFF"/>
                <w:sz w:val="17"/>
              </w:rPr>
              <w:t>Source, date</w:t>
            </w:r>
          </w:p>
        </w:tc>
      </w:tr>
      <w:tr>
        <w:trPr>
          <w:cantSplit/>
        </w:trPr>
        <w:tc>
          <w:tcPr>
            <w:tcW w:type="dxa" w:w="1450"/>
          </w:tcPr>
          <w:p>
            <w:pPr>
              <w:spacing w:after="0"/>
              <w:jc w:val="left"/>
            </w:pPr>
            <w:r/>
            <w:r>
              <w:rPr>
                <w:rFonts w:ascii="Georgia" w:hAnsi="Georgia"/>
                <w:b w:val="0"/>
                <w:i w:val="0"/>
                <w:color w:val="262B35"/>
                <w:sz w:val="16"/>
              </w:rPr>
              <w:t>Announced round</w:t>
            </w:r>
          </w:p>
        </w:tc>
        <w:tc>
          <w:tcPr>
            <w:tcW w:type="dxa" w:w="3954"/>
          </w:tcPr>
          <w:p>
            <w:pPr>
              <w:spacing w:after="0"/>
              <w:jc w:val="left"/>
            </w:pPr>
            <w:r/>
            <w:r>
              <w:rPr>
                <w:rFonts w:ascii="Georgia" w:hAnsi="Georgia"/>
                <w:b w:val="0"/>
                <w:i w:val="0"/>
                <w:color w:val="262B35"/>
                <w:sz w:val="16"/>
              </w:rPr>
              <w:t>$188B post; ~$3B size (press); Coatue lead; unclosed</w:t>
            </w:r>
          </w:p>
        </w:tc>
        <w:tc>
          <w:tcPr>
            <w:tcW w:type="dxa" w:w="3954"/>
          </w:tcPr>
          <w:p>
            <w:pPr>
              <w:spacing w:after="0"/>
              <w:jc w:val="left"/>
            </w:pPr>
            <w:r/>
            <w:r>
              <w:rPr>
                <w:rFonts w:ascii="Georgia" w:hAnsi="Georgia"/>
                <w:b w:val="0"/>
                <w:i w:val="0"/>
                <w:color w:val="262B35"/>
                <w:sz w:val="16"/>
              </w:rPr>
              <w:t>Company announcement, Jul 17, 2026; PitchBook note, Aug 7, 2026</w:t>
            </w:r>
          </w:p>
        </w:tc>
      </w:tr>
      <w:tr>
        <w:trPr>
          <w:cantSplit/>
        </w:trPr>
        <w:tc>
          <w:tcPr>
            <w:tcW w:type="dxa" w:w="1450"/>
            <w:shd w:val="clear" w:fill="F2F5F9"/>
          </w:tcPr>
          <w:p>
            <w:pPr>
              <w:spacing w:after="0"/>
              <w:jc w:val="left"/>
            </w:pPr>
            <w:r/>
            <w:r>
              <w:rPr>
                <w:rFonts w:ascii="Georgia" w:hAnsi="Georgia"/>
                <w:b w:val="0"/>
                <w:i w:val="0"/>
                <w:color w:val="262B35"/>
                <w:sz w:val="16"/>
              </w:rPr>
              <w:t>Completed mark</w:t>
            </w:r>
          </w:p>
        </w:tc>
        <w:tc>
          <w:tcPr>
            <w:tcW w:type="dxa" w:w="3954"/>
            <w:shd w:val="clear" w:fill="F2F5F9"/>
          </w:tcPr>
          <w:p>
            <w:pPr>
              <w:spacing w:after="0"/>
              <w:jc w:val="left"/>
            </w:pPr>
            <w:r/>
            <w:r>
              <w:rPr>
                <w:rFonts w:ascii="Georgia" w:hAnsi="Georgia"/>
                <w:b w:val="0"/>
                <w:i w:val="0"/>
                <w:color w:val="262B35"/>
                <w:sz w:val="16"/>
              </w:rPr>
              <w:t>$134B (Series L, held flat across two closes)</w:t>
            </w:r>
          </w:p>
        </w:tc>
        <w:tc>
          <w:tcPr>
            <w:tcW w:type="dxa" w:w="3954"/>
            <w:shd w:val="clear" w:fill="F2F5F9"/>
          </w:tcPr>
          <w:p>
            <w:pPr>
              <w:spacing w:after="0"/>
              <w:jc w:val="left"/>
            </w:pPr>
            <w:r/>
            <w:r>
              <w:rPr>
                <w:rFonts w:ascii="Georgia" w:hAnsi="Georgia"/>
                <w:b w:val="0"/>
                <w:i w:val="0"/>
                <w:color w:val="262B35"/>
                <w:sz w:val="16"/>
              </w:rPr>
              <w:t>Company + PitchBook deal record, Feb 9, 2026</w:t>
            </w:r>
          </w:p>
        </w:tc>
      </w:tr>
      <w:tr>
        <w:trPr>
          <w:cantSplit/>
        </w:trPr>
        <w:tc>
          <w:tcPr>
            <w:tcW w:type="dxa" w:w="1450"/>
          </w:tcPr>
          <w:p>
            <w:pPr>
              <w:spacing w:after="0"/>
              <w:jc w:val="left"/>
            </w:pPr>
            <w:r/>
            <w:r>
              <w:rPr>
                <w:rFonts w:ascii="Georgia" w:hAnsi="Georgia"/>
                <w:b w:val="0"/>
                <w:i w:val="0"/>
                <w:color w:val="262B35"/>
                <w:sz w:val="16"/>
              </w:rPr>
              <w:t>Revenue run-rate</w:t>
            </w:r>
          </w:p>
        </w:tc>
        <w:tc>
          <w:tcPr>
            <w:tcW w:type="dxa" w:w="3954"/>
          </w:tcPr>
          <w:p>
            <w:pPr>
              <w:spacing w:after="0"/>
              <w:jc w:val="left"/>
            </w:pPr>
            <w:r/>
            <w:r>
              <w:rPr>
                <w:rFonts w:ascii="Georgia" w:hAnsi="Georgia"/>
                <w:b w:val="0"/>
                <w:i w:val="0"/>
                <w:color w:val="262B35"/>
                <w:sz w:val="16"/>
              </w:rPr>
              <w:t>$6.9B, +80% YoY, fourth consecutive accelerating print</w:t>
            </w:r>
          </w:p>
        </w:tc>
        <w:tc>
          <w:tcPr>
            <w:tcW w:type="dxa" w:w="3954"/>
          </w:tcPr>
          <w:p>
            <w:pPr>
              <w:spacing w:after="0"/>
              <w:jc w:val="left"/>
            </w:pPr>
            <w:r/>
            <w:r>
              <w:rPr>
                <w:rFonts w:ascii="Georgia" w:hAnsi="Georgia"/>
                <w:b w:val="0"/>
                <w:i w:val="0"/>
                <w:color w:val="262B35"/>
                <w:sz w:val="16"/>
              </w:rPr>
              <w:t>Company disclosure, Jun 16, 2026</w:t>
            </w:r>
          </w:p>
        </w:tc>
      </w:tr>
      <w:tr>
        <w:trPr>
          <w:cantSplit/>
        </w:trPr>
        <w:tc>
          <w:tcPr>
            <w:tcW w:type="dxa" w:w="1450"/>
            <w:shd w:val="clear" w:fill="F2F5F9"/>
          </w:tcPr>
          <w:p>
            <w:pPr>
              <w:spacing w:after="0"/>
              <w:jc w:val="left"/>
            </w:pPr>
            <w:r/>
            <w:r>
              <w:rPr>
                <w:rFonts w:ascii="Georgia" w:hAnsi="Georgia"/>
                <w:b w:val="0"/>
                <w:i w:val="0"/>
                <w:color w:val="262B35"/>
                <w:sz w:val="16"/>
              </w:rPr>
              <w:t>Gross margin</w:t>
            </w:r>
          </w:p>
        </w:tc>
        <w:tc>
          <w:tcPr>
            <w:tcW w:type="dxa" w:w="3954"/>
            <w:shd w:val="clear" w:fill="F2F5F9"/>
          </w:tcPr>
          <w:p>
            <w:pPr>
              <w:spacing w:after="0"/>
              <w:jc w:val="left"/>
            </w:pPr>
            <w:r/>
            <w:r>
              <w:rPr>
                <w:rFonts w:ascii="Georgia" w:hAnsi="Georgia"/>
                <w:b w:val="0"/>
                <w:i w:val="0"/>
                <w:color w:val="262B35"/>
                <w:sz w:val="16"/>
              </w:rPr>
              <w:t>74%, guided lower; four points above the 70% gate</w:t>
            </w:r>
          </w:p>
        </w:tc>
        <w:tc>
          <w:tcPr>
            <w:tcW w:type="dxa" w:w="3954"/>
            <w:shd w:val="clear" w:fill="F2F5F9"/>
          </w:tcPr>
          <w:p>
            <w:pPr>
              <w:spacing w:after="0"/>
              <w:jc w:val="left"/>
            </w:pPr>
            <w:r/>
            <w:r>
              <w:rPr>
                <w:rFonts w:ascii="Georgia" w:hAnsi="Georgia"/>
                <w:b w:val="0"/>
                <w:i w:val="0"/>
                <w:color w:val="262B35"/>
                <w:sz w:val="16"/>
              </w:rPr>
              <w:t>Company disclosure, Jun 16, 2026</w:t>
            </w:r>
          </w:p>
        </w:tc>
      </w:tr>
      <w:tr>
        <w:trPr>
          <w:cantSplit/>
        </w:trPr>
        <w:tc>
          <w:tcPr>
            <w:tcW w:type="dxa" w:w="1450"/>
          </w:tcPr>
          <w:p>
            <w:pPr>
              <w:spacing w:after="0"/>
              <w:jc w:val="left"/>
            </w:pPr>
            <w:r/>
            <w:r>
              <w:rPr>
                <w:rFonts w:ascii="Georgia" w:hAnsi="Georgia"/>
                <w:b w:val="0"/>
                <w:i w:val="0"/>
                <w:color w:val="262B35"/>
                <w:sz w:val="16"/>
              </w:rPr>
              <w:t>Lifetime capital</w:t>
            </w:r>
          </w:p>
        </w:tc>
        <w:tc>
          <w:tcPr>
            <w:tcW w:type="dxa" w:w="3954"/>
          </w:tcPr>
          <w:p>
            <w:pPr>
              <w:spacing w:after="0"/>
              <w:jc w:val="left"/>
            </w:pPr>
            <w:r/>
            <w:r>
              <w:rPr>
                <w:rFonts w:ascii="Georgia" w:hAnsi="Georgia"/>
                <w:b w:val="0"/>
                <w:i w:val="0"/>
                <w:color w:val="262B35"/>
                <w:sz w:val="16"/>
              </w:rPr>
              <w:t>~$29.5B (~$20.2B equity + ~$9.3B debt)</w:t>
            </w:r>
          </w:p>
        </w:tc>
        <w:tc>
          <w:tcPr>
            <w:tcW w:type="dxa" w:w="3954"/>
          </w:tcPr>
          <w:p>
            <w:pPr>
              <w:spacing w:after="0"/>
              <w:jc w:val="left"/>
            </w:pPr>
            <w:r/>
            <w:r>
              <w:rPr>
                <w:rFonts w:ascii="Georgia" w:hAnsi="Georgia"/>
                <w:b w:val="0"/>
                <w:i w:val="0"/>
                <w:color w:val="262B35"/>
                <w:sz w:val="16"/>
              </w:rPr>
              <w:t>PitchBook 21-deal record, Jul 2026</w:t>
            </w:r>
          </w:p>
        </w:tc>
      </w:tr>
      <w:tr>
        <w:trPr>
          <w:cantSplit/>
        </w:trPr>
        <w:tc>
          <w:tcPr>
            <w:tcW w:type="dxa" w:w="1450"/>
            <w:shd w:val="clear" w:fill="F2F5F9"/>
          </w:tcPr>
          <w:p>
            <w:pPr>
              <w:spacing w:after="0"/>
              <w:jc w:val="left"/>
            </w:pPr>
            <w:r/>
            <w:r>
              <w:rPr>
                <w:rFonts w:ascii="Georgia" w:hAnsi="Georgia"/>
                <w:b w:val="0"/>
                <w:i w:val="0"/>
                <w:color w:val="262B35"/>
                <w:sz w:val="16"/>
              </w:rPr>
              <w:t>Active investors</w:t>
            </w:r>
          </w:p>
        </w:tc>
        <w:tc>
          <w:tcPr>
            <w:tcW w:type="dxa" w:w="3954"/>
            <w:shd w:val="clear" w:fill="F2F5F9"/>
          </w:tcPr>
          <w:p>
            <w:pPr>
              <w:spacing w:after="0"/>
              <w:jc w:val="left"/>
            </w:pPr>
            <w:r/>
            <w:r>
              <w:rPr>
                <w:rFonts w:ascii="Georgia" w:hAnsi="Georgia"/>
                <w:b w:val="0"/>
                <w:i w:val="0"/>
                <w:color w:val="262B35"/>
                <w:sz w:val="16"/>
              </w:rPr>
              <w:t>152, from 148 at the July pack</w:t>
            </w:r>
          </w:p>
        </w:tc>
        <w:tc>
          <w:tcPr>
            <w:tcW w:type="dxa" w:w="3954"/>
            <w:shd w:val="clear" w:fill="F2F5F9"/>
          </w:tcPr>
          <w:p>
            <w:pPr>
              <w:spacing w:after="0"/>
              <w:jc w:val="left"/>
            </w:pPr>
            <w:r/>
            <w:r>
              <w:rPr>
                <w:rFonts w:ascii="Georgia" w:hAnsi="Georgia"/>
                <w:b w:val="0"/>
                <w:i w:val="0"/>
                <w:color w:val="262B35"/>
                <w:sz w:val="16"/>
              </w:rPr>
              <w:t>PitchBook profile, Aug 10, 2026</w:t>
            </w:r>
          </w:p>
        </w:tc>
      </w:tr>
      <w:tr>
        <w:trPr>
          <w:cantSplit/>
        </w:trPr>
        <w:tc>
          <w:tcPr>
            <w:tcW w:type="dxa" w:w="1450"/>
          </w:tcPr>
          <w:p>
            <w:pPr>
              <w:spacing w:after="0"/>
              <w:jc w:val="left"/>
            </w:pPr>
            <w:r/>
            <w:r>
              <w:rPr>
                <w:rFonts w:ascii="Georgia" w:hAnsi="Georgia"/>
                <w:b w:val="0"/>
                <w:i w:val="0"/>
                <w:color w:val="262B35"/>
                <w:sz w:val="16"/>
              </w:rPr>
              <w:t>Employees</w:t>
            </w:r>
          </w:p>
        </w:tc>
        <w:tc>
          <w:tcPr>
            <w:tcW w:type="dxa" w:w="3954"/>
          </w:tcPr>
          <w:p>
            <w:pPr>
              <w:spacing w:after="0"/>
              <w:jc w:val="left"/>
            </w:pPr>
            <w:r/>
            <w:r>
              <w:rPr>
                <w:rFonts w:ascii="Georgia" w:hAnsi="Georgia"/>
                <w:b w:val="0"/>
                <w:i w:val="0"/>
                <w:color w:val="262B35"/>
                <w:sz w:val="16"/>
              </w:rPr>
              <w:t>9,000</w:t>
            </w:r>
          </w:p>
        </w:tc>
        <w:tc>
          <w:tcPr>
            <w:tcW w:type="dxa" w:w="3954"/>
          </w:tcPr>
          <w:p>
            <w:pPr>
              <w:spacing w:after="0"/>
              <w:jc w:val="left"/>
            </w:pPr>
            <w:r/>
            <w:r>
              <w:rPr>
                <w:rFonts w:ascii="Georgia" w:hAnsi="Georgia"/>
                <w:b w:val="0"/>
                <w:i w:val="0"/>
                <w:color w:val="262B35"/>
                <w:sz w:val="16"/>
              </w:rPr>
              <w:t>PitchBook, Jun 9, 2026</w:t>
            </w:r>
          </w:p>
        </w:tc>
      </w:tr>
      <w:tr>
        <w:trPr>
          <w:cantSplit/>
        </w:trPr>
        <w:tc>
          <w:tcPr>
            <w:tcW w:type="dxa" w:w="1450"/>
            <w:shd w:val="clear" w:fill="F2F5F9"/>
          </w:tcPr>
          <w:p>
            <w:pPr>
              <w:spacing w:after="0"/>
              <w:jc w:val="left"/>
            </w:pPr>
            <w:r/>
            <w:r>
              <w:rPr>
                <w:rFonts w:ascii="Georgia" w:hAnsi="Georgia"/>
                <w:b w:val="0"/>
                <w:i w:val="0"/>
                <w:color w:val="262B35"/>
                <w:sz w:val="16"/>
              </w:rPr>
              <w:t>Listing status</w:t>
            </w:r>
          </w:p>
        </w:tc>
        <w:tc>
          <w:tcPr>
            <w:tcW w:type="dxa" w:w="3954"/>
            <w:shd w:val="clear" w:fill="F2F5F9"/>
          </w:tcPr>
          <w:p>
            <w:pPr>
              <w:spacing w:after="0"/>
              <w:jc w:val="left"/>
            </w:pPr>
            <w:r/>
            <w:r>
              <w:rPr>
                <w:rFonts w:ascii="Georgia" w:hAnsi="Georgia"/>
                <w:b w:val="0"/>
                <w:i w:val="0"/>
                <w:color w:val="262B35"/>
                <w:sz w:val="16"/>
              </w:rPr>
              <w:t>No S-1 on file; 2026 ruled out; 2027 earliest</w:t>
            </w:r>
          </w:p>
        </w:tc>
        <w:tc>
          <w:tcPr>
            <w:tcW w:type="dxa" w:w="3954"/>
            <w:shd w:val="clear" w:fill="F2F5F9"/>
          </w:tcPr>
          <w:p>
            <w:pPr>
              <w:spacing w:after="0"/>
              <w:jc w:val="left"/>
            </w:pPr>
            <w:r/>
            <w:r>
              <w:rPr>
                <w:rFonts w:ascii="Georgia" w:hAnsi="Georgia"/>
                <w:b w:val="0"/>
                <w:i w:val="0"/>
                <w:color w:val="262B35"/>
                <w:sz w:val="16"/>
              </w:rPr>
              <w:t>SEC EDGAR, Jul 10, 2026; company, Jun 4, 2026</w:t>
            </w:r>
          </w:p>
        </w:tc>
      </w:tr>
      <w:tr>
        <w:trPr>
          <w:cantSplit/>
        </w:trPr>
        <w:tc>
          <w:tcPr>
            <w:tcW w:type="dxa" w:w="1450"/>
          </w:tcPr>
          <w:p>
            <w:pPr>
              <w:spacing w:after="0"/>
              <w:jc w:val="left"/>
            </w:pPr>
            <w:r/>
            <w:r>
              <w:rPr>
                <w:rFonts w:ascii="Georgia" w:hAnsi="Georgia"/>
                <w:b w:val="0"/>
                <w:i w:val="0"/>
                <w:color w:val="262B35"/>
                <w:sz w:val="16"/>
              </w:rPr>
              <w:t>Quality-adjusted price</w:t>
            </w:r>
          </w:p>
        </w:tc>
        <w:tc>
          <w:tcPr>
            <w:tcW w:type="dxa" w:w="3954"/>
          </w:tcPr>
          <w:p>
            <w:pPr>
              <w:spacing w:after="0"/>
              <w:jc w:val="left"/>
            </w:pPr>
            <w:r/>
            <w:r>
              <w:rPr>
                <w:rFonts w:ascii="Georgia" w:hAnsi="Georgia"/>
                <w:b w:val="0"/>
                <w:i w:val="0"/>
                <w:color w:val="262B35"/>
                <w:sz w:val="16"/>
              </w:rPr>
              <w:t>$15.2B/pt at the completed mark; ~$21.3B/pt announced (est.)</w:t>
            </w:r>
          </w:p>
        </w:tc>
        <w:tc>
          <w:tcPr>
            <w:tcW w:type="dxa" w:w="3954"/>
          </w:tcPr>
          <w:p>
            <w:pPr>
              <w:spacing w:after="0"/>
              <w:jc w:val="left"/>
            </w:pPr>
            <w:r/>
            <w:r>
              <w:rPr>
                <w:rFonts w:ascii="Georgia" w:hAnsi="Georgia"/>
                <w:b w:val="0"/>
                <w:i w:val="0"/>
                <w:color w:val="262B35"/>
                <w:sz w:val="16"/>
              </w:rPr>
              <w:t>Derived, Aug 10, 2026</w:t>
            </w:r>
          </w:p>
        </w:tc>
      </w:tr>
    </w:tbl>
    <w:p>
      <w:pPr>
        <w:spacing w:after="200"/>
        <w:jc w:val="left"/>
      </w:pPr>
      <w:r>
        <w:rPr>
          <w:b w:val="0"/>
          <w:i/>
          <w:color w:val="6B7280"/>
          <w:sz w:val="15"/>
        </w:rPr>
        <w:t>Prepared by Harrison Rolfes, Senior Research Director  |  August 10, 2026  |  Companion: live tracker digest, same date.</w:t>
      </w:r>
    </w:p>
    <w:p>
      <w:pPr>
        <w:pStyle w:val="Heading1"/>
      </w:pPr>
      <w:r>
        <w:t>Contents</w:t>
      </w:r>
    </w:p>
    <w:tbl>
      <w:tblPr>
        <w:tblW w:type="dxa" w:w="9360"/>
        <w:jc w:val="center"/>
        <w:tblLayout w:type="fixed"/>
        <w:tblLook w:firstColumn="1" w:firstRow="1" w:lastColumn="0" w:lastRow="0" w:noHBand="0" w:noVBand="1" w:val="04A0"/>
        <w:tblCellMar>
          <w:top w:w="26" w:type="dxa"/>
          <w:left w:w="80" w:type="dxa"/>
          <w:bottom w:w="26" w:type="dxa"/>
          <w:right w:w="80" w:type="dxa"/>
        </w:tblCellMar>
      </w:tblPr>
      <w:tblGrid>
        <w:gridCol w:w="4680"/>
        <w:gridCol w:w="4680"/>
      </w:tblGrid>
      <w:tr>
        <w:trPr>
          <w:cantSplit/>
        </w:trPr>
        <w:tc>
          <w:tcPr>
            <w:tcW w:type="dxa" w:w="8460"/>
          </w:tcPr>
          <w:p>
            <w:pPr>
              <w:spacing w:after="0"/>
              <w:jc w:val="left"/>
            </w:pPr>
            <w:r/>
            <w:r>
              <w:rPr>
                <w:rFonts w:ascii="Georgia" w:hAnsi="Georgia"/>
                <w:b w:val="0"/>
                <w:i w:val="0"/>
                <w:color w:val="262B35"/>
                <w:sz w:val="19"/>
              </w:rPr>
              <w:t>The Signal: A Higher Bid, Signed but Not Settled</w:t>
            </w:r>
          </w:p>
        </w:tc>
        <w:tc>
          <w:tcPr>
            <w:tcW w:type="dxa" w:w="900"/>
          </w:tcPr>
          <w:p>
            <w:pPr>
              <w:spacing w:after="0"/>
              <w:jc w:val="right"/>
            </w:pPr>
            <w:r/>
            <w:r>
              <w:rPr>
                <w:rFonts w:ascii="Georgia" w:hAnsi="Georgia"/>
                <w:b w:val="0"/>
                <w:i w:val="0"/>
                <w:color w:val="6B7280"/>
                <w:sz w:val="19"/>
              </w:rPr>
              <w:t>3</w:t>
            </w:r>
          </w:p>
        </w:tc>
      </w:tr>
      <w:tr>
        <w:trPr>
          <w:cantSplit/>
        </w:trPr>
        <w:tc>
          <w:tcPr>
            <w:tcW w:type="dxa" w:w="8460"/>
          </w:tcPr>
          <w:p>
            <w:pPr>
              <w:spacing w:after="0"/>
              <w:jc w:val="left"/>
            </w:pPr>
            <w:r/>
            <w:r>
              <w:rPr>
                <w:rFonts w:ascii="Georgia" w:hAnsi="Georgia"/>
                <w:b w:val="0"/>
                <w:i w:val="0"/>
                <w:color w:val="262B35"/>
                <w:sz w:val="19"/>
              </w:rPr>
              <w:t>The Ledger Moves: What Changed and What Did Not</w:t>
            </w:r>
          </w:p>
        </w:tc>
        <w:tc>
          <w:tcPr>
            <w:tcW w:type="dxa" w:w="900"/>
          </w:tcPr>
          <w:p>
            <w:pPr>
              <w:spacing w:after="0"/>
              <w:jc w:val="right"/>
            </w:pPr>
            <w:r/>
            <w:r>
              <w:rPr>
                <w:rFonts w:ascii="Georgia" w:hAnsi="Georgia"/>
                <w:b w:val="0"/>
                <w:i w:val="0"/>
                <w:color w:val="6B7280"/>
                <w:sz w:val="19"/>
              </w:rPr>
              <w:t>5</w:t>
            </w:r>
          </w:p>
        </w:tc>
      </w:tr>
      <w:tr>
        <w:trPr>
          <w:cantSplit/>
        </w:trPr>
        <w:tc>
          <w:tcPr>
            <w:tcW w:type="dxa" w:w="8460"/>
          </w:tcPr>
          <w:p>
            <w:pPr>
              <w:spacing w:after="0"/>
              <w:jc w:val="left"/>
            </w:pPr>
            <w:r/>
            <w:r>
              <w:rPr>
                <w:rFonts w:ascii="Georgia" w:hAnsi="Georgia"/>
                <w:b w:val="0"/>
                <w:i w:val="0"/>
                <w:color w:val="262B35"/>
                <w:sz w:val="19"/>
              </w:rPr>
              <w:t>The Thesis Check: Confirmed, Extended, or Contradicted</w:t>
            </w:r>
          </w:p>
        </w:tc>
        <w:tc>
          <w:tcPr>
            <w:tcW w:type="dxa" w:w="900"/>
          </w:tcPr>
          <w:p>
            <w:pPr>
              <w:spacing w:after="0"/>
              <w:jc w:val="right"/>
            </w:pPr>
            <w:r/>
            <w:r>
              <w:rPr>
                <w:rFonts w:ascii="Georgia" w:hAnsi="Georgia"/>
                <w:b w:val="0"/>
                <w:i w:val="0"/>
                <w:color w:val="6B7280"/>
                <w:sz w:val="19"/>
              </w:rPr>
              <w:t>7</w:t>
            </w:r>
          </w:p>
        </w:tc>
      </w:tr>
      <w:tr>
        <w:trPr>
          <w:cantSplit/>
        </w:trPr>
        <w:tc>
          <w:tcPr>
            <w:tcW w:type="dxa" w:w="8460"/>
          </w:tcPr>
          <w:p>
            <w:pPr>
              <w:spacing w:after="0"/>
              <w:jc w:val="left"/>
            </w:pPr>
            <w:r/>
            <w:r>
              <w:rPr>
                <w:rFonts w:ascii="Georgia" w:hAnsi="Georgia"/>
                <w:b w:val="0"/>
                <w:i w:val="0"/>
                <w:color w:val="262B35"/>
                <w:sz w:val="19"/>
              </w:rPr>
              <w:t>The Verdict and the Watch List</w:t>
            </w:r>
          </w:p>
        </w:tc>
        <w:tc>
          <w:tcPr>
            <w:tcW w:type="dxa" w:w="900"/>
          </w:tcPr>
          <w:p>
            <w:pPr>
              <w:spacing w:after="0"/>
              <w:jc w:val="right"/>
            </w:pPr>
            <w:r/>
            <w:r>
              <w:rPr>
                <w:rFonts w:ascii="Georgia" w:hAnsi="Georgia"/>
                <w:b w:val="0"/>
                <w:i w:val="0"/>
                <w:color w:val="6B7280"/>
                <w:sz w:val="19"/>
              </w:rPr>
              <w:t>9</w:t>
            </w:r>
          </w:p>
        </w:tc>
      </w:tr>
      <w:tr>
        <w:trPr>
          <w:cantSplit/>
        </w:trPr>
        <w:tc>
          <w:tcPr>
            <w:tcW w:type="dxa" w:w="8460"/>
          </w:tcPr>
          <w:p>
            <w:pPr>
              <w:spacing w:after="0"/>
              <w:jc w:val="left"/>
            </w:pPr>
            <w:r/>
            <w:r>
              <w:rPr>
                <w:rFonts w:ascii="Georgia" w:hAnsi="Georgia"/>
                <w:b w:val="0"/>
                <w:i w:val="0"/>
                <w:color w:val="262B35"/>
                <w:sz w:val="19"/>
              </w:rPr>
              <w:t>Appendix: The Fact Sheet</w:t>
            </w:r>
          </w:p>
        </w:tc>
        <w:tc>
          <w:tcPr>
            <w:tcW w:type="dxa" w:w="900"/>
          </w:tcPr>
          <w:p>
            <w:pPr>
              <w:spacing w:after="0"/>
              <w:jc w:val="right"/>
            </w:pPr>
            <w:r/>
            <w:r>
              <w:rPr>
                <w:rFonts w:ascii="Georgia" w:hAnsi="Georgia"/>
                <w:b w:val="0"/>
                <w:i w:val="0"/>
                <w:color w:val="6B7280"/>
                <w:sz w:val="19"/>
              </w:rPr>
              <w:t>10</w:t>
            </w:r>
          </w:p>
        </w:tc>
      </w:tr>
    </w:tbl>
    <w:p>
      <w:pPr>
        <w:spacing w:after="120"/>
        <w:jc w:val="both"/>
      </w:pPr>
      <w:r>
        <w:rPr>
          <w:b w:val="0"/>
          <w:i w:val="0"/>
          <w:color w:val="262B35"/>
          <w:sz w:val="12"/>
        </w:rPr>
      </w:r>
    </w:p>
    <w:p>
      <w:pPr>
        <w:spacing w:after="80"/>
        <w:jc w:val="left"/>
      </w:pPr>
      <w:r>
        <w:rPr>
          <w:b/>
          <w:i w:val="0"/>
          <w:color w:val="1F2A44"/>
          <w:sz w:val="22"/>
        </w:rPr>
        <w:t>Exhibits</w:t>
      </w:r>
    </w:p>
    <w:p>
      <w:pPr>
        <w:spacing w:after="40"/>
        <w:jc w:val="left"/>
      </w:pPr>
      <w:r>
        <w:rPr>
          <w:b w:val="0"/>
          <w:i w:val="0"/>
          <w:color w:val="262B35"/>
          <w:sz w:val="17"/>
        </w:rPr>
        <w:t>Figure 1.  The valuation ladder: three completed marks and the announced bid</w:t>
      </w:r>
    </w:p>
    <w:p>
      <w:pPr>
        <w:spacing w:after="40"/>
        <w:jc w:val="left"/>
      </w:pPr>
      <w:r>
        <w:rPr>
          <w:b w:val="0"/>
          <w:i w:val="0"/>
          <w:color w:val="262B35"/>
          <w:sz w:val="17"/>
        </w:rPr>
        <w:t>Figure 2.  The acceleration: run-rate and growth, four prints</w:t>
      </w:r>
    </w:p>
    <w:p>
      <w:pPr>
        <w:spacing w:after="40"/>
        <w:jc w:val="left"/>
      </w:pPr>
      <w:r>
        <w:rPr>
          <w:b w:val="0"/>
          <w:i w:val="0"/>
          <w:color w:val="262B35"/>
          <w:sz w:val="17"/>
        </w:rPr>
        <w:t>Figure 3.  The per-point ladder at both marks</w:t>
      </w:r>
    </w:p>
    <w:p>
      <w:pPr>
        <w:pStyle w:val="Heading1"/>
      </w:pPr>
      <w:r>
        <w:t>The Signal: A Higher Bid, Signed but Not Settled</w:t>
      </w:r>
    </w:p>
    <w:p>
      <w:pPr>
        <w:spacing w:after="140"/>
        <w:jc w:val="both"/>
      </w:pPr>
      <w:r>
        <w:rPr>
          <w:b w:val="0"/>
          <w:i w:val="0"/>
          <w:color w:val="262B35"/>
          <w:sz w:val="21"/>
        </w:rPr>
        <w:t>The rumor has become a term sheet, and the price went up on the way. On July 17 Databricks announced a signed term sheet for a strategic funding round at a $188 billion post-money valuation, led by existing investor Coatue with participation from new and existing backers (company announcement, July 17, 2026). The company has not disclosed the size; press reports place it near $3 billion (press reports, July 17, 2026). The money is explicitly not in hand: the company expects the round to close later this summer, and the deal record carries it as announced and in progress, the thirteenth equity round (PitchBook financing note, August 7, 2026).</w:t>
      </w:r>
    </w:p>
    <w:p>
      <w:pPr>
        <w:spacing w:after="140"/>
        <w:jc w:val="both"/>
      </w:pPr>
      <w:r>
        <w:rPr>
          <w:b w:val="0"/>
          <w:i w:val="0"/>
          <w:color w:val="262B35"/>
          <w:sz w:val="21"/>
        </w:rPr>
        <w:t>This is the July coverage's open question, resolved upward. The initiation note carried the reported $165 to 175 billion talks under the standing rule that unclosed financings are analyzed, never adopted, and the tracker held that line while the talks firmed. The signed term sheet lands $13 billion above the top of the talked range and 40% above the $134 billion completed mark set five months earlier (derived from the two marks). The size tells the same story the February round told: roughly $3 billion against February's $7.0 billion raise is a company building dry powder on its own schedule, raising because it wants to, not because it must (PitchBook deal record, February 9, 2026).</w:t>
      </w:r>
    </w:p>
    <w:p>
      <w:pPr>
        <w:keepNext/>
        <w:spacing w:after="40"/>
        <w:jc w:val="center"/>
      </w:pPr>
      <w:r>
        <w:drawing>
          <wp:inline xmlns:a="http://schemas.openxmlformats.org/drawingml/2006/main" xmlns:pic="http://schemas.openxmlformats.org/drawingml/2006/picture">
            <wp:extent cx="5943600" cy="3114369"/>
            <wp:docPr id="1" name="Picture 1"/>
            <wp:cNvGraphicFramePr>
              <a:graphicFrameLocks noChangeAspect="1"/>
            </wp:cNvGraphicFramePr>
            <a:graphic>
              <a:graphicData uri="http://schemas.openxmlformats.org/drawingml/2006/picture">
                <pic:pic>
                  <pic:nvPicPr>
                    <pic:cNvPr id="0" name="val_ladder_aug2026.png"/>
                    <pic:cNvPicPr/>
                  </pic:nvPicPr>
                  <pic:blipFill>
                    <a:blip r:embed="rId12"/>
                    <a:stretch>
                      <a:fillRect/>
                    </a:stretch>
                  </pic:blipFill>
                  <pic:spPr>
                    <a:xfrm>
                      <a:off x="0" y="0"/>
                      <a:ext cx="5943600" cy="3114369"/>
                    </a:xfrm>
                    <a:prstGeom prst="rect"/>
                  </pic:spPr>
                </pic:pic>
              </a:graphicData>
            </a:graphic>
          </wp:inline>
        </w:drawing>
      </w:r>
    </w:p>
    <w:p>
      <w:pPr>
        <w:spacing w:after="240"/>
        <w:jc w:val="left"/>
      </w:pPr>
      <w:r>
        <w:rPr>
          <w:b w:val="0"/>
          <w:i/>
          <w:color w:val="6B7280"/>
          <w:sz w:val="15"/>
        </w:rPr>
        <w:t>Figure 1. Post-money valuation marks, December 2024 to July 2026. Completed marks solid (company disclosures; PitchBook deal records); the July 17, 2026 term sheet hatched: signed at $188B, unclosed, not adopted in the base case until funds settle.</w:t>
      </w:r>
    </w:p>
    <w:p>
      <w:pPr>
        <w:spacing w:after="140"/>
        <w:jc w:val="both"/>
      </w:pPr>
      <w:r>
        <w:rPr>
          <w:b w:val="0"/>
          <w:i w:val="0"/>
          <w:color w:val="262B35"/>
          <w:sz w:val="21"/>
        </w:rPr>
        <w:t>What happened is a price signal; what it means is a re-rate of the same engine. Nothing in the operating record moved with the announcement: the last dated print remains $6.9 billion of run-rate growing +80% YoY (company disclosure, June 16, 2026), gross margin remains 74% and guided lower, and the next scheduled disclosure is the September to October window. The bid moved, the business did not. At the completed mark the run-rate multiple is 19.4x; at the announced mark it is 27.2x on the identical June print (derived). The September print therefore decides which of those numbers the buyer actually paid.</w:t>
      </w:r>
    </w:p>
    <w:p>
      <w:pPr>
        <w:keepNext/>
        <w:spacing w:after="40"/>
        <w:jc w:val="center"/>
      </w:pPr>
      <w:r>
        <w:drawing>
          <wp:inline xmlns:a="http://schemas.openxmlformats.org/drawingml/2006/main" xmlns:pic="http://schemas.openxmlformats.org/drawingml/2006/picture">
            <wp:extent cx="5943600" cy="2796477"/>
            <wp:docPr id="2" name="Picture 2"/>
            <wp:cNvGraphicFramePr>
              <a:graphicFrameLocks noChangeAspect="1"/>
            </wp:cNvGraphicFramePr>
            <a:graphic>
              <a:graphicData uri="http://schemas.openxmlformats.org/drawingml/2006/picture">
                <pic:pic>
                  <pic:nvPicPr>
                    <pic:cNvPr id="0" name="acceleration_aug2026.png"/>
                    <pic:cNvPicPr/>
                  </pic:nvPicPr>
                  <pic:blipFill>
                    <a:blip r:embed="rId13"/>
                    <a:stretch>
                      <a:fillRect/>
                    </a:stretch>
                  </pic:blipFill>
                  <pic:spPr>
                    <a:xfrm>
                      <a:off x="0" y="0"/>
                      <a:ext cx="5943600" cy="2796477"/>
                    </a:xfrm>
                    <a:prstGeom prst="rect"/>
                  </pic:spPr>
                </pic:pic>
              </a:graphicData>
            </a:graphic>
          </wp:inline>
        </w:drawing>
      </w:r>
    </w:p>
    <w:p>
      <w:pPr>
        <w:spacing w:after="240"/>
        <w:jc w:val="left"/>
      </w:pPr>
      <w:r>
        <w:rPr>
          <w:b w:val="0"/>
          <w:i/>
          <w:color w:val="6B7280"/>
          <w:sz w:val="15"/>
        </w:rPr>
        <w:t>Figure 2. Annualized revenue run-rate (bars, left axis) and year-over-year growth (line, right axis), company disclosures September 2025 to June 2026. No new print since June 16; the announced bid re-prices this same ladder.</w:t>
      </w:r>
    </w:p>
    <w:p>
      <w:pPr>
        <w:spacing w:after="140"/>
        <w:jc w:val="both"/>
      </w:pPr>
      <w:r>
        <w:rPr>
          <w:b w:val="0"/>
          <w:i w:val="0"/>
          <w:color w:val="262B35"/>
          <w:sz w:val="21"/>
        </w:rPr>
        <w:t>The implication cuts two ways. For the base case, discipline holds: the $134 billion completed mark anchors valuation work until funds settle, and every figure in this note that depends on the mark is stated at both levels where the difference matters. For the forward view, the signal tier upgraded: a speculative range sourced to press became a company-confirmed price with a named lead. The watch item is no longer whether a round happens; it is whether the close lands on schedule, and what the first post-money print shows.</w:t>
      </w:r>
    </w:p>
    <w:p>
      <w:pPr>
        <w:pStyle w:val="Heading1"/>
      </w:pPr>
      <w:r>
        <w:t>The Ledger Moves: What Changed and What Did Not</w:t>
      </w:r>
    </w:p>
    <w:p>
      <w:pPr>
        <w:spacing w:after="140"/>
        <w:jc w:val="both"/>
      </w:pPr>
      <w:r>
        <w:rPr>
          <w:b w:val="0"/>
          <w:i w:val="0"/>
          <w:color w:val="262B35"/>
          <w:sz w:val="21"/>
        </w:rPr>
        <w:t>Four fields moved between the July 10 verification pack and this run's live pull. The financing signal upgraded from rumor to announced term sheet at $188 billion, as covered above. The active investor count rose from 148 to 152 (PitchBook profile, August 10, 2026). The deal-record detail on the February Series L was revised: the final close is now described as $5 billion of equity led by Insight, J.P. Morgan Growth Equity, and Fidelity with Microsoft and 48 other investors participating, against roughly 44 in the July pack, and the note states the $129 billion pre-money explicitly (PitchBook financing note, August 7, 2026). And the company named where the new capital goes: Genie, the business-data assistant suite introduced in March, Unity AI Gateway, and Lakebase, the database built for AI agents (company announcement via press reports, July 17, 2026).</w:t>
      </w:r>
    </w:p>
    <w:p>
      <w:pPr>
        <w:spacing w:after="140"/>
        <w:jc w:val="both"/>
      </w:pPr>
      <w:r>
        <w:rPr>
          <w:b w:val="0"/>
          <w:i w:val="0"/>
          <w:color w:val="262B35"/>
          <w:sz w:val="21"/>
        </w:rPr>
        <w:t>The list of what did not change is load-bearing. The run-rate ladder still ends at the June print: $6.9 billion, +80% YoY, the fourth consecutive accelerating disclosure (company disclosure, June 16, 2026). Gross margin remains 74%, guided lower on agent-driven compute. Headcount remains 9,000 (PitchBook, June 9, 2026). Free cash flow remains positive on the February bases with no newer print (company, February 9, 2026). No S-1 has appeared; the last registry check found Form D filings only (SEC EDGAR, July 10, 2026). And the tracker re-verified the standing trap: the PitchBook revenue field still reads $6,900M labeled TTM 4Q2026 with a December 2026 period end, a forward-window figure that this desk does not use as a run-rate source.</w:t>
      </w:r>
    </w:p>
    <w:p>
      <w:pPr>
        <w:spacing w:after="140"/>
        <w:jc w:val="both"/>
      </w:pPr>
      <w:r>
        <w:rPr>
          <w:b w:val="0"/>
          <w:i w:val="0"/>
          <w:color w:val="262B35"/>
          <w:sz w:val="21"/>
        </w:rPr>
        <w:t>One scheduled gap is flagged rather than absorbed: the operating metrics beneath the revenue line, retention above 140%, more than 20,000 organizations, 800 plus customers above $1 million, are February 2026 vintage and now sit past their refresh window. The September to October disclosure is the scheduled fix; until then those figures carry their dates visibly wherever they appear. The tables below are generated directly from the tracker at build time.</w:t>
      </w:r>
    </w:p>
    <w:p>
      <w:pPr>
        <w:keepNext/>
        <w:spacing w:after="60"/>
        <w:jc w:val="left"/>
      </w:pPr>
      <w:r>
        <w:rPr>
          <w:b/>
          <w:i w:val="0"/>
          <w:color w:val="1F2A44"/>
          <w:sz w:val="19"/>
        </w:rPr>
        <w:t>Derived metrics (computed this run)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829"/>
            <w:shd w:val="clear" w:fill="1F2A44"/>
          </w:tcPr>
          <w:p>
            <w:pPr>
              <w:spacing w:after="0"/>
              <w:jc w:val="left"/>
            </w:pPr>
            <w:r/>
            <w:r>
              <w:rPr>
                <w:rFonts w:ascii="Georgia" w:hAnsi="Georgia"/>
                <w:b/>
                <w:i w:val="0"/>
                <w:color w:val="FFFFFF"/>
                <w:sz w:val="17"/>
              </w:rPr>
              <w:t>Metric</w:t>
            </w:r>
          </w:p>
        </w:tc>
        <w:tc>
          <w:tcPr>
            <w:tcW w:type="dxa" w:w="700"/>
            <w:shd w:val="clear" w:fill="1F2A44"/>
          </w:tcPr>
          <w:p>
            <w:pPr>
              <w:spacing w:after="0"/>
              <w:jc w:val="right"/>
            </w:pPr>
            <w:r/>
            <w:r>
              <w:rPr>
                <w:rFonts w:ascii="Georgia" w:hAnsi="Georgia"/>
                <w:b/>
                <w:i w:val="0"/>
                <w:color w:val="FFFFFF"/>
                <w:sz w:val="17"/>
              </w:rPr>
              <w:t>Value</w:t>
            </w:r>
          </w:p>
        </w:tc>
        <w:tc>
          <w:tcPr>
            <w:tcW w:type="dxa" w:w="4892"/>
            <w:shd w:val="clear" w:fill="1F2A44"/>
          </w:tcPr>
          <w:p>
            <w:pPr>
              <w:spacing w:after="0"/>
              <w:jc w:val="left"/>
            </w:pPr>
            <w:r/>
            <w:r>
              <w:rPr>
                <w:rFonts w:ascii="Georgia" w:hAnsi="Georgia"/>
                <w:b/>
                <w:i w:val="0"/>
                <w:color w:val="FFFFFF"/>
                <w:sz w:val="17"/>
              </w:rPr>
              <w:t>Basis</w:t>
            </w:r>
          </w:p>
        </w:tc>
      </w:tr>
      <w:tr>
        <w:trPr>
          <w:cantSplit/>
        </w:trPr>
        <w:tc>
          <w:tcPr>
            <w:tcW w:type="dxa" w:w="3829"/>
          </w:tcPr>
          <w:p>
            <w:pPr>
              <w:spacing w:after="0"/>
              <w:jc w:val="left"/>
            </w:pPr>
            <w:r/>
            <w:r>
              <w:rPr>
                <w:rFonts w:ascii="Georgia" w:hAnsi="Georgia"/>
                <w:b w:val="0"/>
                <w:i w:val="0"/>
                <w:color w:val="262B35"/>
                <w:sz w:val="16"/>
              </w:rPr>
              <w:t>Run-rate multiple</w:t>
            </w:r>
          </w:p>
        </w:tc>
        <w:tc>
          <w:tcPr>
            <w:tcW w:type="dxa" w:w="700"/>
          </w:tcPr>
          <w:p>
            <w:pPr>
              <w:spacing w:after="0"/>
              <w:jc w:val="right"/>
            </w:pPr>
            <w:r/>
            <w:r>
              <w:rPr>
                <w:rFonts w:ascii="Georgia" w:hAnsi="Georgia"/>
                <w:b w:val="0"/>
                <w:i w:val="0"/>
                <w:color w:val="262B35"/>
                <w:sz w:val="16"/>
              </w:rPr>
              <w:t>19.4</w:t>
            </w:r>
          </w:p>
        </w:tc>
        <w:tc>
          <w:tcPr>
            <w:tcW w:type="dxa" w:w="4892"/>
          </w:tcPr>
          <w:p>
            <w:pPr>
              <w:spacing w:after="0"/>
              <w:jc w:val="left"/>
            </w:pPr>
            <w:r/>
            <w:r>
              <w:rPr>
                <w:rFonts w:ascii="Georgia" w:hAnsi="Georgia"/>
                <w:b w:val="0"/>
                <w:i w:val="0"/>
                <w:color w:val="262B35"/>
                <w:sz w:val="16"/>
              </w:rPr>
              <w:t>$134B / $6.9B run-rate (as of 2026-06-16)</w:t>
            </w:r>
          </w:p>
        </w:tc>
      </w:tr>
      <w:tr>
        <w:trPr>
          <w:cantSplit/>
        </w:trPr>
        <w:tc>
          <w:tcPr>
            <w:tcW w:type="dxa" w:w="3829"/>
            <w:shd w:val="clear" w:fill="F2F5F9"/>
          </w:tcPr>
          <w:p>
            <w:pPr>
              <w:spacing w:after="0"/>
              <w:jc w:val="left"/>
            </w:pPr>
            <w:r/>
            <w:r>
              <w:rPr>
                <w:rFonts w:ascii="Georgia" w:hAnsi="Georgia"/>
                <w:b w:val="0"/>
                <w:i w:val="0"/>
                <w:color w:val="262B35"/>
                <w:sz w:val="16"/>
              </w:rPr>
              <w:t>Capital efficiency (CE, equity-only)</w:t>
            </w:r>
          </w:p>
        </w:tc>
        <w:tc>
          <w:tcPr>
            <w:tcW w:type="dxa" w:w="700"/>
            <w:shd w:val="clear" w:fill="F2F5F9"/>
          </w:tcPr>
          <w:p>
            <w:pPr>
              <w:spacing w:after="0"/>
              <w:jc w:val="right"/>
            </w:pPr>
            <w:r/>
            <w:r>
              <w:rPr>
                <w:rFonts w:ascii="Georgia" w:hAnsi="Georgia"/>
                <w:b w:val="0"/>
                <w:i w:val="0"/>
                <w:color w:val="262B35"/>
                <w:sz w:val="16"/>
              </w:rPr>
              <w:t>0.34</w:t>
            </w:r>
          </w:p>
        </w:tc>
        <w:tc>
          <w:tcPr>
            <w:tcW w:type="dxa" w:w="4892"/>
            <w:shd w:val="clear" w:fill="F2F5F9"/>
          </w:tcPr>
          <w:p>
            <w:pPr>
              <w:spacing w:after="0"/>
              <w:jc w:val="left"/>
            </w:pPr>
            <w:r/>
            <w:r>
              <w:rPr>
                <w:rFonts w:ascii="Georgia" w:hAnsi="Georgia"/>
                <w:b w:val="0"/>
                <w:i w:val="0"/>
                <w:color w:val="262B35"/>
                <w:sz w:val="16"/>
              </w:rPr>
              <w:t>$6.9B run-rate / $20.2B EQUITY-ONLY (Ruling 1)</w:t>
            </w:r>
          </w:p>
        </w:tc>
      </w:tr>
      <w:tr>
        <w:trPr>
          <w:cantSplit/>
        </w:trPr>
        <w:tc>
          <w:tcPr>
            <w:tcW w:type="dxa" w:w="3829"/>
          </w:tcPr>
          <w:p>
            <w:pPr>
              <w:spacing w:after="0"/>
              <w:jc w:val="left"/>
            </w:pPr>
            <w:r/>
            <w:r>
              <w:rPr>
                <w:rFonts w:ascii="Georgia" w:hAnsi="Georgia"/>
                <w:b w:val="0"/>
                <w:i w:val="0"/>
                <w:color w:val="262B35"/>
                <w:sz w:val="16"/>
              </w:rPr>
              <w:t>Valuation per AIBQ point ($B)</w:t>
            </w:r>
          </w:p>
        </w:tc>
        <w:tc>
          <w:tcPr>
            <w:tcW w:type="dxa" w:w="700"/>
          </w:tcPr>
          <w:p>
            <w:pPr>
              <w:spacing w:after="0"/>
              <w:jc w:val="right"/>
            </w:pPr>
            <w:r/>
            <w:r>
              <w:rPr>
                <w:rFonts w:ascii="Georgia" w:hAnsi="Georgia"/>
                <w:b w:val="0"/>
                <w:i w:val="0"/>
                <w:color w:val="262B35"/>
                <w:sz w:val="16"/>
              </w:rPr>
              <w:t>15.2</w:t>
            </w:r>
          </w:p>
        </w:tc>
        <w:tc>
          <w:tcPr>
            <w:tcW w:type="dxa" w:w="4892"/>
          </w:tcPr>
          <w:p>
            <w:pPr>
              <w:spacing w:after="0"/>
              <w:jc w:val="left"/>
            </w:pPr>
            <w:r/>
            <w:r>
              <w:rPr>
                <w:rFonts w:ascii="Georgia" w:hAnsi="Georgia"/>
                <w:b w:val="0"/>
                <w:i w:val="0"/>
                <w:color w:val="262B35"/>
                <w:sz w:val="16"/>
              </w:rPr>
              <w:t>$134B / 8.81 AIBQ</w:t>
            </w:r>
          </w:p>
        </w:tc>
      </w:tr>
    </w:tbl>
    <w:p>
      <w:pPr>
        <w:spacing w:after="200"/>
        <w:jc w:val="left"/>
      </w:pPr>
      <w:r>
        <w:rPr>
          <w:b w:val="0"/>
          <w:i/>
          <w:color w:val="6B7280"/>
          <w:sz w:val="15"/>
        </w:rPr>
        <w:t>Derived by the tracker at build time; inputs carry their own tiers.</w:t>
      </w:r>
    </w:p>
    <w:p>
      <w:pPr>
        <w:keepNext/>
        <w:spacing w:after="60"/>
        <w:jc w:val="left"/>
      </w:pPr>
      <w:r>
        <w:rPr>
          <w:b/>
          <w:i w:val="0"/>
          <w:color w:val="1F2A44"/>
          <w:sz w:val="19"/>
        </w:rPr>
        <w:t>Tracked ladders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1872"/>
        <w:gridCol w:w="1872"/>
        <w:gridCol w:w="1872"/>
        <w:gridCol w:w="1872"/>
        <w:gridCol w:w="1872"/>
      </w:tblGrid>
      <w:tr>
        <w:trPr>
          <w:cantSplit/>
          <w:tblHeader w:val="true"/>
        </w:trPr>
        <w:tc>
          <w:tcPr>
            <w:tcW w:type="dxa" w:w="2990"/>
            <w:shd w:val="clear" w:fill="1F2A44"/>
          </w:tcPr>
          <w:p>
            <w:pPr>
              <w:spacing w:after="0"/>
              <w:jc w:val="left"/>
            </w:pPr>
            <w:r/>
            <w:r>
              <w:rPr>
                <w:rFonts w:ascii="Georgia" w:hAnsi="Georgia"/>
                <w:b/>
                <w:i w:val="0"/>
                <w:color w:val="FFFFFF"/>
                <w:sz w:val="17"/>
              </w:rPr>
              <w:t>Series</w:t>
            </w:r>
          </w:p>
        </w:tc>
        <w:tc>
          <w:tcPr>
            <w:tcW w:type="dxa" w:w="1950"/>
            <w:shd w:val="clear" w:fill="1F2A44"/>
          </w:tcPr>
          <w:p>
            <w:pPr>
              <w:spacing w:after="0"/>
              <w:jc w:val="left"/>
            </w:pPr>
            <w:r/>
            <w:r>
              <w:rPr>
                <w:rFonts w:ascii="Georgia" w:hAnsi="Georgia"/>
                <w:b/>
                <w:i w:val="0"/>
                <w:color w:val="FFFFFF"/>
                <w:sz w:val="17"/>
              </w:rPr>
              <w:t>First print</w:t>
            </w:r>
          </w:p>
        </w:tc>
        <w:tc>
          <w:tcPr>
            <w:tcW w:type="dxa" w:w="2080"/>
            <w:shd w:val="clear" w:fill="1F2A44"/>
          </w:tcPr>
          <w:p>
            <w:pPr>
              <w:spacing w:after="0"/>
              <w:jc w:val="left"/>
            </w:pPr>
            <w:r/>
            <w:r>
              <w:rPr>
                <w:rFonts w:ascii="Georgia" w:hAnsi="Georgia"/>
                <w:b/>
                <w:i w:val="0"/>
                <w:color w:val="FFFFFF"/>
                <w:sz w:val="17"/>
              </w:rPr>
              <w:t>Latest print</w:t>
            </w:r>
          </w:p>
        </w:tc>
        <w:tc>
          <w:tcPr>
            <w:tcW w:type="dxa" w:w="1560"/>
            <w:shd w:val="clear" w:fill="1F2A44"/>
          </w:tcPr>
          <w:p>
            <w:pPr>
              <w:spacing w:after="0"/>
              <w:jc w:val="left"/>
            </w:pPr>
            <w:r/>
            <w:r>
              <w:rPr>
                <w:rFonts w:ascii="Georgia" w:hAnsi="Georgia"/>
                <w:b/>
                <w:i w:val="0"/>
                <w:color w:val="FFFFFF"/>
                <w:sz w:val="17"/>
              </w:rPr>
              <w:t>Direction</w:t>
            </w:r>
          </w:p>
        </w:tc>
        <w:tc>
          <w:tcPr>
            <w:tcW w:type="dxa" w:w="780"/>
            <w:shd w:val="clear" w:fill="1F2A44"/>
          </w:tcPr>
          <w:p>
            <w:pPr>
              <w:spacing w:after="0"/>
              <w:jc w:val="right"/>
            </w:pPr>
            <w:r/>
            <w:r>
              <w:rPr>
                <w:rFonts w:ascii="Georgia" w:hAnsi="Georgia"/>
                <w:b/>
                <w:i w:val="0"/>
                <w:color w:val="FFFFFF"/>
                <w:sz w:val="17"/>
              </w:rPr>
              <w:t>Prints</w:t>
            </w:r>
          </w:p>
        </w:tc>
      </w:tr>
      <w:tr>
        <w:trPr>
          <w:cantSplit/>
        </w:trPr>
        <w:tc>
          <w:tcPr>
            <w:tcW w:type="dxa" w:w="2990"/>
          </w:tcPr>
          <w:p>
            <w:pPr>
              <w:spacing w:after="0"/>
              <w:jc w:val="left"/>
            </w:pPr>
            <w:r/>
            <w:r>
              <w:rPr>
                <w:rFonts w:ascii="Georgia" w:hAnsi="Georgia"/>
                <w:b w:val="0"/>
                <w:i w:val="0"/>
                <w:color w:val="262B35"/>
                <w:sz w:val="16"/>
              </w:rPr>
              <w:t>Run-rate ladder ($B)</w:t>
            </w:r>
          </w:p>
        </w:tc>
        <w:tc>
          <w:tcPr>
            <w:tcW w:type="dxa" w:w="1950"/>
          </w:tcPr>
          <w:p>
            <w:pPr>
              <w:spacing w:after="0"/>
              <w:jc w:val="left"/>
            </w:pPr>
            <w:r/>
            <w:r>
              <w:rPr>
                <w:rFonts w:ascii="Georgia" w:hAnsi="Georgia"/>
                <w:b w:val="0"/>
                <w:i w:val="0"/>
                <w:color w:val="262B35"/>
                <w:sz w:val="16"/>
              </w:rPr>
              <w:t>4 (2025-09-30)</w:t>
            </w:r>
          </w:p>
        </w:tc>
        <w:tc>
          <w:tcPr>
            <w:tcW w:type="dxa" w:w="2080"/>
          </w:tcPr>
          <w:p>
            <w:pPr>
              <w:spacing w:after="0"/>
              <w:jc w:val="left"/>
            </w:pPr>
            <w:r/>
            <w:r>
              <w:rPr>
                <w:rFonts w:ascii="Georgia" w:hAnsi="Georgia"/>
                <w:b w:val="0"/>
                <w:i w:val="0"/>
                <w:color w:val="262B35"/>
                <w:sz w:val="16"/>
              </w:rPr>
              <w:t>6.9 (2026-06-16)</w:t>
            </w:r>
          </w:p>
        </w:tc>
        <w:tc>
          <w:tcPr>
            <w:tcW w:type="dxa" w:w="1560"/>
          </w:tcPr>
          <w:p>
            <w:pPr>
              <w:spacing w:after="0"/>
              <w:jc w:val="left"/>
            </w:pPr>
            <w:r/>
            <w:r>
              <w:rPr>
                <w:rFonts w:ascii="Georgia" w:hAnsi="Georgia"/>
                <w:b w:val="0"/>
                <w:i w:val="0"/>
                <w:color w:val="262B35"/>
                <w:sz w:val="16"/>
              </w:rPr>
              <w:t>accelerating</w:t>
            </w:r>
          </w:p>
        </w:tc>
        <w:tc>
          <w:tcPr>
            <w:tcW w:type="dxa" w:w="780"/>
          </w:tcPr>
          <w:p>
            <w:pPr>
              <w:spacing w:after="0"/>
              <w:jc w:val="right"/>
            </w:pPr>
            <w:r/>
            <w:r>
              <w:rPr>
                <w:rFonts w:ascii="Georgia" w:hAnsi="Georgia"/>
                <w:b w:val="0"/>
                <w:i w:val="0"/>
                <w:color w:val="262B35"/>
                <w:sz w:val="16"/>
              </w:rPr>
              <w:t>4</w:t>
            </w:r>
          </w:p>
        </w:tc>
      </w:tr>
      <w:tr>
        <w:trPr>
          <w:cantSplit/>
        </w:trPr>
        <w:tc>
          <w:tcPr>
            <w:tcW w:type="dxa" w:w="2990"/>
            <w:shd w:val="clear" w:fill="F2F5F9"/>
          </w:tcPr>
          <w:p>
            <w:pPr>
              <w:spacing w:after="0"/>
              <w:jc w:val="left"/>
            </w:pPr>
            <w:r/>
            <w:r>
              <w:rPr>
                <w:rFonts w:ascii="Georgia" w:hAnsi="Georgia"/>
                <w:b w:val="0"/>
                <w:i w:val="0"/>
                <w:color w:val="262B35"/>
                <w:sz w:val="16"/>
              </w:rPr>
              <w:t>YoY growth ladder (%)</w:t>
            </w:r>
          </w:p>
        </w:tc>
        <w:tc>
          <w:tcPr>
            <w:tcW w:type="dxa" w:w="1950"/>
            <w:shd w:val="clear" w:fill="F2F5F9"/>
          </w:tcPr>
          <w:p>
            <w:pPr>
              <w:spacing w:after="0"/>
              <w:jc w:val="left"/>
            </w:pPr>
            <w:r/>
            <w:r>
              <w:rPr>
                <w:rFonts w:ascii="Georgia" w:hAnsi="Georgia"/>
                <w:b w:val="0"/>
                <w:i w:val="0"/>
                <w:color w:val="262B35"/>
                <w:sz w:val="16"/>
              </w:rPr>
              <w:t>50 (2025-09-30)</w:t>
            </w:r>
          </w:p>
        </w:tc>
        <w:tc>
          <w:tcPr>
            <w:tcW w:type="dxa" w:w="2080"/>
            <w:shd w:val="clear" w:fill="F2F5F9"/>
          </w:tcPr>
          <w:p>
            <w:pPr>
              <w:spacing w:after="0"/>
              <w:jc w:val="left"/>
            </w:pPr>
            <w:r/>
            <w:r>
              <w:rPr>
                <w:rFonts w:ascii="Georgia" w:hAnsi="Georgia"/>
                <w:b w:val="0"/>
                <w:i w:val="0"/>
                <w:color w:val="262B35"/>
                <w:sz w:val="16"/>
              </w:rPr>
              <w:t>80 (2026-06-16)</w:t>
            </w:r>
          </w:p>
        </w:tc>
        <w:tc>
          <w:tcPr>
            <w:tcW w:type="dxa" w:w="1560"/>
            <w:shd w:val="clear" w:fill="F2F5F9"/>
          </w:tcPr>
          <w:p>
            <w:pPr>
              <w:spacing w:after="0"/>
              <w:jc w:val="left"/>
            </w:pPr>
            <w:r/>
            <w:r>
              <w:rPr>
                <w:rFonts w:ascii="Georgia" w:hAnsi="Georgia"/>
                <w:b w:val="0"/>
                <w:i w:val="0"/>
                <w:color w:val="262B35"/>
                <w:sz w:val="16"/>
              </w:rPr>
              <w:t>accelerating</w:t>
            </w:r>
          </w:p>
        </w:tc>
        <w:tc>
          <w:tcPr>
            <w:tcW w:type="dxa" w:w="780"/>
            <w:shd w:val="clear" w:fill="F2F5F9"/>
          </w:tcPr>
          <w:p>
            <w:pPr>
              <w:spacing w:after="0"/>
              <w:jc w:val="right"/>
            </w:pPr>
            <w:r/>
            <w:r>
              <w:rPr>
                <w:rFonts w:ascii="Georgia" w:hAnsi="Georgia"/>
                <w:b w:val="0"/>
                <w:i w:val="0"/>
                <w:color w:val="262B35"/>
                <w:sz w:val="16"/>
              </w:rPr>
              <w:t>4</w:t>
            </w:r>
          </w:p>
        </w:tc>
      </w:tr>
      <w:tr>
        <w:trPr>
          <w:cantSplit/>
        </w:trPr>
        <w:tc>
          <w:tcPr>
            <w:tcW w:type="dxa" w:w="2990"/>
          </w:tcPr>
          <w:p>
            <w:pPr>
              <w:spacing w:after="0"/>
              <w:jc w:val="left"/>
            </w:pPr>
            <w:r/>
            <w:r>
              <w:rPr>
                <w:rFonts w:ascii="Georgia" w:hAnsi="Georgia"/>
                <w:b w:val="0"/>
                <w:i w:val="0"/>
                <w:color w:val="262B35"/>
                <w:sz w:val="16"/>
              </w:rPr>
              <w:t>Gross margin ladder (%)</w:t>
            </w:r>
          </w:p>
        </w:tc>
        <w:tc>
          <w:tcPr>
            <w:tcW w:type="dxa" w:w="1950"/>
          </w:tcPr>
          <w:p>
            <w:pPr>
              <w:spacing w:after="0"/>
              <w:jc w:val="left"/>
            </w:pPr>
            <w:r/>
            <w:r>
              <w:rPr>
                <w:rFonts w:ascii="Georgia" w:hAnsi="Georgia"/>
                <w:b w:val="0"/>
                <w:i w:val="0"/>
                <w:color w:val="262B35"/>
                <w:sz w:val="16"/>
              </w:rPr>
              <w:t>80 (2025-12-31)</w:t>
            </w:r>
          </w:p>
        </w:tc>
        <w:tc>
          <w:tcPr>
            <w:tcW w:type="dxa" w:w="2080"/>
          </w:tcPr>
          <w:p>
            <w:pPr>
              <w:spacing w:after="0"/>
              <w:jc w:val="left"/>
            </w:pPr>
            <w:r/>
            <w:r>
              <w:rPr>
                <w:rFonts w:ascii="Georgia" w:hAnsi="Georgia"/>
                <w:b w:val="0"/>
                <w:i w:val="0"/>
                <w:color w:val="262B35"/>
                <w:sz w:val="16"/>
              </w:rPr>
              <w:t>74 (2026-06-16)</w:t>
            </w:r>
          </w:p>
        </w:tc>
        <w:tc>
          <w:tcPr>
            <w:tcW w:type="dxa" w:w="1560"/>
          </w:tcPr>
          <w:p>
            <w:pPr>
              <w:spacing w:after="0"/>
              <w:jc w:val="left"/>
            </w:pPr>
            <w:r/>
            <w:r>
              <w:rPr>
                <w:rFonts w:ascii="Georgia" w:hAnsi="Georgia"/>
                <w:b w:val="0"/>
                <w:i w:val="0"/>
                <w:color w:val="262B35"/>
                <w:sz w:val="16"/>
              </w:rPr>
              <w:t>falling</w:t>
            </w:r>
          </w:p>
        </w:tc>
        <w:tc>
          <w:tcPr>
            <w:tcW w:type="dxa" w:w="780"/>
          </w:tcPr>
          <w:p>
            <w:pPr>
              <w:spacing w:after="0"/>
              <w:jc w:val="right"/>
            </w:pPr>
            <w:r/>
            <w:r>
              <w:rPr>
                <w:rFonts w:ascii="Georgia" w:hAnsi="Georgia"/>
                <w:b w:val="0"/>
                <w:i w:val="0"/>
                <w:color w:val="262B35"/>
                <w:sz w:val="16"/>
              </w:rPr>
              <w:t>2</w:t>
            </w:r>
          </w:p>
        </w:tc>
      </w:tr>
    </w:tbl>
    <w:p>
      <w:pPr>
        <w:spacing w:after="80"/>
        <w:jc w:val="both"/>
      </w:pPr>
      <w:r>
        <w:rPr>
          <w:b w:val="0"/>
          <w:i w:val="0"/>
          <w:color w:val="262B35"/>
          <w:sz w:val="8"/>
        </w:rPr>
      </w:r>
    </w:p>
    <w:p>
      <w:pPr>
        <w:keepNext/>
        <w:spacing w:after="60"/>
        <w:jc w:val="left"/>
      </w:pPr>
      <w:r>
        <w:rPr>
          <w:b/>
          <w:i w:val="0"/>
          <w:color w:val="1F2A44"/>
          <w:sz w:val="19"/>
        </w:rPr>
        <w:t>Changed since prior snapshot (2026-07-10.json to 2026-08-10.json)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552"/>
            <w:shd w:val="clear" w:fill="1F2A44"/>
          </w:tcPr>
          <w:p>
            <w:pPr>
              <w:spacing w:after="0"/>
              <w:jc w:val="left"/>
            </w:pPr>
            <w:r/>
            <w:r>
              <w:rPr>
                <w:rFonts w:ascii="Georgia" w:hAnsi="Georgia"/>
                <w:b/>
                <w:i w:val="0"/>
                <w:color w:val="FFFFFF"/>
                <w:sz w:val="17"/>
              </w:rPr>
              <w:t>Field</w:t>
            </w:r>
          </w:p>
        </w:tc>
        <w:tc>
          <w:tcPr>
            <w:tcW w:type="dxa" w:w="3403"/>
            <w:shd w:val="clear" w:fill="1F2A44"/>
          </w:tcPr>
          <w:p>
            <w:pPr>
              <w:spacing w:after="0"/>
              <w:jc w:val="left"/>
            </w:pPr>
            <w:r/>
            <w:r>
              <w:rPr>
                <w:rFonts w:ascii="Georgia" w:hAnsi="Georgia"/>
                <w:b/>
                <w:i w:val="0"/>
                <w:color w:val="FFFFFF"/>
                <w:sz w:val="17"/>
              </w:rPr>
              <w:t>Prior</w:t>
            </w:r>
          </w:p>
        </w:tc>
        <w:tc>
          <w:tcPr>
            <w:tcW w:type="dxa" w:w="3403"/>
            <w:shd w:val="clear" w:fill="1F2A44"/>
          </w:tcPr>
          <w:p>
            <w:pPr>
              <w:spacing w:after="0"/>
              <w:jc w:val="left"/>
            </w:pPr>
            <w:r/>
            <w:r>
              <w:rPr>
                <w:rFonts w:ascii="Georgia" w:hAnsi="Georgia"/>
                <w:b/>
                <w:i w:val="0"/>
                <w:color w:val="FFFFFF"/>
                <w:sz w:val="17"/>
              </w:rPr>
              <w:t>Current</w:t>
            </w:r>
          </w:p>
        </w:tc>
      </w:tr>
      <w:tr>
        <w:trPr>
          <w:cantSplit/>
        </w:trPr>
        <w:tc>
          <w:tcPr>
            <w:tcW w:type="dxa" w:w="2552"/>
          </w:tcPr>
          <w:p>
            <w:pPr>
              <w:spacing w:after="0"/>
              <w:jc w:val="left"/>
            </w:pPr>
            <w:r/>
            <w:r>
              <w:rPr>
                <w:rFonts w:ascii="Georgia" w:hAnsi="Georgia"/>
                <w:b w:val="0"/>
                <w:i w:val="0"/>
                <w:color w:val="262B35"/>
                <w:sz w:val="16"/>
              </w:rPr>
              <w:t>identity.business_status</w:t>
            </w:r>
          </w:p>
        </w:tc>
        <w:tc>
          <w:tcPr>
            <w:tcW w:type="dxa" w:w="3403"/>
          </w:tcPr>
          <w:p>
            <w:pPr>
              <w:spacing w:after="0"/>
              <w:jc w:val="left"/>
            </w:pPr>
            <w:r/>
            <w:r>
              <w:rPr>
                <w:rFonts w:ascii="Georgia" w:hAnsi="Georgia"/>
                <w:b w:val="0"/>
                <w:i w:val="0"/>
                <w:color w:val="262B35"/>
                <w:sz w:val="16"/>
              </w:rPr>
              <w:t>None</w:t>
            </w:r>
          </w:p>
        </w:tc>
        <w:tc>
          <w:tcPr>
            <w:tcW w:type="dxa" w:w="3403"/>
          </w:tcPr>
          <w:p>
            <w:pPr>
              <w:spacing w:after="0"/>
              <w:jc w:val="left"/>
            </w:pPr>
            <w:r/>
            <w:r>
              <w:rPr>
                <w:rFonts w:ascii="Georgia" w:hAnsi="Georgia"/>
                <w:b w:val="0"/>
                <w:i w:val="0"/>
                <w:color w:val="262B35"/>
                <w:sz w:val="16"/>
              </w:rPr>
              <w:t>Generating Revenue; Privately Held (backing);...</w:t>
            </w:r>
          </w:p>
        </w:tc>
      </w:tr>
      <w:tr>
        <w:trPr>
          <w:cantSplit/>
        </w:trPr>
        <w:tc>
          <w:tcPr>
            <w:tcW w:type="dxa" w:w="2552"/>
            <w:shd w:val="clear" w:fill="F2F5F9"/>
          </w:tcPr>
          <w:p>
            <w:pPr>
              <w:spacing w:after="0"/>
              <w:jc w:val="left"/>
            </w:pPr>
            <w:r/>
            <w:r>
              <w:rPr>
                <w:rFonts w:ascii="Georgia" w:hAnsi="Georgia"/>
                <w:b w:val="0"/>
                <w:i w:val="0"/>
                <w:color w:val="262B35"/>
                <w:sz w:val="16"/>
              </w:rPr>
              <w:t>identity.founded</w:t>
            </w:r>
          </w:p>
        </w:tc>
        <w:tc>
          <w:tcPr>
            <w:tcW w:type="dxa" w:w="3403"/>
            <w:shd w:val="clear" w:fill="F2F5F9"/>
          </w:tcPr>
          <w:p>
            <w:pPr>
              <w:spacing w:after="0"/>
              <w:jc w:val="left"/>
            </w:pPr>
            <w:r/>
            <w:r>
              <w:rPr>
                <w:rFonts w:ascii="Georgia" w:hAnsi="Georgia"/>
                <w:b w:val="0"/>
                <w:i w:val="0"/>
                <w:color w:val="262B35"/>
                <w:sz w:val="16"/>
              </w:rPr>
              <w:t>None</w:t>
            </w:r>
          </w:p>
        </w:tc>
        <w:tc>
          <w:tcPr>
            <w:tcW w:type="dxa" w:w="3403"/>
            <w:shd w:val="clear" w:fill="F2F5F9"/>
          </w:tcPr>
          <w:p>
            <w:pPr>
              <w:spacing w:after="0"/>
              <w:jc w:val="left"/>
            </w:pPr>
            <w:r/>
            <w:r>
              <w:rPr>
                <w:rFonts w:ascii="Georgia" w:hAnsi="Georgia"/>
                <w:b w:val="0"/>
                <w:i w:val="0"/>
                <w:color w:val="262B35"/>
                <w:sz w:val="16"/>
              </w:rPr>
              <w:t>2013</w:t>
            </w:r>
          </w:p>
        </w:tc>
      </w:tr>
      <w:tr>
        <w:trPr>
          <w:cantSplit/>
        </w:trPr>
        <w:tc>
          <w:tcPr>
            <w:tcW w:type="dxa" w:w="2552"/>
          </w:tcPr>
          <w:p>
            <w:pPr>
              <w:spacing w:after="0"/>
              <w:jc w:val="left"/>
            </w:pPr>
            <w:r/>
            <w:r>
              <w:rPr>
                <w:rFonts w:ascii="Georgia" w:hAnsi="Georgia"/>
                <w:b w:val="0"/>
                <w:i w:val="0"/>
                <w:color w:val="262B35"/>
                <w:sz w:val="16"/>
              </w:rPr>
              <w:t>valuation.pb_last_known_valuation_bn</w:t>
            </w:r>
          </w:p>
        </w:tc>
        <w:tc>
          <w:tcPr>
            <w:tcW w:type="dxa" w:w="3403"/>
          </w:tcPr>
          <w:p>
            <w:pPr>
              <w:spacing w:after="0"/>
              <w:jc w:val="left"/>
            </w:pPr>
            <w:r/>
            <w:r>
              <w:rPr>
                <w:rFonts w:ascii="Georgia" w:hAnsi="Georgia"/>
                <w:b w:val="0"/>
                <w:i w:val="0"/>
                <w:color w:val="262B35"/>
                <w:sz w:val="16"/>
              </w:rPr>
              <w:t>None</w:t>
            </w:r>
          </w:p>
        </w:tc>
        <w:tc>
          <w:tcPr>
            <w:tcW w:type="dxa" w:w="3403"/>
          </w:tcPr>
          <w:p>
            <w:pPr>
              <w:spacing w:after="0"/>
              <w:jc w:val="left"/>
            </w:pPr>
            <w:r/>
            <w:r>
              <w:rPr>
                <w:rFonts w:ascii="Georgia" w:hAnsi="Georgia"/>
                <w:b w:val="0"/>
                <w:i w:val="0"/>
                <w:color w:val="262B35"/>
                <w:sz w:val="16"/>
              </w:rPr>
              <w:t>188</w:t>
            </w:r>
          </w:p>
        </w:tc>
      </w:tr>
      <w:tr>
        <w:trPr>
          <w:cantSplit/>
        </w:trPr>
        <w:tc>
          <w:tcPr>
            <w:tcW w:type="dxa" w:w="2552"/>
            <w:shd w:val="clear" w:fill="F2F5F9"/>
          </w:tcPr>
          <w:p>
            <w:pPr>
              <w:spacing w:after="0"/>
              <w:jc w:val="left"/>
            </w:pPr>
            <w:r/>
            <w:r>
              <w:rPr>
                <w:rFonts w:ascii="Georgia" w:hAnsi="Georgia"/>
                <w:b w:val="0"/>
                <w:i w:val="0"/>
                <w:color w:val="262B35"/>
                <w:sz w:val="16"/>
              </w:rPr>
              <w:t>valuation.rumored_round</w:t>
            </w:r>
          </w:p>
        </w:tc>
        <w:tc>
          <w:tcPr>
            <w:tcW w:type="dxa" w:w="3403"/>
            <w:shd w:val="clear" w:fill="F2F5F9"/>
          </w:tcPr>
          <w:p>
            <w:pPr>
              <w:spacing w:after="0"/>
              <w:jc w:val="left"/>
            </w:pPr>
            <w:r/>
            <w:r>
              <w:rPr>
                <w:rFonts w:ascii="Georgia" w:hAnsi="Georgia"/>
                <w:b w:val="0"/>
                <w:i w:val="0"/>
                <w:color w:val="262B35"/>
                <w:sz w:val="16"/>
              </w:rPr>
              <w:t>$165-175B in talks, unclosed</w:t>
            </w:r>
          </w:p>
        </w:tc>
        <w:tc>
          <w:tcPr>
            <w:tcW w:type="dxa" w:w="3403"/>
            <w:shd w:val="clear" w:fill="F2F5F9"/>
          </w:tcPr>
          <w:p>
            <w:pPr>
              <w:spacing w:after="0"/>
              <w:jc w:val="left"/>
            </w:pPr>
            <w:r/>
            <w:r>
              <w:rPr>
                <w:rFonts w:ascii="Georgia" w:hAnsi="Georgia"/>
                <w:b w:val="0"/>
                <w:i w:val="0"/>
                <w:color w:val="262B35"/>
                <w:sz w:val="16"/>
              </w:rPr>
              <w:t>Term sheet signed for a strategic round at $1...</w:t>
            </w:r>
          </w:p>
        </w:tc>
      </w:tr>
      <w:tr>
        <w:trPr>
          <w:cantSplit/>
        </w:trPr>
        <w:tc>
          <w:tcPr>
            <w:tcW w:type="dxa" w:w="2552"/>
          </w:tcPr>
          <w:p>
            <w:pPr>
              <w:spacing w:after="0"/>
              <w:jc w:val="left"/>
            </w:pPr>
            <w:r/>
            <w:r>
              <w:rPr>
                <w:rFonts w:ascii="Georgia" w:hAnsi="Georgia"/>
                <w:b w:val="0"/>
                <w:i w:val="0"/>
                <w:color w:val="262B35"/>
                <w:sz w:val="16"/>
              </w:rPr>
              <w:t>valuation.valuation_ladder_bn</w:t>
            </w:r>
          </w:p>
        </w:tc>
        <w:tc>
          <w:tcPr>
            <w:tcW w:type="dxa" w:w="3403"/>
          </w:tcPr>
          <w:p>
            <w:pPr>
              <w:spacing w:after="0"/>
              <w:jc w:val="left"/>
            </w:pPr>
            <w:r/>
            <w:r>
              <w:rPr>
                <w:rFonts w:ascii="Georgia" w:hAnsi="Georgia"/>
                <w:b w:val="0"/>
                <w:i w:val="0"/>
                <w:color w:val="262B35"/>
                <w:sz w:val="16"/>
              </w:rPr>
              <w:t>0 item(s)</w:t>
            </w:r>
          </w:p>
        </w:tc>
        <w:tc>
          <w:tcPr>
            <w:tcW w:type="dxa" w:w="3403"/>
          </w:tcPr>
          <w:p>
            <w:pPr>
              <w:spacing w:after="0"/>
              <w:jc w:val="left"/>
            </w:pPr>
            <w:r/>
            <w:r>
              <w:rPr>
                <w:rFonts w:ascii="Georgia" w:hAnsi="Georgia"/>
                <w:b w:val="0"/>
                <w:i w:val="0"/>
                <w:color w:val="262B35"/>
                <w:sz w:val="16"/>
              </w:rPr>
              <w:t>+3 new: [62, 100, 134]</w:t>
            </w:r>
          </w:p>
        </w:tc>
      </w:tr>
      <w:tr>
        <w:trPr>
          <w:cantSplit/>
        </w:trPr>
        <w:tc>
          <w:tcPr>
            <w:tcW w:type="dxa" w:w="2552"/>
            <w:shd w:val="clear" w:fill="F2F5F9"/>
          </w:tcPr>
          <w:p>
            <w:pPr>
              <w:spacing w:after="0"/>
              <w:jc w:val="left"/>
            </w:pPr>
            <w:r/>
            <w:r>
              <w:rPr>
                <w:rFonts w:ascii="Georgia" w:hAnsi="Georgia"/>
                <w:b w:val="0"/>
                <w:i w:val="0"/>
                <w:color w:val="262B35"/>
                <w:sz w:val="16"/>
              </w:rPr>
              <w:t>financing.active_investors</w:t>
            </w:r>
          </w:p>
        </w:tc>
        <w:tc>
          <w:tcPr>
            <w:tcW w:type="dxa" w:w="3403"/>
            <w:shd w:val="clear" w:fill="F2F5F9"/>
          </w:tcPr>
          <w:p>
            <w:pPr>
              <w:spacing w:after="0"/>
              <w:jc w:val="left"/>
            </w:pPr>
            <w:r/>
            <w:r>
              <w:rPr>
                <w:rFonts w:ascii="Georgia" w:hAnsi="Georgia"/>
                <w:b w:val="0"/>
                <w:i w:val="0"/>
                <w:color w:val="262B35"/>
                <w:sz w:val="16"/>
              </w:rPr>
              <w:t>148</w:t>
            </w:r>
          </w:p>
        </w:tc>
        <w:tc>
          <w:tcPr>
            <w:tcW w:type="dxa" w:w="3403"/>
            <w:shd w:val="clear" w:fill="F2F5F9"/>
          </w:tcPr>
          <w:p>
            <w:pPr>
              <w:spacing w:after="0"/>
              <w:jc w:val="left"/>
            </w:pPr>
            <w:r/>
            <w:r>
              <w:rPr>
                <w:rFonts w:ascii="Georgia" w:hAnsi="Georgia"/>
                <w:b w:val="0"/>
                <w:i w:val="0"/>
                <w:color w:val="262B35"/>
                <w:sz w:val="16"/>
              </w:rPr>
              <w:t>152</w:t>
            </w:r>
          </w:p>
        </w:tc>
      </w:tr>
      <w:tr>
        <w:trPr>
          <w:cantSplit/>
        </w:trPr>
        <w:tc>
          <w:tcPr>
            <w:tcW w:type="dxa" w:w="2552"/>
          </w:tcPr>
          <w:p>
            <w:pPr>
              <w:spacing w:after="0"/>
              <w:jc w:val="left"/>
            </w:pPr>
            <w:r/>
            <w:r>
              <w:rPr>
                <w:rFonts w:ascii="Georgia" w:hAnsi="Georgia"/>
                <w:b w:val="0"/>
                <w:i w:val="0"/>
                <w:color w:val="262B35"/>
                <w:sz w:val="16"/>
              </w:rPr>
              <w:t>financing.series_l_participants_note</w:t>
            </w:r>
          </w:p>
        </w:tc>
        <w:tc>
          <w:tcPr>
            <w:tcW w:type="dxa" w:w="3403"/>
          </w:tcPr>
          <w:p>
            <w:pPr>
              <w:spacing w:after="0"/>
              <w:jc w:val="left"/>
            </w:pPr>
            <w:r/>
            <w:r>
              <w:rPr>
                <w:rFonts w:ascii="Georgia" w:hAnsi="Georgia"/>
                <w:b w:val="0"/>
                <w:i w:val="0"/>
                <w:color w:val="262B35"/>
                <w:sz w:val="16"/>
              </w:rPr>
              <w:t>None</w:t>
            </w:r>
          </w:p>
        </w:tc>
        <w:tc>
          <w:tcPr>
            <w:tcW w:type="dxa" w:w="3403"/>
          </w:tcPr>
          <w:p>
            <w:pPr>
              <w:spacing w:after="0"/>
              <w:jc w:val="left"/>
            </w:pPr>
            <w:r/>
            <w:r>
              <w:rPr>
                <w:rFonts w:ascii="Georgia" w:hAnsi="Georgia"/>
                <w:b w:val="0"/>
                <w:i w:val="0"/>
                <w:color w:val="262B35"/>
                <w:sz w:val="16"/>
              </w:rPr>
              <w:t>Series L $5B equity led by Insight, J.P. Morg...</w:t>
            </w:r>
          </w:p>
        </w:tc>
      </w:tr>
      <w:tr>
        <w:trPr>
          <w:cantSplit/>
        </w:trPr>
        <w:tc>
          <w:tcPr>
            <w:tcW w:type="dxa" w:w="2552"/>
            <w:shd w:val="clear" w:fill="F2F5F9"/>
          </w:tcPr>
          <w:p>
            <w:pPr>
              <w:spacing w:after="0"/>
              <w:jc w:val="left"/>
            </w:pPr>
            <w:r/>
            <w:r>
              <w:rPr>
                <w:rFonts w:ascii="Georgia" w:hAnsi="Georgia"/>
                <w:b w:val="0"/>
                <w:i w:val="0"/>
                <w:color w:val="262B35"/>
                <w:sz w:val="16"/>
              </w:rPr>
              <w:t>financing.series_l_pre_money_bn</w:t>
            </w:r>
          </w:p>
        </w:tc>
        <w:tc>
          <w:tcPr>
            <w:tcW w:type="dxa" w:w="3403"/>
            <w:shd w:val="clear" w:fill="F2F5F9"/>
          </w:tcPr>
          <w:p>
            <w:pPr>
              <w:spacing w:after="0"/>
              <w:jc w:val="left"/>
            </w:pPr>
            <w:r/>
            <w:r>
              <w:rPr>
                <w:rFonts w:ascii="Georgia" w:hAnsi="Georgia"/>
                <w:b w:val="0"/>
                <w:i w:val="0"/>
                <w:color w:val="262B35"/>
                <w:sz w:val="16"/>
              </w:rPr>
              <w:t>None</w:t>
            </w:r>
          </w:p>
        </w:tc>
        <w:tc>
          <w:tcPr>
            <w:tcW w:type="dxa" w:w="3403"/>
            <w:shd w:val="clear" w:fill="F2F5F9"/>
          </w:tcPr>
          <w:p>
            <w:pPr>
              <w:spacing w:after="0"/>
              <w:jc w:val="left"/>
            </w:pPr>
            <w:r/>
            <w:r>
              <w:rPr>
                <w:rFonts w:ascii="Georgia" w:hAnsi="Georgia"/>
                <w:b w:val="0"/>
                <w:i w:val="0"/>
                <w:color w:val="262B35"/>
                <w:sz w:val="16"/>
              </w:rPr>
              <w:t>129</w:t>
            </w:r>
          </w:p>
        </w:tc>
      </w:tr>
      <w:tr>
        <w:trPr>
          <w:cantSplit/>
        </w:trPr>
        <w:tc>
          <w:tcPr>
            <w:tcW w:type="dxa" w:w="2552"/>
          </w:tcPr>
          <w:p>
            <w:pPr>
              <w:spacing w:after="0"/>
              <w:jc w:val="left"/>
            </w:pPr>
            <w:r/>
            <w:r>
              <w:rPr>
                <w:rFonts w:ascii="Georgia" w:hAnsi="Georgia"/>
                <w:b w:val="0"/>
                <w:i w:val="0"/>
                <w:color w:val="262B35"/>
                <w:sz w:val="16"/>
              </w:rPr>
              <w:t>financials.pb_ttm_field_note</w:t>
            </w:r>
          </w:p>
        </w:tc>
        <w:tc>
          <w:tcPr>
            <w:tcW w:type="dxa" w:w="3403"/>
          </w:tcPr>
          <w:p>
            <w:pPr>
              <w:spacing w:after="0"/>
              <w:jc w:val="left"/>
            </w:pPr>
            <w:r/>
            <w:r>
              <w:rPr>
                <w:rFonts w:ascii="Georgia" w:hAnsi="Georgia"/>
                <w:b w:val="0"/>
                <w:i w:val="0"/>
                <w:color w:val="262B35"/>
                <w:sz w:val="16"/>
              </w:rPr>
              <w:t>PitchBook revenue $6,900M labeled TTM 4Q2026 ...</w:t>
            </w:r>
          </w:p>
        </w:tc>
        <w:tc>
          <w:tcPr>
            <w:tcW w:type="dxa" w:w="3403"/>
          </w:tcPr>
          <w:p>
            <w:pPr>
              <w:spacing w:after="0"/>
              <w:jc w:val="left"/>
            </w:pPr>
            <w:r/>
            <w:r>
              <w:rPr>
                <w:rFonts w:ascii="Georgia" w:hAnsi="Georgia"/>
                <w:b w:val="0"/>
                <w:i w:val="0"/>
                <w:color w:val="262B35"/>
                <w:sz w:val="16"/>
              </w:rPr>
              <w:t>PitchBook revenue field still $6,900M TTM 4Q2...</w:t>
            </w:r>
          </w:p>
        </w:tc>
      </w:tr>
      <w:tr>
        <w:trPr>
          <w:cantSplit/>
        </w:trPr>
        <w:tc>
          <w:tcPr>
            <w:tcW w:type="dxa" w:w="2552"/>
            <w:shd w:val="clear" w:fill="F2F5F9"/>
          </w:tcPr>
          <w:p>
            <w:pPr>
              <w:spacing w:after="0"/>
              <w:jc w:val="left"/>
            </w:pPr>
            <w:r/>
            <w:r>
              <w:rPr>
                <w:rFonts w:ascii="Georgia" w:hAnsi="Georgia"/>
                <w:b w:val="0"/>
                <w:i w:val="0"/>
                <w:color w:val="262B35"/>
                <w:sz w:val="16"/>
              </w:rPr>
              <w:t>products.ai_capital_focus</w:t>
            </w:r>
          </w:p>
        </w:tc>
        <w:tc>
          <w:tcPr>
            <w:tcW w:type="dxa" w:w="3403"/>
            <w:shd w:val="clear" w:fill="F2F5F9"/>
          </w:tcPr>
          <w:p>
            <w:pPr>
              <w:spacing w:after="0"/>
              <w:jc w:val="left"/>
            </w:pPr>
            <w:r/>
            <w:r>
              <w:rPr>
                <w:rFonts w:ascii="Georgia" w:hAnsi="Georgia"/>
                <w:b w:val="0"/>
                <w:i w:val="0"/>
                <w:color w:val="262B35"/>
                <w:sz w:val="16"/>
              </w:rPr>
              <w:t>None</w:t>
            </w:r>
          </w:p>
        </w:tc>
        <w:tc>
          <w:tcPr>
            <w:tcW w:type="dxa" w:w="3403"/>
            <w:shd w:val="clear" w:fill="F2F5F9"/>
          </w:tcPr>
          <w:p>
            <w:pPr>
              <w:spacing w:after="0"/>
              <w:jc w:val="left"/>
            </w:pPr>
            <w:r/>
            <w:r>
              <w:rPr>
                <w:rFonts w:ascii="Georgia" w:hAnsi="Georgia"/>
                <w:b w:val="0"/>
                <w:i w:val="0"/>
                <w:color w:val="262B35"/>
                <w:sz w:val="16"/>
              </w:rPr>
              <w:t>New capital earmarked for AI capabilities: Ge...</w:t>
            </w:r>
          </w:p>
        </w:tc>
      </w:tr>
      <w:tr>
        <w:trPr>
          <w:cantSplit/>
        </w:trPr>
        <w:tc>
          <w:tcPr>
            <w:tcW w:type="dxa" w:w="2552"/>
          </w:tcPr>
          <w:p>
            <w:pPr>
              <w:spacing w:after="0"/>
              <w:jc w:val="left"/>
            </w:pPr>
            <w:r/>
            <w:r>
              <w:rPr>
                <w:rFonts w:ascii="Georgia" w:hAnsi="Georgia"/>
                <w:b w:val="0"/>
                <w:i w:val="0"/>
                <w:color w:val="262B35"/>
                <w:sz w:val="16"/>
              </w:rPr>
              <w:t>competition.private_valuation_rank</w:t>
            </w:r>
          </w:p>
        </w:tc>
        <w:tc>
          <w:tcPr>
            <w:tcW w:type="dxa" w:w="3403"/>
          </w:tcPr>
          <w:p>
            <w:pPr>
              <w:spacing w:after="0"/>
              <w:jc w:val="left"/>
            </w:pPr>
            <w:r/>
            <w:r>
              <w:rPr>
                <w:rFonts w:ascii="Georgia" w:hAnsi="Georgia"/>
                <w:b w:val="0"/>
                <w:i w:val="0"/>
                <w:color w:val="262B35"/>
                <w:sz w:val="16"/>
              </w:rPr>
              <w:t>None</w:t>
            </w:r>
          </w:p>
        </w:tc>
        <w:tc>
          <w:tcPr>
            <w:tcW w:type="dxa" w:w="3403"/>
          </w:tcPr>
          <w:p>
            <w:pPr>
              <w:spacing w:after="0"/>
              <w:jc w:val="left"/>
            </w:pPr>
            <w:r/>
            <w:r>
              <w:rPr>
                <w:rFonts w:ascii="Georgia" w:hAnsi="Georgia"/>
                <w:b w:val="0"/>
                <w:i w:val="0"/>
                <w:color w:val="262B35"/>
                <w:sz w:val="16"/>
              </w:rPr>
              <w:t>Trails only Anthropic, OpenAI, Tether, ByteDa...</w:t>
            </w:r>
          </w:p>
        </w:tc>
      </w:tr>
      <w:tr>
        <w:trPr>
          <w:cantSplit/>
        </w:trPr>
        <w:tc>
          <w:tcPr>
            <w:tcW w:type="dxa" w:w="2552"/>
            <w:shd w:val="clear" w:fill="F2F5F9"/>
          </w:tcPr>
          <w:p>
            <w:pPr>
              <w:spacing w:after="0"/>
              <w:jc w:val="left"/>
            </w:pPr>
            <w:r/>
            <w:r>
              <w:rPr>
                <w:rFonts w:ascii="Georgia" w:hAnsi="Georgia"/>
                <w:b w:val="0"/>
                <w:i w:val="0"/>
                <w:color w:val="262B35"/>
                <w:sz w:val="16"/>
              </w:rPr>
              <w:t>events.stream</w:t>
            </w:r>
          </w:p>
        </w:tc>
        <w:tc>
          <w:tcPr>
            <w:tcW w:type="dxa" w:w="3403"/>
            <w:shd w:val="clear" w:fill="F2F5F9"/>
          </w:tcPr>
          <w:p>
            <w:pPr>
              <w:spacing w:after="0"/>
              <w:jc w:val="left"/>
            </w:pPr>
            <w:r/>
            <w:r>
              <w:rPr>
                <w:rFonts w:ascii="Georgia" w:hAnsi="Georgia"/>
                <w:b w:val="0"/>
                <w:i w:val="0"/>
                <w:color w:val="262B35"/>
                <w:sz w:val="16"/>
              </w:rPr>
              <w:t>4 item(s)</w:t>
            </w:r>
          </w:p>
        </w:tc>
        <w:tc>
          <w:tcPr>
            <w:tcW w:type="dxa" w:w="3403"/>
            <w:shd w:val="clear" w:fill="F2F5F9"/>
          </w:tcPr>
          <w:p>
            <w:pPr>
              <w:spacing w:after="0"/>
              <w:jc w:val="left"/>
            </w:pPr>
            <w:r/>
            <w:r>
              <w:rPr>
                <w:rFonts w:ascii="Georgia" w:hAnsi="Georgia"/>
                <w:b w:val="0"/>
                <w:i w:val="0"/>
                <w:color w:val="262B35"/>
                <w:sz w:val="16"/>
              </w:rPr>
              <w:t>+1 new: ['Term sheet signed: strategic round ...</w:t>
            </w:r>
          </w:p>
        </w:tc>
      </w:tr>
    </w:tbl>
    <w:p>
      <w:pPr>
        <w:spacing w:after="80"/>
        <w:jc w:val="both"/>
      </w:pPr>
      <w:r>
        <w:rPr>
          <w:b w:val="0"/>
          <w:i w:val="0"/>
          <w:color w:val="262B35"/>
          <w:sz w:val="8"/>
        </w:rPr>
      </w:r>
    </w:p>
    <w:p>
      <w:pPr>
        <w:keepNext/>
        <w:spacing w:after="60"/>
        <w:jc w:val="left"/>
      </w:pPr>
      <w:r>
        <w:rPr>
          <w:b/>
          <w:i w:val="0"/>
          <w:color w:val="1F2A44"/>
          <w:sz w:val="19"/>
        </w:rPr>
        <w:t>Stale facts (decay-class breach; refreshed or flagged before use)</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008"/>
            <w:shd w:val="clear" w:fill="1F2A44"/>
          </w:tcPr>
          <w:p>
            <w:pPr>
              <w:spacing w:after="0"/>
              <w:jc w:val="left"/>
            </w:pPr>
            <w:r/>
            <w:r>
              <w:rPr>
                <w:rFonts w:ascii="Georgia" w:hAnsi="Georgia"/>
                <w:b/>
                <w:i w:val="0"/>
                <w:color w:val="FFFFFF"/>
                <w:sz w:val="17"/>
              </w:rPr>
              <w:t>Field</w:t>
            </w:r>
          </w:p>
        </w:tc>
        <w:tc>
          <w:tcPr>
            <w:tcW w:type="dxa" w:w="4011"/>
            <w:shd w:val="clear" w:fill="1F2A44"/>
          </w:tcPr>
          <w:p>
            <w:pPr>
              <w:spacing w:after="0"/>
              <w:jc w:val="left"/>
            </w:pPr>
            <w:r/>
            <w:r>
              <w:rPr>
                <w:rFonts w:ascii="Georgia" w:hAnsi="Georgia"/>
                <w:b/>
                <w:i w:val="0"/>
                <w:color w:val="FFFFFF"/>
                <w:sz w:val="17"/>
              </w:rPr>
              <w:t>Value</w:t>
            </w:r>
          </w:p>
        </w:tc>
        <w:tc>
          <w:tcPr>
            <w:tcW w:type="dxa" w:w="2340"/>
            <w:shd w:val="clear" w:fill="1F2A44"/>
          </w:tcPr>
          <w:p>
            <w:pPr>
              <w:spacing w:after="0"/>
              <w:jc w:val="left"/>
            </w:pPr>
            <w:r/>
            <w:r>
              <w:rPr>
                <w:rFonts w:ascii="Georgia" w:hAnsi="Georgia"/>
                <w:b/>
                <w:i w:val="0"/>
                <w:color w:val="FFFFFF"/>
                <w:sz w:val="17"/>
              </w:rPr>
              <w:t>As of (age, class)</w:t>
            </w:r>
          </w:p>
        </w:tc>
      </w:tr>
      <w:tr>
        <w:trPr>
          <w:cantSplit/>
        </w:trPr>
        <w:tc>
          <w:tcPr>
            <w:tcW w:type="dxa" w:w="3008"/>
          </w:tcPr>
          <w:p>
            <w:pPr>
              <w:spacing w:after="0"/>
              <w:jc w:val="left"/>
            </w:pPr>
            <w:r/>
            <w:r>
              <w:rPr>
                <w:rFonts w:ascii="Georgia" w:hAnsi="Georgia"/>
                <w:b w:val="0"/>
                <w:i w:val="0"/>
                <w:color w:val="262B35"/>
                <w:sz w:val="16"/>
              </w:rPr>
              <w:t>valuation.pb_last_known_valuation_bn</w:t>
            </w:r>
          </w:p>
        </w:tc>
        <w:tc>
          <w:tcPr>
            <w:tcW w:type="dxa" w:w="4011"/>
          </w:tcPr>
          <w:p>
            <w:pPr>
              <w:spacing w:after="0"/>
              <w:jc w:val="left"/>
            </w:pPr>
            <w:r/>
            <w:r>
              <w:rPr>
                <w:rFonts w:ascii="Georgia" w:hAnsi="Georgia"/>
                <w:b w:val="0"/>
                <w:i w:val="0"/>
                <w:color w:val="262B35"/>
                <w:sz w:val="16"/>
              </w:rPr>
              <w:t>188</w:t>
            </w:r>
          </w:p>
        </w:tc>
        <w:tc>
          <w:tcPr>
            <w:tcW w:type="dxa" w:w="2340"/>
          </w:tcPr>
          <w:p>
            <w:pPr>
              <w:spacing w:after="0"/>
              <w:jc w:val="left"/>
            </w:pPr>
            <w:r/>
            <w:r>
              <w:rPr>
                <w:rFonts w:ascii="Georgia" w:hAnsi="Georgia"/>
                <w:b w:val="0"/>
                <w:i w:val="0"/>
                <w:color w:val="262B35"/>
                <w:sz w:val="16"/>
              </w:rPr>
              <w:t>2026-07-16 (25d, VOLATILE)</w:t>
            </w:r>
          </w:p>
        </w:tc>
      </w:tr>
      <w:tr>
        <w:trPr>
          <w:cantSplit/>
        </w:trPr>
        <w:tc>
          <w:tcPr>
            <w:tcW w:type="dxa" w:w="3008"/>
            <w:shd w:val="clear" w:fill="F2F5F9"/>
          </w:tcPr>
          <w:p>
            <w:pPr>
              <w:spacing w:after="0"/>
              <w:jc w:val="left"/>
            </w:pPr>
            <w:r/>
            <w:r>
              <w:rPr>
                <w:rFonts w:ascii="Georgia" w:hAnsi="Georgia"/>
                <w:b w:val="0"/>
                <w:i w:val="0"/>
                <w:color w:val="262B35"/>
                <w:sz w:val="16"/>
              </w:rPr>
              <w:t>financials.fcf_status</w:t>
            </w:r>
          </w:p>
        </w:tc>
        <w:tc>
          <w:tcPr>
            <w:tcW w:type="dxa" w:w="4011"/>
            <w:shd w:val="clear" w:fill="F2F5F9"/>
          </w:tcPr>
          <w:p>
            <w:pPr>
              <w:spacing w:after="0"/>
              <w:jc w:val="left"/>
            </w:pPr>
            <w:r/>
            <w:r>
              <w:rPr>
                <w:rFonts w:ascii="Georgia" w:hAnsi="Georgia"/>
                <w:b w:val="0"/>
                <w:i w:val="0"/>
                <w:color w:val="262B35"/>
                <w:sz w:val="16"/>
              </w:rPr>
              <w:t>Positive, TTM and FY2025 bases; magnitude und...</w:t>
            </w:r>
          </w:p>
        </w:tc>
        <w:tc>
          <w:tcPr>
            <w:tcW w:type="dxa" w:w="2340"/>
            <w:shd w:val="clear" w:fill="F2F5F9"/>
          </w:tcPr>
          <w:p>
            <w:pPr>
              <w:spacing w:after="0"/>
              <w:jc w:val="left"/>
            </w:pPr>
            <w:r/>
            <w:r>
              <w:rPr>
                <w:rFonts w:ascii="Georgia" w:hAnsi="Georgia"/>
                <w:b w:val="0"/>
                <w:i w:val="0"/>
                <w:color w:val="262B35"/>
                <w:sz w:val="16"/>
              </w:rPr>
              <w:t>2026-02-09 (182d, QUARTERLY)</w:t>
            </w:r>
          </w:p>
        </w:tc>
      </w:tr>
      <w:tr>
        <w:trPr>
          <w:cantSplit/>
        </w:trPr>
        <w:tc>
          <w:tcPr>
            <w:tcW w:type="dxa" w:w="3008"/>
          </w:tcPr>
          <w:p>
            <w:pPr>
              <w:spacing w:after="0"/>
              <w:jc w:val="left"/>
            </w:pPr>
            <w:r/>
            <w:r>
              <w:rPr>
                <w:rFonts w:ascii="Georgia" w:hAnsi="Georgia"/>
                <w:b w:val="0"/>
                <w:i w:val="0"/>
                <w:color w:val="262B35"/>
                <w:sz w:val="16"/>
              </w:rPr>
              <w:t>products.lakebase</w:t>
            </w:r>
          </w:p>
        </w:tc>
        <w:tc>
          <w:tcPr>
            <w:tcW w:type="dxa" w:w="4011"/>
          </w:tcPr>
          <w:p>
            <w:pPr>
              <w:spacing w:after="0"/>
              <w:jc w:val="left"/>
            </w:pPr>
            <w:r/>
            <w:r>
              <w:rPr>
                <w:rFonts w:ascii="Georgia" w:hAnsi="Georgia"/>
                <w:b w:val="0"/>
                <w:i w:val="0"/>
                <w:color w:val="262B35"/>
                <w:sz w:val="16"/>
              </w:rPr>
              <w:t>Thousands of customers in first six months; r...</w:t>
            </w:r>
          </w:p>
        </w:tc>
        <w:tc>
          <w:tcPr>
            <w:tcW w:type="dxa" w:w="2340"/>
          </w:tcPr>
          <w:p>
            <w:pPr>
              <w:spacing w:after="0"/>
              <w:jc w:val="left"/>
            </w:pPr>
            <w:r/>
            <w:r>
              <w:rPr>
                <w:rFonts w:ascii="Georgia" w:hAnsi="Georgia"/>
                <w:b w:val="0"/>
                <w:i w:val="0"/>
                <w:color w:val="262B35"/>
                <w:sz w:val="16"/>
              </w:rPr>
              <w:t>2026-02-09 (182d, QUARTERLY)</w:t>
            </w:r>
          </w:p>
        </w:tc>
      </w:tr>
      <w:tr>
        <w:trPr>
          <w:cantSplit/>
        </w:trPr>
        <w:tc>
          <w:tcPr>
            <w:tcW w:type="dxa" w:w="3008"/>
            <w:shd w:val="clear" w:fill="F2F5F9"/>
          </w:tcPr>
          <w:p>
            <w:pPr>
              <w:spacing w:after="0"/>
              <w:jc w:val="left"/>
            </w:pPr>
            <w:r/>
            <w:r>
              <w:rPr>
                <w:rFonts w:ascii="Georgia" w:hAnsi="Georgia"/>
                <w:b w:val="0"/>
                <w:i w:val="0"/>
                <w:color w:val="262B35"/>
                <w:sz w:val="16"/>
              </w:rPr>
              <w:t>customers.nrr_pct</w:t>
            </w:r>
          </w:p>
        </w:tc>
        <w:tc>
          <w:tcPr>
            <w:tcW w:type="dxa" w:w="4011"/>
            <w:shd w:val="clear" w:fill="F2F5F9"/>
          </w:tcPr>
          <w:p>
            <w:pPr>
              <w:spacing w:after="0"/>
              <w:jc w:val="left"/>
            </w:pPr>
            <w:r/>
            <w:r>
              <w:rPr>
                <w:rFonts w:ascii="Georgia" w:hAnsi="Georgia"/>
                <w:b w:val="0"/>
                <w:i w:val="0"/>
                <w:color w:val="262B35"/>
                <w:sz w:val="16"/>
              </w:rPr>
              <w:t>&gt;140%</w:t>
            </w:r>
          </w:p>
        </w:tc>
        <w:tc>
          <w:tcPr>
            <w:tcW w:type="dxa" w:w="2340"/>
            <w:shd w:val="clear" w:fill="F2F5F9"/>
          </w:tcPr>
          <w:p>
            <w:pPr>
              <w:spacing w:after="0"/>
              <w:jc w:val="left"/>
            </w:pPr>
            <w:r/>
            <w:r>
              <w:rPr>
                <w:rFonts w:ascii="Georgia" w:hAnsi="Georgia"/>
                <w:b w:val="0"/>
                <w:i w:val="0"/>
                <w:color w:val="262B35"/>
                <w:sz w:val="16"/>
              </w:rPr>
              <w:t>2026-02-09 (182d, QUARTERLY)</w:t>
            </w:r>
          </w:p>
        </w:tc>
      </w:tr>
      <w:tr>
        <w:trPr>
          <w:cantSplit/>
        </w:trPr>
        <w:tc>
          <w:tcPr>
            <w:tcW w:type="dxa" w:w="3008"/>
          </w:tcPr>
          <w:p>
            <w:pPr>
              <w:spacing w:after="0"/>
              <w:jc w:val="left"/>
            </w:pPr>
            <w:r/>
            <w:r>
              <w:rPr>
                <w:rFonts w:ascii="Georgia" w:hAnsi="Georgia"/>
                <w:b w:val="0"/>
                <w:i w:val="0"/>
                <w:color w:val="262B35"/>
                <w:sz w:val="16"/>
              </w:rPr>
              <w:t>customers.orgs</w:t>
            </w:r>
          </w:p>
        </w:tc>
        <w:tc>
          <w:tcPr>
            <w:tcW w:type="dxa" w:w="4011"/>
          </w:tcPr>
          <w:p>
            <w:pPr>
              <w:spacing w:after="0"/>
              <w:jc w:val="left"/>
            </w:pPr>
            <w:r/>
            <w:r>
              <w:rPr>
                <w:rFonts w:ascii="Georgia" w:hAnsi="Georgia"/>
                <w:b w:val="0"/>
                <w:i w:val="0"/>
                <w:color w:val="262B35"/>
                <w:sz w:val="16"/>
              </w:rPr>
              <w:t>20000</w:t>
            </w:r>
          </w:p>
        </w:tc>
        <w:tc>
          <w:tcPr>
            <w:tcW w:type="dxa" w:w="2340"/>
          </w:tcPr>
          <w:p>
            <w:pPr>
              <w:spacing w:after="0"/>
              <w:jc w:val="left"/>
            </w:pPr>
            <w:r/>
            <w:r>
              <w:rPr>
                <w:rFonts w:ascii="Georgia" w:hAnsi="Georgia"/>
                <w:b w:val="0"/>
                <w:i w:val="0"/>
                <w:color w:val="262B35"/>
                <w:sz w:val="16"/>
              </w:rPr>
              <w:t>2026-02-09 (182d, QUARTERLY)</w:t>
            </w:r>
          </w:p>
        </w:tc>
      </w:tr>
      <w:tr>
        <w:trPr>
          <w:cantSplit/>
        </w:trPr>
        <w:tc>
          <w:tcPr>
            <w:tcW w:type="dxa" w:w="3008"/>
            <w:shd w:val="clear" w:fill="F2F5F9"/>
          </w:tcPr>
          <w:p>
            <w:pPr>
              <w:spacing w:after="0"/>
              <w:jc w:val="left"/>
            </w:pPr>
            <w:r/>
            <w:r>
              <w:rPr>
                <w:rFonts w:ascii="Georgia" w:hAnsi="Georgia"/>
                <w:b w:val="0"/>
                <w:i w:val="0"/>
                <w:color w:val="262B35"/>
                <w:sz w:val="16"/>
              </w:rPr>
              <w:t>customers.customers_1m_plus</w:t>
            </w:r>
          </w:p>
        </w:tc>
        <w:tc>
          <w:tcPr>
            <w:tcW w:type="dxa" w:w="4011"/>
            <w:shd w:val="clear" w:fill="F2F5F9"/>
          </w:tcPr>
          <w:p>
            <w:pPr>
              <w:spacing w:after="0"/>
              <w:jc w:val="left"/>
            </w:pPr>
            <w:r/>
            <w:r>
              <w:rPr>
                <w:rFonts w:ascii="Georgia" w:hAnsi="Georgia"/>
                <w:b w:val="0"/>
                <w:i w:val="0"/>
                <w:color w:val="262B35"/>
                <w:sz w:val="16"/>
              </w:rPr>
              <w:t>800</w:t>
            </w:r>
          </w:p>
        </w:tc>
        <w:tc>
          <w:tcPr>
            <w:tcW w:type="dxa" w:w="2340"/>
            <w:shd w:val="clear" w:fill="F2F5F9"/>
          </w:tcPr>
          <w:p>
            <w:pPr>
              <w:spacing w:after="0"/>
              <w:jc w:val="left"/>
            </w:pPr>
            <w:r/>
            <w:r>
              <w:rPr>
                <w:rFonts w:ascii="Georgia" w:hAnsi="Georgia"/>
                <w:b w:val="0"/>
                <w:i w:val="0"/>
                <w:color w:val="262B35"/>
                <w:sz w:val="16"/>
              </w:rPr>
              <w:t>2026-02-09 (182d, QUARTERLY)</w:t>
            </w:r>
          </w:p>
        </w:tc>
      </w:tr>
      <w:tr>
        <w:trPr>
          <w:cantSplit/>
        </w:trPr>
        <w:tc>
          <w:tcPr>
            <w:tcW w:type="dxa" w:w="3008"/>
          </w:tcPr>
          <w:p>
            <w:pPr>
              <w:spacing w:after="0"/>
              <w:jc w:val="left"/>
            </w:pPr>
            <w:r/>
            <w:r>
              <w:rPr>
                <w:rFonts w:ascii="Georgia" w:hAnsi="Georgia"/>
                <w:b w:val="0"/>
                <w:i w:val="0"/>
                <w:color w:val="262B35"/>
                <w:sz w:val="16"/>
              </w:rPr>
              <w:t>customers.customers_10m_plus</w:t>
            </w:r>
          </w:p>
        </w:tc>
        <w:tc>
          <w:tcPr>
            <w:tcW w:type="dxa" w:w="4011"/>
          </w:tcPr>
          <w:p>
            <w:pPr>
              <w:spacing w:after="0"/>
              <w:jc w:val="left"/>
            </w:pPr>
            <w:r/>
            <w:r>
              <w:rPr>
                <w:rFonts w:ascii="Georgia" w:hAnsi="Georgia"/>
                <w:b w:val="0"/>
                <w:i w:val="0"/>
                <w:color w:val="262B35"/>
                <w:sz w:val="16"/>
              </w:rPr>
              <w:t>70</w:t>
            </w:r>
          </w:p>
        </w:tc>
        <w:tc>
          <w:tcPr>
            <w:tcW w:type="dxa" w:w="2340"/>
          </w:tcPr>
          <w:p>
            <w:pPr>
              <w:spacing w:after="0"/>
              <w:jc w:val="left"/>
            </w:pPr>
            <w:r/>
            <w:r>
              <w:rPr>
                <w:rFonts w:ascii="Georgia" w:hAnsi="Georgia"/>
                <w:b w:val="0"/>
                <w:i w:val="0"/>
                <w:color w:val="262B35"/>
                <w:sz w:val="16"/>
              </w:rPr>
              <w:t>2026-02-09 (182d, QUARTERLY)</w:t>
            </w:r>
          </w:p>
        </w:tc>
      </w:tr>
      <w:tr>
        <w:trPr>
          <w:cantSplit/>
        </w:trPr>
        <w:tc>
          <w:tcPr>
            <w:tcW w:type="dxa" w:w="3008"/>
            <w:shd w:val="clear" w:fill="F2F5F9"/>
          </w:tcPr>
          <w:p>
            <w:pPr>
              <w:spacing w:after="0"/>
              <w:jc w:val="left"/>
            </w:pPr>
            <w:r/>
            <w:r>
              <w:rPr>
                <w:rFonts w:ascii="Georgia" w:hAnsi="Georgia"/>
                <w:b w:val="0"/>
                <w:i w:val="0"/>
                <w:color w:val="262B35"/>
                <w:sz w:val="16"/>
              </w:rPr>
              <w:t>customers.fortune500_pct</w:t>
            </w:r>
          </w:p>
        </w:tc>
        <w:tc>
          <w:tcPr>
            <w:tcW w:type="dxa" w:w="4011"/>
            <w:shd w:val="clear" w:fill="F2F5F9"/>
          </w:tcPr>
          <w:p>
            <w:pPr>
              <w:spacing w:after="0"/>
              <w:jc w:val="left"/>
            </w:pPr>
            <w:r/>
            <w:r>
              <w:rPr>
                <w:rFonts w:ascii="Georgia" w:hAnsi="Georgia"/>
                <w:b w:val="0"/>
                <w:i w:val="0"/>
                <w:color w:val="262B35"/>
                <w:sz w:val="16"/>
              </w:rPr>
              <w:t>&gt;60%</w:t>
            </w:r>
          </w:p>
        </w:tc>
        <w:tc>
          <w:tcPr>
            <w:tcW w:type="dxa" w:w="2340"/>
            <w:shd w:val="clear" w:fill="F2F5F9"/>
          </w:tcPr>
          <w:p>
            <w:pPr>
              <w:spacing w:after="0"/>
              <w:jc w:val="left"/>
            </w:pPr>
            <w:r/>
            <w:r>
              <w:rPr>
                <w:rFonts w:ascii="Georgia" w:hAnsi="Georgia"/>
                <w:b w:val="0"/>
                <w:i w:val="0"/>
                <w:color w:val="262B35"/>
                <w:sz w:val="16"/>
              </w:rPr>
              <w:t>2026-02-09 (182d, QUARTERLY)</w:t>
            </w:r>
          </w:p>
        </w:tc>
      </w:tr>
      <w:tr>
        <w:trPr>
          <w:cantSplit/>
        </w:trPr>
        <w:tc>
          <w:tcPr>
            <w:tcW w:type="dxa" w:w="3008"/>
          </w:tcPr>
          <w:p>
            <w:pPr>
              <w:spacing w:after="0"/>
              <w:jc w:val="left"/>
            </w:pPr>
            <w:r/>
            <w:r>
              <w:rPr>
                <w:rFonts w:ascii="Georgia" w:hAnsi="Georgia"/>
                <w:b w:val="0"/>
                <w:i w:val="0"/>
                <w:color w:val="262B35"/>
                <w:sz w:val="16"/>
              </w:rPr>
              <w:t>competition.snowflake_mkt_cap_bn</w:t>
            </w:r>
          </w:p>
        </w:tc>
        <w:tc>
          <w:tcPr>
            <w:tcW w:type="dxa" w:w="4011"/>
          </w:tcPr>
          <w:p>
            <w:pPr>
              <w:spacing w:after="0"/>
              <w:jc w:val="left"/>
            </w:pPr>
            <w:r/>
            <w:r>
              <w:rPr>
                <w:rFonts w:ascii="Georgia" w:hAnsi="Georgia"/>
                <w:b w:val="0"/>
                <w:i w:val="0"/>
                <w:color w:val="262B35"/>
                <w:sz w:val="16"/>
              </w:rPr>
              <w:t>91.1</w:t>
            </w:r>
          </w:p>
        </w:tc>
        <w:tc>
          <w:tcPr>
            <w:tcW w:type="dxa" w:w="2340"/>
          </w:tcPr>
          <w:p>
            <w:pPr>
              <w:spacing w:after="0"/>
              <w:jc w:val="left"/>
            </w:pPr>
            <w:r/>
            <w:r>
              <w:rPr>
                <w:rFonts w:ascii="Georgia" w:hAnsi="Georgia"/>
                <w:b w:val="0"/>
                <w:i w:val="0"/>
                <w:color w:val="262B35"/>
                <w:sz w:val="16"/>
              </w:rPr>
              <w:t>2026-07-07 (34d, VOLATILE)</w:t>
            </w:r>
          </w:p>
        </w:tc>
      </w:tr>
      <w:tr>
        <w:trPr>
          <w:cantSplit/>
        </w:trPr>
        <w:tc>
          <w:tcPr>
            <w:tcW w:type="dxa" w:w="3008"/>
            <w:shd w:val="clear" w:fill="F2F5F9"/>
          </w:tcPr>
          <w:p>
            <w:pPr>
              <w:spacing w:after="0"/>
              <w:jc w:val="left"/>
            </w:pPr>
            <w:r/>
            <w:r>
              <w:rPr>
                <w:rFonts w:ascii="Georgia" w:hAnsi="Georgia"/>
                <w:b w:val="0"/>
                <w:i w:val="0"/>
                <w:color w:val="262B35"/>
                <w:sz w:val="16"/>
              </w:rPr>
              <w:t>competition.private_valuation_rank</w:t>
            </w:r>
          </w:p>
        </w:tc>
        <w:tc>
          <w:tcPr>
            <w:tcW w:type="dxa" w:w="4011"/>
            <w:shd w:val="clear" w:fill="F2F5F9"/>
          </w:tcPr>
          <w:p>
            <w:pPr>
              <w:spacing w:after="0"/>
              <w:jc w:val="left"/>
            </w:pPr>
            <w:r/>
            <w:r>
              <w:rPr>
                <w:rFonts w:ascii="Georgia" w:hAnsi="Georgia"/>
                <w:b w:val="0"/>
                <w:i w:val="0"/>
                <w:color w:val="262B35"/>
                <w:sz w:val="16"/>
              </w:rPr>
              <w:t>Trails only Anthropic, OpenAI, Tether, ByteDa...</w:t>
            </w:r>
          </w:p>
        </w:tc>
        <w:tc>
          <w:tcPr>
            <w:tcW w:type="dxa" w:w="2340"/>
            <w:shd w:val="clear" w:fill="F2F5F9"/>
          </w:tcPr>
          <w:p>
            <w:pPr>
              <w:spacing w:after="0"/>
              <w:jc w:val="left"/>
            </w:pPr>
            <w:r/>
            <w:r>
              <w:rPr>
                <w:rFonts w:ascii="Georgia" w:hAnsi="Georgia"/>
                <w:b w:val="0"/>
                <w:i w:val="0"/>
                <w:color w:val="262B35"/>
                <w:sz w:val="16"/>
              </w:rPr>
              <w:t>2026-07-17 (24d, VOLATILE)</w:t>
            </w:r>
          </w:p>
        </w:tc>
      </w:tr>
      <w:tr>
        <w:trPr>
          <w:cantSplit/>
        </w:trPr>
        <w:tc>
          <w:tcPr>
            <w:tcW w:type="dxa" w:w="3008"/>
          </w:tcPr>
          <w:p>
            <w:pPr>
              <w:spacing w:after="0"/>
              <w:jc w:val="left"/>
            </w:pPr>
            <w:r/>
            <w:r>
              <w:rPr>
                <w:rFonts w:ascii="Georgia" w:hAnsi="Georgia"/>
                <w:b w:val="0"/>
                <w:i w:val="0"/>
                <w:color w:val="262B35"/>
                <w:sz w:val="16"/>
              </w:rPr>
              <w:t>ipo_status.s1_status</w:t>
            </w:r>
          </w:p>
        </w:tc>
        <w:tc>
          <w:tcPr>
            <w:tcW w:type="dxa" w:w="4011"/>
          </w:tcPr>
          <w:p>
            <w:pPr>
              <w:spacing w:after="0"/>
              <w:jc w:val="left"/>
            </w:pPr>
            <w:r/>
            <w:r>
              <w:rPr>
                <w:rFonts w:ascii="Georgia" w:hAnsi="Georgia"/>
                <w:b w:val="0"/>
                <w:i w:val="0"/>
                <w:color w:val="262B35"/>
                <w:sz w:val="16"/>
              </w:rPr>
              <w:t>No S-1 on file; Form D / D/A only (latest 202...</w:t>
            </w:r>
          </w:p>
        </w:tc>
        <w:tc>
          <w:tcPr>
            <w:tcW w:type="dxa" w:w="2340"/>
          </w:tcPr>
          <w:p>
            <w:pPr>
              <w:spacing w:after="0"/>
              <w:jc w:val="left"/>
            </w:pPr>
            <w:r/>
            <w:r>
              <w:rPr>
                <w:rFonts w:ascii="Georgia" w:hAnsi="Georgia"/>
                <w:b w:val="0"/>
                <w:i w:val="0"/>
                <w:color w:val="262B35"/>
                <w:sz w:val="16"/>
              </w:rPr>
              <w:t>2026-07-10 (31d, VOLATILE)</w:t>
            </w:r>
          </w:p>
        </w:tc>
      </w:tr>
      <w:tr>
        <w:trPr>
          <w:cantSplit/>
        </w:trPr>
        <w:tc>
          <w:tcPr>
            <w:tcW w:type="dxa" w:w="3008"/>
            <w:shd w:val="clear" w:fill="F2F5F9"/>
          </w:tcPr>
          <w:p>
            <w:pPr>
              <w:spacing w:after="0"/>
              <w:jc w:val="left"/>
            </w:pPr>
            <w:r/>
            <w:r>
              <w:rPr>
                <w:rFonts w:ascii="Georgia" w:hAnsi="Georgia"/>
                <w:b w:val="0"/>
                <w:i w:val="0"/>
                <w:color w:val="262B35"/>
                <w:sz w:val="16"/>
              </w:rPr>
              <w:t>ipo_status.window</w:t>
            </w:r>
          </w:p>
        </w:tc>
        <w:tc>
          <w:tcPr>
            <w:tcW w:type="dxa" w:w="4011"/>
            <w:shd w:val="clear" w:fill="F2F5F9"/>
          </w:tcPr>
          <w:p>
            <w:pPr>
              <w:spacing w:after="0"/>
              <w:jc w:val="left"/>
            </w:pPr>
            <w:r/>
            <w:r>
              <w:rPr>
                <w:rFonts w:ascii="Georgia" w:hAnsi="Georgia"/>
                <w:b w:val="0"/>
                <w:i w:val="0"/>
                <w:color w:val="262B35"/>
                <w:sz w:val="16"/>
              </w:rPr>
              <w:t>2026 publicly ruled out by CEO; 2027 earliest</w:t>
            </w:r>
          </w:p>
        </w:tc>
        <w:tc>
          <w:tcPr>
            <w:tcW w:type="dxa" w:w="2340"/>
            <w:shd w:val="clear" w:fill="F2F5F9"/>
          </w:tcPr>
          <w:p>
            <w:pPr>
              <w:spacing w:after="0"/>
              <w:jc w:val="left"/>
            </w:pPr>
            <w:r/>
            <w:r>
              <w:rPr>
                <w:rFonts w:ascii="Georgia" w:hAnsi="Georgia"/>
                <w:b w:val="0"/>
                <w:i w:val="0"/>
                <w:color w:val="262B35"/>
                <w:sz w:val="16"/>
              </w:rPr>
              <w:t>2026-06-04 (67d, VOLATILE)</w:t>
            </w:r>
          </w:p>
        </w:tc>
      </w:tr>
      <w:tr>
        <w:trPr>
          <w:cantSplit/>
        </w:trPr>
        <w:tc>
          <w:tcPr>
            <w:tcW w:type="dxa" w:w="3008"/>
          </w:tcPr>
          <w:p>
            <w:pPr>
              <w:spacing w:after="0"/>
              <w:jc w:val="left"/>
            </w:pPr>
            <w:r/>
            <w:r>
              <w:rPr>
                <w:rFonts w:ascii="Georgia" w:hAnsi="Georgia"/>
                <w:b w:val="0"/>
                <w:i w:val="0"/>
                <w:color w:val="262B35"/>
                <w:sz w:val="16"/>
              </w:rPr>
              <w:t>ipo_status.prediction_market</w:t>
            </w:r>
          </w:p>
        </w:tc>
        <w:tc>
          <w:tcPr>
            <w:tcW w:type="dxa" w:w="4011"/>
          </w:tcPr>
          <w:p>
            <w:pPr>
              <w:spacing w:after="0"/>
              <w:jc w:val="left"/>
            </w:pPr>
            <w:r/>
            <w:r>
              <w:rPr>
                <w:rFonts w:ascii="Georgia" w:hAnsi="Georgia"/>
                <w:b w:val="0"/>
                <w:i w:val="0"/>
                <w:color w:val="262B35"/>
                <w:sz w:val="16"/>
              </w:rPr>
              <w:t>'No Databricks IPO by Dec 31, 2027' priced 0.54</w:t>
            </w:r>
          </w:p>
        </w:tc>
        <w:tc>
          <w:tcPr>
            <w:tcW w:type="dxa" w:w="2340"/>
          </w:tcPr>
          <w:p>
            <w:pPr>
              <w:spacing w:after="0"/>
              <w:jc w:val="left"/>
            </w:pPr>
            <w:r/>
            <w:r>
              <w:rPr>
                <w:rFonts w:ascii="Georgia" w:hAnsi="Georgia"/>
                <w:b w:val="0"/>
                <w:i w:val="0"/>
                <w:color w:val="262B35"/>
                <w:sz w:val="16"/>
              </w:rPr>
              <w:t>2026-07-07 (34d, VOLATILE)</w:t>
            </w:r>
          </w:p>
        </w:tc>
      </w:tr>
    </w:tbl>
    <w:p>
      <w:pPr>
        <w:spacing w:after="80"/>
        <w:jc w:val="both"/>
      </w:pPr>
      <w:r>
        <w:rPr>
          <w:b w:val="0"/>
          <w:i w:val="0"/>
          <w:color w:val="262B35"/>
          <w:sz w:val="8"/>
        </w:rPr>
      </w:r>
    </w:p>
    <w:p>
      <w:pPr>
        <w:pStyle w:val="Heading1"/>
      </w:pPr>
      <w:r>
        <w:t>The Thesis Check: Confirmed, Extended, or Contradicted</w:t>
      </w:r>
    </w:p>
    <w:p>
      <w:pPr>
        <w:spacing w:after="140"/>
        <w:jc w:val="both"/>
      </w:pPr>
      <w:r>
        <w:rPr>
          <w:b w:val="0"/>
          <w:i w:val="0"/>
          <w:color w:val="262B35"/>
          <w:sz w:val="21"/>
        </w:rPr>
        <w:t>The July initiation rested on three legs: the strongest business quality score this framework has issued (8.81, Elite, July 2026 re-score), the cheapest price per unit of quality in the cohort, and a do-not-adopt stance on the rumored round paired with the read that the talks themselves were a forward signal of demand. The term sheet confirms the third leg and extends it: the signal did not merely survive, it firmed at a price above the talked range, with a named lead and a company announcement in place of sourced whispers.</w:t>
      </w:r>
    </w:p>
    <w:p>
      <w:pPr>
        <w:spacing w:after="140"/>
        <w:jc w:val="both"/>
      </w:pPr>
      <w:r>
        <w:rPr>
          <w:b w:val="0"/>
          <w:i w:val="0"/>
          <w:color w:val="262B35"/>
          <w:sz w:val="21"/>
        </w:rPr>
        <w:t>The quality-adjusted price survives the higher bid. At the completed mark the market pays $15.2 billion per point of business quality; at the announced mark it would pay roughly $21.3 billion per point (est., derived). Both numbers sit on the cohort floor by a wide margin: the nearest neighbor pays about $118 billion per point and the top of the ladder sits near $188 billion per point on marks confirmed in mid-July (internal framework on PitchBook-confirmed marks, July 2026; derived). Even granting the full re-rate, the buyer at $188 billion still pays roughly a fifth of the cohort's next-cheapest price per unit of quality. Figure 3 restates the ladder at both marks.</w:t>
      </w:r>
    </w:p>
    <w:p>
      <w:pPr>
        <w:keepNext/>
        <w:spacing w:after="40"/>
        <w:jc w:val="center"/>
      </w:pPr>
      <w:r>
        <w:drawing>
          <wp:inline xmlns:a="http://schemas.openxmlformats.org/drawingml/2006/main" xmlns:pic="http://schemas.openxmlformats.org/drawingml/2006/picture">
            <wp:extent cx="5943600" cy="3417637"/>
            <wp:docPr id="3" name="Picture 3"/>
            <wp:cNvGraphicFramePr>
              <a:graphicFrameLocks noChangeAspect="1"/>
            </wp:cNvGraphicFramePr>
            <a:graphic>
              <a:graphicData uri="http://schemas.openxmlformats.org/drawingml/2006/picture">
                <pic:pic>
                  <pic:nvPicPr>
                    <pic:cNvPr id="0" name="per_point_aug2026.png"/>
                    <pic:cNvPicPr/>
                  </pic:nvPicPr>
                  <pic:blipFill>
                    <a:blip r:embed="rId14"/>
                    <a:stretch>
                      <a:fillRect/>
                    </a:stretch>
                  </pic:blipFill>
                  <pic:spPr>
                    <a:xfrm>
                      <a:off x="0" y="0"/>
                      <a:ext cx="5943600" cy="3417637"/>
                    </a:xfrm>
                    <a:prstGeom prst="rect"/>
                  </pic:spPr>
                </pic:pic>
              </a:graphicData>
            </a:graphic>
          </wp:inline>
        </w:drawing>
      </w:r>
    </w:p>
    <w:p>
      <w:pPr>
        <w:spacing w:after="240"/>
        <w:jc w:val="left"/>
      </w:pPr>
      <w:r>
        <w:rPr>
          <w:b w:val="0"/>
          <w:i/>
          <w:color w:val="6B7280"/>
          <w:sz w:val="15"/>
        </w:rPr>
        <w:t>Figure 3. Valuation per AIBQ point, August 10, 2026. Databricks shown at both the completed and the announced mark; peer marks as confirmed mid-July 2026; xAI implied inside its listed parent (est.). SSI excluded (pre-revenue). The per-point spread is the only cleared expression of the quality-valuation relationship.</w:t>
      </w:r>
    </w:p>
    <w:p>
      <w:pPr>
        <w:spacing w:after="140"/>
        <w:jc w:val="both"/>
      </w:pPr>
      <w:r>
        <w:rPr>
          <w:b w:val="0"/>
          <w:i w:val="0"/>
          <w:color w:val="262B35"/>
          <w:sz w:val="21"/>
        </w:rPr>
        <w:t>Growth adjustment tells the same story. At 27.2x on $6.9 billion growing +80%, the announced mark prices each point of growth at 0.34x; the listed comparable trades near 15.3x its guided forward product revenue growing +31%, or 0.49x per point (comparable company 8-K, May 27, 2026; derived). The February conclusion, that Databricks is the cheaper growth-adjusted asset, holds at the higher bid. Capital efficiency is the one line that moves against the thesis on close: funds received would lift lifetime equity from roughly $20.2 billion toward $23.2 billion, diluting CE from 0.34x toward 0.30x unless the September print raises the numerator first (derived, equity-only basis). That is a measurement note, not a crack: a company choosing dilution at 40% above its last mark, in a round it does not need, is exercising exactly the capital character the CE dimension scores.</w:t>
      </w:r>
    </w:p>
    <w:p>
      <w:pPr>
        <w:spacing w:after="140"/>
        <w:jc w:val="both"/>
      </w:pPr>
      <w:r>
        <w:rPr>
          <w:b w:val="0"/>
          <w:i w:val="0"/>
          <w:color w:val="262B35"/>
          <w:sz w:val="21"/>
        </w:rPr>
        <w:t>Trigger review: the round trigger from the initiation fired on July 17, and it fired in the direction the report did not predict, firming at a higher price rather than closing or lapsing at the talked range. The margin-gate trigger remains armed and is unchanged by any of this: 74% against the 70% floor, a four-point cushion, guided lower, with the September to October print as the test. The S-1 trigger remains armed with nothing on file at the last registry check. A new trigger is armed today: the close itself, expected before the end of summer, which on completion adopts $188 billion as the mark and re-runs the appraisal.</w:t>
      </w:r>
    </w:p>
    <w:p>
      <w:pPr>
        <w:pStyle w:val="Heading1"/>
      </w:pPr>
      <w:r>
        <w:t>The Verdict and the Watch List</w:t>
      </w:r>
    </w:p>
    <w:p>
      <w:pPr>
        <w:spacing w:after="140"/>
        <w:jc w:val="both"/>
      </w:pPr>
      <w:r>
        <w:rPr>
          <w:b w:val="0"/>
          <w:i w:val="0"/>
          <w:color w:val="262B35"/>
          <w:sz w:val="21"/>
        </w:rPr>
        <w:t>The position is unchanged in method and upgraded in signal. The base case anchors on the $134 billion completed mark until the Coatue round settles; the $188 billion term sheet is treated as the market's confirmed forward bid on an engine whose last four prints accelerated from +50% to +80% at $7 billion scale. On close, the mark is adopted, the run-rate multiple moves to 27.2x on the June print, and the appraisal re-runs with the new equity in the denominator. Nothing in the announcement weakens the quality thesis; the announcement exists because of it.</w:t>
      </w:r>
    </w:p>
    <w:p>
      <w:pPr>
        <w:spacing w:after="140"/>
        <w:jc w:val="both"/>
      </w:pPr>
      <w:r>
        <w:rPr>
          <w:b w:val="0"/>
          <w:i w:val="0"/>
          <w:color w:val="262B35"/>
          <w:sz w:val="21"/>
        </w:rPr>
        <w:t>Three dated numbers decide the next quarter of this coverage. First, the close: the company expects funds later this summer, and a completed deal record is the adoption event (company announcement, July 17, 2026). Second, the September to October print: gross margin against the 70% efficiency gate with a four-point cushion, the run-rate against the $6.9 billion June level, and the scheduled refresh of the February operating metrics. Third, the registry: any S-1 at the company's filing index re-rates the listing window immediately (last verified clean, SEC EDGAR, July 10, 2026).</w:t>
      </w:r>
    </w:p>
    <w:p>
      <w:pPr>
        <w:keepNext/>
        <w:spacing w:after="60"/>
        <w:jc w:val="left"/>
      </w:pPr>
      <w:r>
        <w:rPr>
          <w:b/>
          <w:i w:val="0"/>
          <w:color w:val="1F2A44"/>
          <w:sz w:val="19"/>
        </w:rPr>
        <w:t>The watch list, dated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172"/>
            <w:shd w:val="clear" w:fill="1F2A44"/>
          </w:tcPr>
          <w:p>
            <w:pPr>
              <w:spacing w:after="0"/>
              <w:jc w:val="left"/>
            </w:pPr>
            <w:r/>
            <w:r>
              <w:rPr>
                <w:rFonts w:ascii="Georgia" w:hAnsi="Georgia"/>
                <w:b/>
                <w:i w:val="0"/>
                <w:color w:val="FFFFFF"/>
                <w:sz w:val="17"/>
              </w:rPr>
              <w:t>Trigger</w:t>
            </w:r>
          </w:p>
        </w:tc>
        <w:tc>
          <w:tcPr>
            <w:tcW w:type="dxa" w:w="3014"/>
            <w:shd w:val="clear" w:fill="1F2A44"/>
          </w:tcPr>
          <w:p>
            <w:pPr>
              <w:spacing w:after="0"/>
              <w:jc w:val="left"/>
            </w:pPr>
            <w:r/>
            <w:r>
              <w:rPr>
                <w:rFonts w:ascii="Georgia" w:hAnsi="Georgia"/>
                <w:b/>
                <w:i w:val="0"/>
                <w:color w:val="FFFFFF"/>
                <w:sz w:val="17"/>
              </w:rPr>
              <w:t>Window</w:t>
            </w:r>
          </w:p>
        </w:tc>
        <w:tc>
          <w:tcPr>
            <w:tcW w:type="dxa" w:w="3172"/>
            <w:shd w:val="clear" w:fill="1F2A44"/>
          </w:tcPr>
          <w:p>
            <w:pPr>
              <w:spacing w:after="0"/>
              <w:jc w:val="left"/>
            </w:pPr>
            <w:r/>
            <w:r>
              <w:rPr>
                <w:rFonts w:ascii="Georgia" w:hAnsi="Georgia"/>
                <w:b/>
                <w:i w:val="0"/>
                <w:color w:val="FFFFFF"/>
                <w:sz w:val="17"/>
              </w:rPr>
              <w:t>On firing</w:t>
            </w:r>
          </w:p>
        </w:tc>
      </w:tr>
      <w:tr>
        <w:trPr>
          <w:cantSplit/>
        </w:trPr>
        <w:tc>
          <w:tcPr>
            <w:tcW w:type="dxa" w:w="3172"/>
          </w:tcPr>
          <w:p>
            <w:pPr>
              <w:spacing w:after="0"/>
              <w:jc w:val="left"/>
            </w:pPr>
            <w:r/>
            <w:r>
              <w:rPr>
                <w:rFonts w:ascii="Georgia" w:hAnsi="Georgia"/>
                <w:b w:val="0"/>
                <w:i w:val="0"/>
                <w:color w:val="262B35"/>
                <w:sz w:val="16"/>
              </w:rPr>
              <w:t>Coatue round close at $188B</w:t>
            </w:r>
          </w:p>
        </w:tc>
        <w:tc>
          <w:tcPr>
            <w:tcW w:type="dxa" w:w="3014"/>
          </w:tcPr>
          <w:p>
            <w:pPr>
              <w:spacing w:after="0"/>
              <w:jc w:val="left"/>
            </w:pPr>
            <w:r/>
            <w:r>
              <w:rPr>
                <w:rFonts w:ascii="Georgia" w:hAnsi="Georgia"/>
                <w:b w:val="0"/>
                <w:i w:val="0"/>
                <w:color w:val="262B35"/>
                <w:sz w:val="16"/>
              </w:rPr>
              <w:t>By end of summer 2026 (company guidance)</w:t>
            </w:r>
          </w:p>
        </w:tc>
        <w:tc>
          <w:tcPr>
            <w:tcW w:type="dxa" w:w="3172"/>
          </w:tcPr>
          <w:p>
            <w:pPr>
              <w:spacing w:after="0"/>
              <w:jc w:val="left"/>
            </w:pPr>
            <w:r/>
            <w:r>
              <w:rPr>
                <w:rFonts w:ascii="Georgia" w:hAnsi="Georgia"/>
                <w:b w:val="0"/>
                <w:i w:val="0"/>
                <w:color w:val="262B35"/>
                <w:sz w:val="16"/>
              </w:rPr>
              <w:t>Adopt the mark; multiple to 27.2x on the June print; CE re-based toward 0.30x</w:t>
            </w:r>
          </w:p>
        </w:tc>
      </w:tr>
      <w:tr>
        <w:trPr>
          <w:cantSplit/>
        </w:trPr>
        <w:tc>
          <w:tcPr>
            <w:tcW w:type="dxa" w:w="3172"/>
            <w:shd w:val="clear" w:fill="F2F5F9"/>
          </w:tcPr>
          <w:p>
            <w:pPr>
              <w:spacing w:after="0"/>
              <w:jc w:val="left"/>
            </w:pPr>
            <w:r/>
            <w:r>
              <w:rPr>
                <w:rFonts w:ascii="Georgia" w:hAnsi="Georgia"/>
                <w:b w:val="0"/>
                <w:i w:val="0"/>
                <w:color w:val="262B35"/>
                <w:sz w:val="16"/>
              </w:rPr>
              <w:t>Quarterly disclosure: margin vs the 70% gate; run-rate; metrics refresh</w:t>
            </w:r>
          </w:p>
        </w:tc>
        <w:tc>
          <w:tcPr>
            <w:tcW w:type="dxa" w:w="3014"/>
            <w:shd w:val="clear" w:fill="F2F5F9"/>
          </w:tcPr>
          <w:p>
            <w:pPr>
              <w:spacing w:after="0"/>
              <w:jc w:val="left"/>
            </w:pPr>
            <w:r/>
            <w:r>
              <w:rPr>
                <w:rFonts w:ascii="Georgia" w:hAnsi="Georgia"/>
                <w:b w:val="0"/>
                <w:i w:val="0"/>
                <w:color w:val="262B35"/>
                <w:sz w:val="16"/>
              </w:rPr>
              <w:t>September to October 2026 (pattern of prior prints)</w:t>
            </w:r>
          </w:p>
        </w:tc>
        <w:tc>
          <w:tcPr>
            <w:tcW w:type="dxa" w:w="3172"/>
            <w:shd w:val="clear" w:fill="F2F5F9"/>
          </w:tcPr>
          <w:p>
            <w:pPr>
              <w:spacing w:after="0"/>
              <w:jc w:val="left"/>
            </w:pPr>
            <w:r/>
            <w:r>
              <w:rPr>
                <w:rFonts w:ascii="Georgia" w:hAnsi="Georgia"/>
                <w:b w:val="0"/>
                <w:i w:val="0"/>
                <w:color w:val="262B35"/>
                <w:sz w:val="16"/>
              </w:rPr>
              <w:t>Gate breach forces a re-score regardless of the round; fresh NRR and customer counts replace February vintage</w:t>
            </w:r>
          </w:p>
        </w:tc>
      </w:tr>
      <w:tr>
        <w:trPr>
          <w:cantSplit/>
        </w:trPr>
        <w:tc>
          <w:tcPr>
            <w:tcW w:type="dxa" w:w="3172"/>
          </w:tcPr>
          <w:p>
            <w:pPr>
              <w:spacing w:after="0"/>
              <w:jc w:val="left"/>
            </w:pPr>
            <w:r/>
            <w:r>
              <w:rPr>
                <w:rFonts w:ascii="Georgia" w:hAnsi="Georgia"/>
                <w:b w:val="0"/>
                <w:i w:val="0"/>
                <w:color w:val="262B35"/>
                <w:sz w:val="16"/>
              </w:rPr>
              <w:t>S-1 registration statement</w:t>
            </w:r>
          </w:p>
        </w:tc>
        <w:tc>
          <w:tcPr>
            <w:tcW w:type="dxa" w:w="3014"/>
          </w:tcPr>
          <w:p>
            <w:pPr>
              <w:spacing w:after="0"/>
              <w:jc w:val="left"/>
            </w:pPr>
            <w:r/>
            <w:r>
              <w:rPr>
                <w:rFonts w:ascii="Georgia" w:hAnsi="Georgia"/>
                <w:b w:val="0"/>
                <w:i w:val="0"/>
                <w:color w:val="262B35"/>
                <w:sz w:val="16"/>
              </w:rPr>
              <w:t>Registry checked at every run; none on file July 10, 2026</w:t>
            </w:r>
          </w:p>
        </w:tc>
        <w:tc>
          <w:tcPr>
            <w:tcW w:type="dxa" w:w="3172"/>
          </w:tcPr>
          <w:p>
            <w:pPr>
              <w:spacing w:after="0"/>
              <w:jc w:val="left"/>
            </w:pPr>
            <w:r/>
            <w:r>
              <w:rPr>
                <w:rFonts w:ascii="Georgia" w:hAnsi="Georgia"/>
                <w:b w:val="0"/>
                <w:i w:val="0"/>
                <w:color w:val="262B35"/>
                <w:sz w:val="16"/>
              </w:rPr>
              <w:t>Listing window re-rates; governance optionality re-scores</w:t>
            </w:r>
          </w:p>
        </w:tc>
      </w:tr>
    </w:tbl>
    <w:p>
      <w:pPr>
        <w:spacing w:after="200"/>
        <w:jc w:val="left"/>
      </w:pPr>
      <w:r>
        <w:rPr>
          <w:b w:val="0"/>
          <w:i/>
          <w:color w:val="6B7280"/>
          <w:sz w:val="15"/>
        </w:rPr>
        <w:t>Sources as cited in text; trigger states maintained in the company tracker.</w:t>
      </w:r>
    </w:p>
    <w:p>
      <w:pPr>
        <w:spacing w:after="140"/>
        <w:jc w:val="both"/>
      </w:pPr>
      <w:r>
        <w:rPr>
          <w:b w:val="0"/>
          <w:i w:val="0"/>
          <w:color w:val="262B35"/>
          <w:sz w:val="21"/>
        </w:rPr>
        <w:t>The falsifier is unchanged and singular: a gross-margin print below 70% breaks the efficiency gate and forces a re-score of the quality thesis regardless of what the round does. Everything else in this note is a re-rate of price against a business whose published trajectory is still accelerating; that one number is the only print that would change what the business is.</w:t>
      </w:r>
    </w:p>
    <w:p>
      <w:pPr>
        <w:pStyle w:val="Heading1"/>
      </w:pPr>
      <w:r>
        <w:t>Appendix: The Fact Sheet</w:t>
      </w:r>
    </w:p>
    <w:p>
      <w:pPr>
        <w:spacing w:after="140"/>
        <w:jc w:val="both"/>
      </w:pPr>
      <w:r>
        <w:rPr>
          <w:b w:val="0"/>
          <w:i w:val="0"/>
          <w:color w:val="262B35"/>
          <w:sz w:val="21"/>
        </w:rPr>
        <w:t>Generated from the canonical company store at build time. Every row carries its source, as-of date, and tier; estimates are tilded and labeled; disputed values would appear with both figures under the freeze-on-conflict rule.</w:t>
      </w:r>
    </w:p>
    <w:p>
      <w:pPr>
        <w:keepNext/>
        <w:spacing w:after="60"/>
        <w:jc w:val="left"/>
      </w:pPr>
      <w:r>
        <w:rPr>
          <w:b/>
          <w:i w:val="0"/>
          <w:color w:val="1F2A44"/>
          <w:sz w:val="19"/>
        </w:rPr>
        <w:t>Identity &amp; Status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150"/>
            <w:shd w:val="clear" w:fill="1F2A44"/>
          </w:tcPr>
          <w:p>
            <w:pPr>
              <w:spacing w:after="0"/>
              <w:jc w:val="left"/>
            </w:pPr>
            <w:r/>
            <w:r>
              <w:rPr>
                <w:rFonts w:ascii="Georgia" w:hAnsi="Georgia"/>
                <w:b/>
                <w:i w:val="0"/>
                <w:color w:val="FFFFFF"/>
                <w:sz w:val="17"/>
              </w:rPr>
              <w:t>Metric</w:t>
            </w:r>
          </w:p>
        </w:tc>
        <w:tc>
          <w:tcPr>
            <w:tcW w:type="dxa" w:w="4603"/>
            <w:shd w:val="clear" w:fill="1F2A44"/>
          </w:tcPr>
          <w:p>
            <w:pPr>
              <w:spacing w:after="0"/>
              <w:jc w:val="left"/>
            </w:pPr>
            <w:r/>
            <w:r>
              <w:rPr>
                <w:rFonts w:ascii="Georgia" w:hAnsi="Georgia"/>
                <w:b/>
                <w:i w:val="0"/>
                <w:color w:val="FFFFFF"/>
                <w:sz w:val="17"/>
              </w:rPr>
              <w:t>Value</w:t>
            </w:r>
          </w:p>
        </w:tc>
        <w:tc>
          <w:tcPr>
            <w:tcW w:type="dxa" w:w="3605"/>
            <w:shd w:val="clear" w:fill="1F2A44"/>
          </w:tcPr>
          <w:p>
            <w:pPr>
              <w:spacing w:after="0"/>
              <w:jc w:val="left"/>
            </w:pPr>
            <w:r/>
            <w:r>
              <w:rPr>
                <w:rFonts w:ascii="Georgia" w:hAnsi="Georgia"/>
                <w:b/>
                <w:i w:val="0"/>
                <w:color w:val="FFFFFF"/>
                <w:sz w:val="17"/>
              </w:rPr>
              <w:t>Source, date (tier)</w:t>
            </w:r>
          </w:p>
        </w:tc>
      </w:tr>
      <w:tr>
        <w:trPr>
          <w:cantSplit/>
        </w:trPr>
        <w:tc>
          <w:tcPr>
            <w:tcW w:type="dxa" w:w="1150"/>
          </w:tcPr>
          <w:p>
            <w:pPr>
              <w:spacing w:after="0"/>
              <w:jc w:val="left"/>
            </w:pPr>
            <w:r/>
            <w:r>
              <w:rPr>
                <w:rFonts w:ascii="Georgia" w:hAnsi="Georgia"/>
                <w:b w:val="0"/>
                <w:i w:val="0"/>
                <w:color w:val="262B35"/>
                <w:sz w:val="16"/>
              </w:rPr>
              <w:t>Name</w:t>
            </w:r>
          </w:p>
        </w:tc>
        <w:tc>
          <w:tcPr>
            <w:tcW w:type="dxa" w:w="4603"/>
          </w:tcPr>
          <w:p>
            <w:pPr>
              <w:spacing w:after="0"/>
              <w:jc w:val="left"/>
            </w:pPr>
            <w:r/>
            <w:r>
              <w:rPr>
                <w:rFonts w:ascii="Georgia" w:hAnsi="Georgia"/>
                <w:b w:val="0"/>
                <w:i w:val="0"/>
                <w:color w:val="262B35"/>
                <w:sz w:val="16"/>
              </w:rPr>
              <w:t>Databricks, Inc.</w:t>
            </w:r>
          </w:p>
        </w:tc>
        <w:tc>
          <w:tcPr>
            <w:tcW w:type="dxa" w:w="3605"/>
          </w:tcPr>
          <w:p>
            <w:pPr>
              <w:spacing w:after="0"/>
              <w:jc w:val="left"/>
            </w:pPr>
            <w:r/>
            <w:r>
              <w:rPr>
                <w:rFonts w:ascii="Georgia" w:hAnsi="Georgia"/>
                <w:b w:val="0"/>
                <w:i w:val="0"/>
                <w:color w:val="262B35"/>
                <w:sz w:val="16"/>
              </w:rPr>
              <w:t>validation pack, July 10, 2026, 2026-07-10 (T2)</w:t>
            </w:r>
          </w:p>
        </w:tc>
      </w:tr>
      <w:tr>
        <w:trPr>
          <w:cantSplit/>
        </w:trPr>
        <w:tc>
          <w:tcPr>
            <w:tcW w:type="dxa" w:w="1150"/>
            <w:shd w:val="clear" w:fill="F2F5F9"/>
          </w:tcPr>
          <w:p>
            <w:pPr>
              <w:spacing w:after="0"/>
              <w:jc w:val="left"/>
            </w:pPr>
            <w:r/>
            <w:r>
              <w:rPr>
                <w:rFonts w:ascii="Georgia" w:hAnsi="Georgia"/>
                <w:b w:val="0"/>
                <w:i w:val="0"/>
                <w:color w:val="262B35"/>
                <w:sz w:val="16"/>
              </w:rPr>
              <w:t>Pb entity id</w:t>
            </w:r>
          </w:p>
        </w:tc>
        <w:tc>
          <w:tcPr>
            <w:tcW w:type="dxa" w:w="4603"/>
            <w:shd w:val="clear" w:fill="F2F5F9"/>
          </w:tcPr>
          <w:p>
            <w:pPr>
              <w:spacing w:after="0"/>
              <w:jc w:val="left"/>
            </w:pPr>
            <w:r/>
            <w:r>
              <w:rPr>
                <w:rFonts w:ascii="Georgia" w:hAnsi="Georgia"/>
                <w:b w:val="0"/>
                <w:i w:val="0"/>
                <w:color w:val="262B35"/>
                <w:sz w:val="16"/>
              </w:rPr>
              <w:t>59199-40</w:t>
            </w:r>
          </w:p>
        </w:tc>
        <w:tc>
          <w:tcPr>
            <w:tcW w:type="dxa" w:w="3605"/>
            <w:shd w:val="clear" w:fill="F2F5F9"/>
          </w:tcPr>
          <w:p>
            <w:pPr>
              <w:spacing w:after="0"/>
              <w:jc w:val="left"/>
            </w:pPr>
            <w:r/>
            <w:r>
              <w:rPr>
                <w:rFonts w:ascii="Georgia" w:hAnsi="Georgia"/>
                <w:b w:val="0"/>
                <w:i w:val="0"/>
                <w:color w:val="262B35"/>
                <w:sz w:val="16"/>
              </w:rPr>
              <w:t>PitchBook profile, 2026-07-09 (T2)</w:t>
            </w:r>
          </w:p>
        </w:tc>
      </w:tr>
      <w:tr>
        <w:trPr>
          <w:cantSplit/>
        </w:trPr>
        <w:tc>
          <w:tcPr>
            <w:tcW w:type="dxa" w:w="1150"/>
          </w:tcPr>
          <w:p>
            <w:pPr>
              <w:spacing w:after="0"/>
              <w:jc w:val="left"/>
            </w:pPr>
            <w:r/>
            <w:r>
              <w:rPr>
                <w:rFonts w:ascii="Georgia" w:hAnsi="Georgia"/>
                <w:b w:val="0"/>
                <w:i w:val="0"/>
                <w:color w:val="262B35"/>
                <w:sz w:val="16"/>
              </w:rPr>
              <w:t>Hq</w:t>
            </w:r>
          </w:p>
        </w:tc>
        <w:tc>
          <w:tcPr>
            <w:tcW w:type="dxa" w:w="4603"/>
          </w:tcPr>
          <w:p>
            <w:pPr>
              <w:spacing w:after="0"/>
              <w:jc w:val="left"/>
            </w:pPr>
            <w:r/>
            <w:r>
              <w:rPr>
                <w:rFonts w:ascii="Georgia" w:hAnsi="Georgia"/>
                <w:b w:val="0"/>
                <w:i w:val="0"/>
                <w:color w:val="262B35"/>
                <w:sz w:val="16"/>
              </w:rPr>
              <w:t>San Francisco (+46 offices)</w:t>
            </w:r>
          </w:p>
        </w:tc>
        <w:tc>
          <w:tcPr>
            <w:tcW w:type="dxa" w:w="3605"/>
          </w:tcPr>
          <w:p>
            <w:pPr>
              <w:spacing w:after="0"/>
              <w:jc w:val="left"/>
            </w:pPr>
            <w:r/>
            <w:r>
              <w:rPr>
                <w:rFonts w:ascii="Georgia" w:hAnsi="Georgia"/>
                <w:b w:val="0"/>
                <w:i w:val="0"/>
                <w:color w:val="262B35"/>
                <w:sz w:val="16"/>
              </w:rPr>
              <w:t>PitchBook, 2026-06-09 (T2)</w:t>
            </w:r>
          </w:p>
        </w:tc>
      </w:tr>
      <w:tr>
        <w:trPr>
          <w:cantSplit/>
        </w:trPr>
        <w:tc>
          <w:tcPr>
            <w:tcW w:type="dxa" w:w="1150"/>
            <w:shd w:val="clear" w:fill="F2F5F9"/>
          </w:tcPr>
          <w:p>
            <w:pPr>
              <w:spacing w:after="0"/>
              <w:jc w:val="left"/>
            </w:pPr>
            <w:r/>
            <w:r>
              <w:rPr>
                <w:rFonts w:ascii="Georgia" w:hAnsi="Georgia"/>
                <w:b w:val="0"/>
                <w:i w:val="0"/>
                <w:color w:val="262B35"/>
                <w:sz w:val="16"/>
              </w:rPr>
              <w:t>Ceo</w:t>
            </w:r>
          </w:p>
        </w:tc>
        <w:tc>
          <w:tcPr>
            <w:tcW w:type="dxa" w:w="4603"/>
            <w:shd w:val="clear" w:fill="F2F5F9"/>
          </w:tcPr>
          <w:p>
            <w:pPr>
              <w:spacing w:after="0"/>
              <w:jc w:val="left"/>
            </w:pPr>
            <w:r/>
            <w:r>
              <w:rPr>
                <w:rFonts w:ascii="Georgia" w:hAnsi="Georgia"/>
                <w:b w:val="0"/>
                <w:i w:val="0"/>
                <w:color w:val="262B35"/>
                <w:sz w:val="16"/>
              </w:rPr>
              <w:t>Ali Ghodsi</w:t>
            </w:r>
          </w:p>
        </w:tc>
        <w:tc>
          <w:tcPr>
            <w:tcW w:type="dxa" w:w="3605"/>
            <w:shd w:val="clear" w:fill="F2F5F9"/>
          </w:tcPr>
          <w:p>
            <w:pPr>
              <w:spacing w:after="0"/>
              <w:jc w:val="left"/>
            </w:pPr>
            <w:r/>
            <w:r>
              <w:rPr>
                <w:rFonts w:ascii="Georgia" w:hAnsi="Georgia"/>
                <w:b w:val="0"/>
                <w:i w:val="0"/>
                <w:color w:val="262B35"/>
                <w:sz w:val="16"/>
              </w:rPr>
              <w:t>validation pack, July 10, 2026, 2026-07-10 (T2)</w:t>
            </w:r>
          </w:p>
        </w:tc>
      </w:tr>
      <w:tr>
        <w:trPr>
          <w:cantSplit/>
        </w:trPr>
        <w:tc>
          <w:tcPr>
            <w:tcW w:type="dxa" w:w="1150"/>
          </w:tcPr>
          <w:p>
            <w:pPr>
              <w:spacing w:after="0"/>
              <w:jc w:val="left"/>
            </w:pPr>
            <w:r/>
            <w:r>
              <w:rPr>
                <w:rFonts w:ascii="Georgia" w:hAnsi="Georgia"/>
                <w:b w:val="0"/>
                <w:i w:val="0"/>
                <w:color w:val="262B35"/>
                <w:sz w:val="16"/>
              </w:rPr>
              <w:t>Sector</w:t>
            </w:r>
          </w:p>
        </w:tc>
        <w:tc>
          <w:tcPr>
            <w:tcW w:type="dxa" w:w="4603"/>
          </w:tcPr>
          <w:p>
            <w:pPr>
              <w:spacing w:after="0"/>
              <w:jc w:val="left"/>
            </w:pPr>
            <w:r/>
            <w:r>
              <w:rPr>
                <w:rFonts w:ascii="Georgia" w:hAnsi="Georgia"/>
                <w:b w:val="0"/>
                <w:i w:val="0"/>
                <w:color w:val="262B35"/>
                <w:sz w:val="16"/>
              </w:rPr>
              <w:t>AI-PLAT (lakehouse / data + AI platform)</w:t>
            </w:r>
          </w:p>
        </w:tc>
        <w:tc>
          <w:tcPr>
            <w:tcW w:type="dxa" w:w="3605"/>
          </w:tcPr>
          <w:p>
            <w:pPr>
              <w:spacing w:after="0"/>
              <w:jc w:val="left"/>
            </w:pPr>
            <w:r/>
            <w:r>
              <w:rPr>
                <w:rFonts w:ascii="Georgia" w:hAnsi="Georgia"/>
                <w:b w:val="0"/>
                <w:i w:val="0"/>
                <w:color w:val="262B35"/>
                <w:sz w:val="16"/>
              </w:rPr>
              <w:t>validation pack, July 10, 2026, 2026-07-10 (T2)</w:t>
            </w:r>
          </w:p>
        </w:tc>
      </w:tr>
      <w:tr>
        <w:trPr>
          <w:cantSplit/>
        </w:trPr>
        <w:tc>
          <w:tcPr>
            <w:tcW w:type="dxa" w:w="1150"/>
            <w:shd w:val="clear" w:fill="F2F5F9"/>
          </w:tcPr>
          <w:p>
            <w:pPr>
              <w:spacing w:after="0"/>
              <w:jc w:val="left"/>
            </w:pPr>
            <w:r/>
            <w:r>
              <w:rPr>
                <w:rFonts w:ascii="Georgia" w:hAnsi="Georgia"/>
                <w:b w:val="0"/>
                <w:i w:val="0"/>
                <w:color w:val="262B35"/>
                <w:sz w:val="16"/>
              </w:rPr>
              <w:t>Founded</w:t>
            </w:r>
          </w:p>
        </w:tc>
        <w:tc>
          <w:tcPr>
            <w:tcW w:type="dxa" w:w="4603"/>
            <w:shd w:val="clear" w:fill="F2F5F9"/>
          </w:tcPr>
          <w:p>
            <w:pPr>
              <w:spacing w:after="0"/>
              <w:jc w:val="left"/>
            </w:pPr>
            <w:r/>
            <w:r>
              <w:rPr>
                <w:rFonts w:ascii="Georgia" w:hAnsi="Georgia"/>
                <w:b w:val="0"/>
                <w:i w:val="0"/>
                <w:color w:val="262B35"/>
                <w:sz w:val="16"/>
              </w:rPr>
              <w:t>2013</w:t>
            </w:r>
          </w:p>
        </w:tc>
        <w:tc>
          <w:tcPr>
            <w:tcW w:type="dxa" w:w="3605"/>
            <w:shd w:val="clear" w:fill="F2F5F9"/>
          </w:tcPr>
          <w:p>
            <w:pPr>
              <w:spacing w:after="0"/>
              <w:jc w:val="left"/>
            </w:pPr>
            <w:r/>
            <w:r>
              <w:rPr>
                <w:rFonts w:ascii="Georgia" w:hAnsi="Georgia"/>
                <w:b w:val="0"/>
                <w:i w:val="0"/>
                <w:color w:val="262B35"/>
                <w:sz w:val="16"/>
              </w:rPr>
              <w:t>PitchBook profile, 2026-08-10 (T2)</w:t>
            </w:r>
          </w:p>
        </w:tc>
      </w:tr>
      <w:tr>
        <w:trPr>
          <w:cantSplit/>
        </w:trPr>
        <w:tc>
          <w:tcPr>
            <w:tcW w:type="dxa" w:w="1150"/>
          </w:tcPr>
          <w:p>
            <w:pPr>
              <w:spacing w:after="0"/>
              <w:jc w:val="left"/>
            </w:pPr>
            <w:r/>
            <w:r>
              <w:rPr>
                <w:rFonts w:ascii="Georgia" w:hAnsi="Georgia"/>
                <w:b w:val="0"/>
                <w:i w:val="0"/>
                <w:color w:val="262B35"/>
                <w:sz w:val="16"/>
              </w:rPr>
              <w:t>Business status</w:t>
            </w:r>
          </w:p>
        </w:tc>
        <w:tc>
          <w:tcPr>
            <w:tcW w:type="dxa" w:w="4603"/>
          </w:tcPr>
          <w:p>
            <w:pPr>
              <w:spacing w:after="0"/>
              <w:jc w:val="left"/>
            </w:pPr>
            <w:r/>
            <w:r>
              <w:rPr>
                <w:rFonts w:ascii="Georgia" w:hAnsi="Georgia"/>
                <w:b w:val="0"/>
                <w:i w:val="0"/>
                <w:color w:val="262B35"/>
                <w:sz w:val="16"/>
              </w:rPr>
              <w:t>Generating Revenue; Privately Held (backing); Venture Capital-Backed</w:t>
            </w:r>
          </w:p>
        </w:tc>
        <w:tc>
          <w:tcPr>
            <w:tcW w:type="dxa" w:w="3605"/>
          </w:tcPr>
          <w:p>
            <w:pPr>
              <w:spacing w:after="0"/>
              <w:jc w:val="left"/>
            </w:pPr>
            <w:r/>
            <w:r>
              <w:rPr>
                <w:rFonts w:ascii="Georgia" w:hAnsi="Georgia"/>
                <w:b w:val="0"/>
                <w:i w:val="0"/>
                <w:color w:val="262B35"/>
                <w:sz w:val="16"/>
              </w:rPr>
              <w:t>PitchBook profile, 2026-08-10 (T2)</w:t>
            </w:r>
          </w:p>
        </w:tc>
      </w:tr>
    </w:tbl>
    <w:p>
      <w:pPr>
        <w:spacing w:after="80"/>
        <w:jc w:val="both"/>
      </w:pPr>
      <w:r>
        <w:rPr>
          <w:b w:val="0"/>
          <w:i w:val="0"/>
          <w:color w:val="262B35"/>
          <w:sz w:val="8"/>
        </w:rPr>
      </w:r>
    </w:p>
    <w:p>
      <w:pPr>
        <w:keepNext/>
        <w:spacing w:after="60"/>
        <w:jc w:val="left"/>
      </w:pPr>
      <w:r>
        <w:rPr>
          <w:b/>
          <w:i w:val="0"/>
          <w:color w:val="1F2A44"/>
          <w:sz w:val="19"/>
        </w:rPr>
        <w:t>Valuation &amp; Marks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770"/>
            <w:shd w:val="clear" w:fill="1F2A44"/>
          </w:tcPr>
          <w:p>
            <w:pPr>
              <w:spacing w:after="0"/>
              <w:jc w:val="left"/>
            </w:pPr>
            <w:r/>
            <w:r>
              <w:rPr>
                <w:rFonts w:ascii="Georgia" w:hAnsi="Georgia"/>
                <w:b/>
                <w:i w:val="0"/>
                <w:color w:val="FFFFFF"/>
                <w:sz w:val="17"/>
              </w:rPr>
              <w:t>Metric</w:t>
            </w:r>
          </w:p>
        </w:tc>
        <w:tc>
          <w:tcPr>
            <w:tcW w:type="dxa" w:w="3794"/>
            <w:shd w:val="clear" w:fill="1F2A44"/>
          </w:tcPr>
          <w:p>
            <w:pPr>
              <w:spacing w:after="0"/>
              <w:jc w:val="left"/>
            </w:pPr>
            <w:r/>
            <w:r>
              <w:rPr>
                <w:rFonts w:ascii="Georgia" w:hAnsi="Georgia"/>
                <w:b/>
                <w:i w:val="0"/>
                <w:color w:val="FFFFFF"/>
                <w:sz w:val="17"/>
              </w:rPr>
              <w:t>Value</w:t>
            </w:r>
          </w:p>
        </w:tc>
        <w:tc>
          <w:tcPr>
            <w:tcW w:type="dxa" w:w="3794"/>
            <w:shd w:val="clear" w:fill="1F2A44"/>
          </w:tcPr>
          <w:p>
            <w:pPr>
              <w:spacing w:after="0"/>
              <w:jc w:val="left"/>
            </w:pPr>
            <w:r/>
            <w:r>
              <w:rPr>
                <w:rFonts w:ascii="Georgia" w:hAnsi="Georgia"/>
                <w:b/>
                <w:i w:val="0"/>
                <w:color w:val="FFFFFF"/>
                <w:sz w:val="17"/>
              </w:rPr>
              <w:t>Source, date (tier)</w:t>
            </w:r>
          </w:p>
        </w:tc>
      </w:tr>
      <w:tr>
        <w:trPr>
          <w:cantSplit/>
        </w:trPr>
        <w:tc>
          <w:tcPr>
            <w:tcW w:type="dxa" w:w="1770"/>
          </w:tcPr>
          <w:p>
            <w:pPr>
              <w:spacing w:after="0"/>
              <w:jc w:val="left"/>
            </w:pPr>
            <w:r/>
            <w:r>
              <w:rPr>
                <w:rFonts w:ascii="Georgia" w:hAnsi="Georgia"/>
                <w:b w:val="0"/>
                <w:i w:val="0"/>
                <w:color w:val="262B35"/>
                <w:sz w:val="16"/>
              </w:rPr>
              <w:t>Post money ($b)</w:t>
            </w:r>
          </w:p>
        </w:tc>
        <w:tc>
          <w:tcPr>
            <w:tcW w:type="dxa" w:w="3794"/>
          </w:tcPr>
          <w:p>
            <w:pPr>
              <w:spacing w:after="0"/>
              <w:jc w:val="left"/>
            </w:pPr>
            <w:r/>
            <w:r>
              <w:rPr>
                <w:rFonts w:ascii="Georgia" w:hAnsi="Georgia"/>
                <w:b w:val="0"/>
                <w:i w:val="0"/>
                <w:color w:val="262B35"/>
                <w:sz w:val="16"/>
              </w:rPr>
              <w:t>134</w:t>
            </w:r>
          </w:p>
        </w:tc>
        <w:tc>
          <w:tcPr>
            <w:tcW w:type="dxa" w:w="3794"/>
          </w:tcPr>
          <w:p>
            <w:pPr>
              <w:spacing w:after="0"/>
              <w:jc w:val="left"/>
            </w:pPr>
            <w:r/>
            <w:r>
              <w:rPr>
                <w:rFonts w:ascii="Georgia" w:hAnsi="Georgia"/>
                <w:b w:val="0"/>
                <w:i w:val="0"/>
                <w:color w:val="262B35"/>
                <w:sz w:val="16"/>
              </w:rPr>
              <w:t>Series L, company PR Dec 2025 + PitchBook deal 313367-68T, 2026-02-09 (T2)</w:t>
            </w:r>
          </w:p>
        </w:tc>
      </w:tr>
      <w:tr>
        <w:trPr>
          <w:cantSplit/>
        </w:trPr>
        <w:tc>
          <w:tcPr>
            <w:tcW w:type="dxa" w:w="1770"/>
            <w:shd w:val="clear" w:fill="F2F5F9"/>
          </w:tcPr>
          <w:p>
            <w:pPr>
              <w:spacing w:after="0"/>
              <w:jc w:val="left"/>
            </w:pPr>
            <w:r/>
            <w:r>
              <w:rPr>
                <w:rFonts w:ascii="Georgia" w:hAnsi="Georgia"/>
                <w:b w:val="0"/>
                <w:i w:val="0"/>
                <w:color w:val="262B35"/>
                <w:sz w:val="16"/>
              </w:rPr>
              <w:t>Rumored round</w:t>
            </w:r>
          </w:p>
        </w:tc>
        <w:tc>
          <w:tcPr>
            <w:tcW w:type="dxa" w:w="3794"/>
            <w:shd w:val="clear" w:fill="F2F5F9"/>
          </w:tcPr>
          <w:p>
            <w:pPr>
              <w:spacing w:after="0"/>
              <w:jc w:val="left"/>
            </w:pPr>
            <w:r/>
            <w:r>
              <w:rPr>
                <w:rFonts w:ascii="Georgia" w:hAnsi="Georgia"/>
                <w:b w:val="0"/>
                <w:i w:val="0"/>
                <w:color w:val="262B35"/>
                <w:sz w:val="16"/>
              </w:rPr>
              <w:t>Term sheet signed for a strategic round at $188B post, led by Coatue with new and existing investors; ~$3B size (press); company expects close later this summer; funds NOT in hand as of Aug 10</w:t>
            </w:r>
          </w:p>
        </w:tc>
        <w:tc>
          <w:tcPr>
            <w:tcW w:type="dxa" w:w="3794"/>
            <w:shd w:val="clear" w:fill="F2F5F9"/>
          </w:tcPr>
          <w:p>
            <w:pPr>
              <w:spacing w:after="0"/>
              <w:jc w:val="left"/>
            </w:pPr>
            <w:r/>
            <w:r>
              <w:rPr>
                <w:rFonts w:ascii="Georgia" w:hAnsi="Georgia"/>
                <w:b w:val="0"/>
                <w:i w:val="0"/>
                <w:color w:val="262B35"/>
                <w:sz w:val="16"/>
              </w:rPr>
              <w:t>company announcement Jul 17, 2026 + PitchBook financing note Aug 7, 2026 (deal 334745-56T, Announced/In Progress); size per press reports, 2026-08-10 (T2) [do-not-adopt]</w:t>
            </w:r>
          </w:p>
        </w:tc>
      </w:tr>
      <w:tr>
        <w:trPr>
          <w:cantSplit/>
        </w:trPr>
        <w:tc>
          <w:tcPr>
            <w:tcW w:type="dxa" w:w="1770"/>
          </w:tcPr>
          <w:p>
            <w:pPr>
              <w:spacing w:after="0"/>
              <w:jc w:val="left"/>
            </w:pPr>
            <w:r/>
            <w:r>
              <w:rPr>
                <w:rFonts w:ascii="Georgia" w:hAnsi="Georgia"/>
                <w:b w:val="0"/>
                <w:i w:val="0"/>
                <w:color w:val="262B35"/>
                <w:sz w:val="16"/>
              </w:rPr>
              <w:t>Pb last known valuation ($b)</w:t>
            </w:r>
          </w:p>
        </w:tc>
        <w:tc>
          <w:tcPr>
            <w:tcW w:type="dxa" w:w="3794"/>
          </w:tcPr>
          <w:p>
            <w:pPr>
              <w:spacing w:after="0"/>
              <w:jc w:val="left"/>
            </w:pPr>
            <w:r/>
            <w:r>
              <w:rPr>
                <w:rFonts w:ascii="Georgia" w:hAnsi="Georgia"/>
                <w:b w:val="0"/>
                <w:i w:val="0"/>
                <w:color w:val="262B35"/>
                <w:sz w:val="16"/>
              </w:rPr>
              <w:t>188</w:t>
            </w:r>
          </w:p>
        </w:tc>
        <w:tc>
          <w:tcPr>
            <w:tcW w:type="dxa" w:w="3794"/>
          </w:tcPr>
          <w:p>
            <w:pPr>
              <w:spacing w:after="0"/>
              <w:jc w:val="left"/>
            </w:pPr>
            <w:r/>
            <w:r>
              <w:rPr>
                <w:rFonts w:ascii="Georgia" w:hAnsi="Georgia"/>
                <w:b w:val="0"/>
                <w:i w:val="0"/>
                <w:color w:val="262B35"/>
                <w:sz w:val="16"/>
              </w:rPr>
              <w:t>PitchBook Last Known Valuation field, deal 334745-56T (Announced/In Progress), 2026-07-16 (T2) [do-not-adopt]</w:t>
            </w:r>
          </w:p>
        </w:tc>
      </w:tr>
      <w:tr>
        <w:trPr>
          <w:cantSplit/>
        </w:trPr>
        <w:tc>
          <w:tcPr>
            <w:tcW w:type="dxa" w:w="1770"/>
            <w:shd w:val="clear" w:fill="F2F5F9"/>
          </w:tcPr>
          <w:p>
            <w:pPr>
              <w:spacing w:after="0"/>
              <w:jc w:val="left"/>
            </w:pPr>
            <w:r/>
            <w:r>
              <w:rPr>
                <w:rFonts w:ascii="Georgia" w:hAnsi="Georgia"/>
                <w:b w:val="0"/>
                <w:i w:val="0"/>
                <w:color w:val="262B35"/>
                <w:sz w:val="16"/>
              </w:rPr>
              <w:t>Valuation ladder ($b)</w:t>
            </w:r>
          </w:p>
        </w:tc>
        <w:tc>
          <w:tcPr>
            <w:tcW w:type="dxa" w:w="3794"/>
            <w:shd w:val="clear" w:fill="F2F5F9"/>
          </w:tcPr>
          <w:p>
            <w:pPr>
              <w:spacing w:after="0"/>
              <w:jc w:val="left"/>
            </w:pPr>
            <w:r/>
            <w:r>
              <w:rPr>
                <w:rFonts w:ascii="Georgia" w:hAnsi="Georgia"/>
                <w:b w:val="0"/>
                <w:i w:val="0"/>
                <w:color w:val="262B35"/>
                <w:sz w:val="16"/>
              </w:rPr>
              <w:t>62</w:t>
            </w:r>
          </w:p>
        </w:tc>
        <w:tc>
          <w:tcPr>
            <w:tcW w:type="dxa" w:w="3794"/>
            <w:shd w:val="clear" w:fill="F2F5F9"/>
          </w:tcPr>
          <w:p>
            <w:pPr>
              <w:spacing w:after="0"/>
              <w:jc w:val="left"/>
            </w:pPr>
            <w:r/>
            <w:r>
              <w:rPr>
                <w:rFonts w:ascii="Georgia" w:hAnsi="Georgia"/>
                <w:b w:val="0"/>
                <w:i w:val="0"/>
                <w:color w:val="262B35"/>
                <w:sz w:val="16"/>
              </w:rPr>
              <w:t>press reports of the $10B round, 2024-12-15 (T3)</w:t>
            </w:r>
          </w:p>
        </w:tc>
      </w:tr>
      <w:tr>
        <w:trPr>
          <w:cantSplit/>
        </w:trPr>
        <w:tc>
          <w:tcPr>
            <w:tcW w:type="dxa" w:w="1770"/>
          </w:tcPr>
          <w:p>
            <w:pPr>
              <w:spacing w:after="0"/>
              <w:jc w:val="left"/>
            </w:pPr>
            <w:r/>
            <w:r>
              <w:rPr>
                <w:rFonts w:ascii="Georgia" w:hAnsi="Georgia"/>
                <w:b w:val="0"/>
                <w:i w:val="0"/>
                <w:color w:val="262B35"/>
                <w:sz w:val="16"/>
              </w:rPr>
              <w:t>Valuation ladder ($b)</w:t>
            </w:r>
          </w:p>
        </w:tc>
        <w:tc>
          <w:tcPr>
            <w:tcW w:type="dxa" w:w="3794"/>
          </w:tcPr>
          <w:p>
            <w:pPr>
              <w:spacing w:after="0"/>
              <w:jc w:val="left"/>
            </w:pPr>
            <w:r/>
            <w:r>
              <w:rPr>
                <w:rFonts w:ascii="Georgia" w:hAnsi="Georgia"/>
                <w:b w:val="0"/>
                <w:i w:val="0"/>
                <w:color w:val="262B35"/>
                <w:sz w:val="16"/>
              </w:rPr>
              <w:t>100</w:t>
            </w:r>
          </w:p>
        </w:tc>
        <w:tc>
          <w:tcPr>
            <w:tcW w:type="dxa" w:w="3794"/>
          </w:tcPr>
          <w:p>
            <w:pPr>
              <w:spacing w:after="0"/>
              <w:jc w:val="left"/>
            </w:pPr>
            <w:r/>
            <w:r>
              <w:rPr>
                <w:rFonts w:ascii="Georgia" w:hAnsi="Georgia"/>
                <w:b w:val="0"/>
                <w:i w:val="0"/>
                <w:color w:val="262B35"/>
                <w:sz w:val="16"/>
              </w:rPr>
              <w:t>press reports of the $1B round, 2025-09-30 (T3)</w:t>
            </w:r>
          </w:p>
        </w:tc>
      </w:tr>
      <w:tr>
        <w:trPr>
          <w:cantSplit/>
        </w:trPr>
        <w:tc>
          <w:tcPr>
            <w:tcW w:type="dxa" w:w="1770"/>
            <w:shd w:val="clear" w:fill="F2F5F9"/>
          </w:tcPr>
          <w:p>
            <w:pPr>
              <w:spacing w:after="0"/>
              <w:jc w:val="left"/>
            </w:pPr>
            <w:r/>
            <w:r>
              <w:rPr>
                <w:rFonts w:ascii="Georgia" w:hAnsi="Georgia"/>
                <w:b w:val="0"/>
                <w:i w:val="0"/>
                <w:color w:val="262B35"/>
                <w:sz w:val="16"/>
              </w:rPr>
              <w:t>Valuation ladder ($b)</w:t>
            </w:r>
          </w:p>
        </w:tc>
        <w:tc>
          <w:tcPr>
            <w:tcW w:type="dxa" w:w="3794"/>
            <w:shd w:val="clear" w:fill="F2F5F9"/>
          </w:tcPr>
          <w:p>
            <w:pPr>
              <w:spacing w:after="0"/>
              <w:jc w:val="left"/>
            </w:pPr>
            <w:r/>
            <w:r>
              <w:rPr>
                <w:rFonts w:ascii="Georgia" w:hAnsi="Georgia"/>
                <w:b w:val="0"/>
                <w:i w:val="0"/>
                <w:color w:val="262B35"/>
                <w:sz w:val="16"/>
              </w:rPr>
              <w:t>134</w:t>
            </w:r>
          </w:p>
        </w:tc>
        <w:tc>
          <w:tcPr>
            <w:tcW w:type="dxa" w:w="3794"/>
            <w:shd w:val="clear" w:fill="F2F5F9"/>
          </w:tcPr>
          <w:p>
            <w:pPr>
              <w:spacing w:after="0"/>
              <w:jc w:val="left"/>
            </w:pPr>
            <w:r/>
            <w:r>
              <w:rPr>
                <w:rFonts w:ascii="Georgia" w:hAnsi="Georgia"/>
                <w:b w:val="0"/>
                <w:i w:val="0"/>
                <w:color w:val="262B35"/>
                <w:sz w:val="16"/>
              </w:rPr>
              <w:t>company PR + PitchBook deal 313367-68T, 2026-02-09 (T2)</w:t>
            </w:r>
          </w:p>
        </w:tc>
      </w:tr>
    </w:tbl>
    <w:p>
      <w:pPr>
        <w:spacing w:after="80"/>
        <w:jc w:val="both"/>
      </w:pPr>
      <w:r>
        <w:rPr>
          <w:b w:val="0"/>
          <w:i w:val="0"/>
          <w:color w:val="262B35"/>
          <w:sz w:val="8"/>
        </w:rPr>
      </w:r>
    </w:p>
    <w:p>
      <w:pPr>
        <w:keepNext/>
        <w:spacing w:after="60"/>
        <w:jc w:val="left"/>
      </w:pPr>
      <w:r>
        <w:rPr>
          <w:b/>
          <w:i w:val="0"/>
          <w:color w:val="1F2A44"/>
          <w:sz w:val="19"/>
        </w:rPr>
        <w:t>Capital Raised &amp; Deals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666"/>
            <w:shd w:val="clear" w:fill="1F2A44"/>
          </w:tcPr>
          <w:p>
            <w:pPr>
              <w:spacing w:after="0"/>
              <w:jc w:val="left"/>
            </w:pPr>
            <w:r/>
            <w:r>
              <w:rPr>
                <w:rFonts w:ascii="Georgia" w:hAnsi="Georgia"/>
                <w:b/>
                <w:i w:val="0"/>
                <w:color w:val="FFFFFF"/>
                <w:sz w:val="17"/>
              </w:rPr>
              <w:t>Metric</w:t>
            </w:r>
          </w:p>
        </w:tc>
        <w:tc>
          <w:tcPr>
            <w:tcW w:type="dxa" w:w="3846"/>
            <w:shd w:val="clear" w:fill="1F2A44"/>
          </w:tcPr>
          <w:p>
            <w:pPr>
              <w:spacing w:after="0"/>
              <w:jc w:val="left"/>
            </w:pPr>
            <w:r/>
            <w:r>
              <w:rPr>
                <w:rFonts w:ascii="Georgia" w:hAnsi="Georgia"/>
                <w:b/>
                <w:i w:val="0"/>
                <w:color w:val="FFFFFF"/>
                <w:sz w:val="17"/>
              </w:rPr>
              <w:t>Value</w:t>
            </w:r>
          </w:p>
        </w:tc>
        <w:tc>
          <w:tcPr>
            <w:tcW w:type="dxa" w:w="3846"/>
            <w:shd w:val="clear" w:fill="1F2A44"/>
          </w:tcPr>
          <w:p>
            <w:pPr>
              <w:spacing w:after="0"/>
              <w:jc w:val="left"/>
            </w:pPr>
            <w:r/>
            <w:r>
              <w:rPr>
                <w:rFonts w:ascii="Georgia" w:hAnsi="Georgia"/>
                <w:b/>
                <w:i w:val="0"/>
                <w:color w:val="FFFFFF"/>
                <w:sz w:val="17"/>
              </w:rPr>
              <w:t>Source, date (tier)</w:t>
            </w:r>
          </w:p>
        </w:tc>
      </w:tr>
      <w:tr>
        <w:trPr>
          <w:cantSplit/>
        </w:trPr>
        <w:tc>
          <w:tcPr>
            <w:tcW w:type="dxa" w:w="1666"/>
          </w:tcPr>
          <w:p>
            <w:pPr>
              <w:spacing w:after="0"/>
              <w:jc w:val="left"/>
            </w:pPr>
            <w:r/>
            <w:r>
              <w:rPr>
                <w:rFonts w:ascii="Georgia" w:hAnsi="Georgia"/>
                <w:b w:val="0"/>
                <w:i w:val="0"/>
                <w:color w:val="262B35"/>
                <w:sz w:val="16"/>
              </w:rPr>
              <w:t>Total raised ($b)</w:t>
            </w:r>
          </w:p>
        </w:tc>
        <w:tc>
          <w:tcPr>
            <w:tcW w:type="dxa" w:w="3846"/>
          </w:tcPr>
          <w:p>
            <w:pPr>
              <w:spacing w:after="0"/>
              <w:jc w:val="left"/>
            </w:pPr>
            <w:r/>
            <w:r>
              <w:rPr>
                <w:rFonts w:ascii="Georgia" w:hAnsi="Georgia"/>
                <w:b w:val="0"/>
                <w:i w:val="0"/>
                <w:color w:val="262B35"/>
                <w:sz w:val="16"/>
              </w:rPr>
              <w:t>29.5</w:t>
            </w:r>
          </w:p>
        </w:tc>
        <w:tc>
          <w:tcPr>
            <w:tcW w:type="dxa" w:w="3846"/>
          </w:tcPr>
          <w:p>
            <w:pPr>
              <w:spacing w:after="0"/>
              <w:jc w:val="left"/>
            </w:pPr>
            <w:r/>
            <w:r>
              <w:rPr>
                <w:rFonts w:ascii="Georgia" w:hAnsi="Georgia"/>
                <w:b w:val="0"/>
                <w:i w:val="0"/>
                <w:color w:val="262B35"/>
                <w:sz w:val="16"/>
              </w:rPr>
              <w:t>PitchBook Total Raised $29,515.7M, 21 tracked deals, 2026-07-10 (T2)</w:t>
            </w:r>
          </w:p>
        </w:tc>
      </w:tr>
      <w:tr>
        <w:trPr>
          <w:cantSplit/>
        </w:trPr>
        <w:tc>
          <w:tcPr>
            <w:tcW w:type="dxa" w:w="1666"/>
            <w:shd w:val="clear" w:fill="F2F5F9"/>
          </w:tcPr>
          <w:p>
            <w:pPr>
              <w:spacing w:after="0"/>
              <w:jc w:val="left"/>
            </w:pPr>
            <w:r/>
            <w:r>
              <w:rPr>
                <w:rFonts w:ascii="Georgia" w:hAnsi="Georgia"/>
                <w:b w:val="0"/>
                <w:i w:val="0"/>
                <w:color w:val="262B35"/>
                <w:sz w:val="16"/>
              </w:rPr>
              <w:t>Equity raised ($b)</w:t>
            </w:r>
          </w:p>
        </w:tc>
        <w:tc>
          <w:tcPr>
            <w:tcW w:type="dxa" w:w="3846"/>
            <w:shd w:val="clear" w:fill="F2F5F9"/>
          </w:tcPr>
          <w:p>
            <w:pPr>
              <w:spacing w:after="0"/>
              <w:jc w:val="left"/>
            </w:pPr>
            <w:r/>
            <w:r>
              <w:rPr>
                <w:rFonts w:ascii="Georgia" w:hAnsi="Georgia"/>
                <w:b w:val="0"/>
                <w:i w:val="0"/>
                <w:color w:val="262B35"/>
                <w:sz w:val="16"/>
              </w:rPr>
              <w:t>~20.2 (est.)</w:t>
            </w:r>
          </w:p>
        </w:tc>
        <w:tc>
          <w:tcPr>
            <w:tcW w:type="dxa" w:w="3846"/>
            <w:shd w:val="clear" w:fill="F2F5F9"/>
          </w:tcPr>
          <w:p>
            <w:pPr>
              <w:spacing w:after="0"/>
              <w:jc w:val="left"/>
            </w:pPr>
            <w:r/>
            <w:r>
              <w:rPr>
                <w:rFonts w:ascii="Georgia" w:hAnsi="Georgia"/>
                <w:b w:val="0"/>
                <w:i w:val="0"/>
                <w:color w:val="262B35"/>
                <w:sz w:val="16"/>
              </w:rPr>
              <w:t>PitchBook 21-deal decomposition, 12 completed equity rounds A-L, 2026-07-10 (T2) [est.]</w:t>
            </w:r>
          </w:p>
        </w:tc>
      </w:tr>
      <w:tr>
        <w:trPr>
          <w:cantSplit/>
        </w:trPr>
        <w:tc>
          <w:tcPr>
            <w:tcW w:type="dxa" w:w="1666"/>
          </w:tcPr>
          <w:p>
            <w:pPr>
              <w:spacing w:after="0"/>
              <w:jc w:val="left"/>
            </w:pPr>
            <w:r/>
            <w:r>
              <w:rPr>
                <w:rFonts w:ascii="Georgia" w:hAnsi="Georgia"/>
                <w:b w:val="0"/>
                <w:i w:val="0"/>
                <w:color w:val="262B35"/>
                <w:sz w:val="16"/>
              </w:rPr>
              <w:t>Debt raised ($b)</w:t>
            </w:r>
          </w:p>
        </w:tc>
        <w:tc>
          <w:tcPr>
            <w:tcW w:type="dxa" w:w="3846"/>
          </w:tcPr>
          <w:p>
            <w:pPr>
              <w:spacing w:after="0"/>
              <w:jc w:val="left"/>
            </w:pPr>
            <w:r/>
            <w:r>
              <w:rPr>
                <w:rFonts w:ascii="Georgia" w:hAnsi="Georgia"/>
                <w:b w:val="0"/>
                <w:i w:val="0"/>
                <w:color w:val="262B35"/>
                <w:sz w:val="16"/>
              </w:rPr>
              <w:t>~9.3 (est.)</w:t>
            </w:r>
          </w:p>
        </w:tc>
        <w:tc>
          <w:tcPr>
            <w:tcW w:type="dxa" w:w="3846"/>
          </w:tcPr>
          <w:p>
            <w:pPr>
              <w:spacing w:after="0"/>
              <w:jc w:val="left"/>
            </w:pPr>
            <w:r/>
            <w:r>
              <w:rPr>
                <w:rFonts w:ascii="Georgia" w:hAnsi="Georgia"/>
                <w:b w:val="0"/>
                <w:i w:val="0"/>
                <w:color w:val="262B35"/>
                <w:sz w:val="16"/>
              </w:rPr>
              <w:t>PitchBook deal records: 4 debt deals + embedded, 2026-07-10 (T2) [est.]</w:t>
            </w:r>
          </w:p>
        </w:tc>
      </w:tr>
      <w:tr>
        <w:trPr>
          <w:cantSplit/>
        </w:trPr>
        <w:tc>
          <w:tcPr>
            <w:tcW w:type="dxa" w:w="1666"/>
            <w:shd w:val="clear" w:fill="F2F5F9"/>
          </w:tcPr>
          <w:p>
            <w:pPr>
              <w:spacing w:after="0"/>
              <w:jc w:val="left"/>
            </w:pPr>
            <w:r/>
            <w:r>
              <w:rPr>
                <w:rFonts w:ascii="Georgia" w:hAnsi="Georgia"/>
                <w:b w:val="0"/>
                <w:i w:val="0"/>
                <w:color w:val="262B35"/>
                <w:sz w:val="16"/>
              </w:rPr>
              <w:t>Last completed deal</w:t>
            </w:r>
          </w:p>
        </w:tc>
        <w:tc>
          <w:tcPr>
            <w:tcW w:type="dxa" w:w="3846"/>
            <w:shd w:val="clear" w:fill="F2F5F9"/>
          </w:tcPr>
          <w:p>
            <w:pPr>
              <w:spacing w:after="0"/>
              <w:jc w:val="left"/>
            </w:pPr>
            <w:r/>
            <w:r>
              <w:rPr>
                <w:rFonts w:ascii="Georgia" w:hAnsi="Georgia"/>
                <w:b w:val="0"/>
                <w:i w:val="0"/>
                <w:color w:val="262B35"/>
                <w:sz w:val="16"/>
              </w:rPr>
              <w:t>Series L $7.0B ($5.0B equity led by Insight/JPM Growth/Fidelity + Microsoft and ~44 others, $2.0B debt)</w:t>
            </w:r>
          </w:p>
        </w:tc>
        <w:tc>
          <w:tcPr>
            <w:tcW w:type="dxa" w:w="3846"/>
            <w:shd w:val="clear" w:fill="F2F5F9"/>
          </w:tcPr>
          <w:p>
            <w:pPr>
              <w:spacing w:after="0"/>
              <w:jc w:val="left"/>
            </w:pPr>
            <w:r/>
            <w:r>
              <w:rPr>
                <w:rFonts w:ascii="Georgia" w:hAnsi="Georgia"/>
                <w:b w:val="0"/>
                <w:i w:val="0"/>
                <w:color w:val="262B35"/>
                <w:sz w:val="16"/>
              </w:rPr>
              <w:t>PitchBook deal 313367-68T + company PR, 2026-02-09 (T2)</w:t>
            </w:r>
          </w:p>
        </w:tc>
      </w:tr>
      <w:tr>
        <w:trPr>
          <w:cantSplit/>
        </w:trPr>
        <w:tc>
          <w:tcPr>
            <w:tcW w:type="dxa" w:w="1666"/>
          </w:tcPr>
          <w:p>
            <w:pPr>
              <w:spacing w:after="0"/>
              <w:jc w:val="left"/>
            </w:pPr>
            <w:r/>
            <w:r>
              <w:rPr>
                <w:rFonts w:ascii="Georgia" w:hAnsi="Georgia"/>
                <w:b w:val="0"/>
                <w:i w:val="0"/>
                <w:color w:val="262B35"/>
                <w:sz w:val="16"/>
              </w:rPr>
              <w:t>Active investors</w:t>
            </w:r>
          </w:p>
        </w:tc>
        <w:tc>
          <w:tcPr>
            <w:tcW w:type="dxa" w:w="3846"/>
          </w:tcPr>
          <w:p>
            <w:pPr>
              <w:spacing w:after="0"/>
              <w:jc w:val="left"/>
            </w:pPr>
            <w:r/>
            <w:r>
              <w:rPr>
                <w:rFonts w:ascii="Georgia" w:hAnsi="Georgia"/>
                <w:b w:val="0"/>
                <w:i w:val="0"/>
                <w:color w:val="262B35"/>
                <w:sz w:val="16"/>
              </w:rPr>
              <w:t>152</w:t>
            </w:r>
          </w:p>
        </w:tc>
        <w:tc>
          <w:tcPr>
            <w:tcW w:type="dxa" w:w="3846"/>
          </w:tcPr>
          <w:p>
            <w:pPr>
              <w:spacing w:after="0"/>
              <w:jc w:val="left"/>
            </w:pPr>
            <w:r/>
            <w:r>
              <w:rPr>
                <w:rFonts w:ascii="Georgia" w:hAnsi="Georgia"/>
                <w:b w:val="0"/>
                <w:i w:val="0"/>
                <w:color w:val="262B35"/>
                <w:sz w:val="16"/>
              </w:rPr>
              <w:t>PitchBook profile, 2026-08-10 (T2)</w:t>
            </w:r>
          </w:p>
        </w:tc>
      </w:tr>
      <w:tr>
        <w:trPr>
          <w:cantSplit/>
        </w:trPr>
        <w:tc>
          <w:tcPr>
            <w:tcW w:type="dxa" w:w="1666"/>
            <w:shd w:val="clear" w:fill="F2F5F9"/>
          </w:tcPr>
          <w:p>
            <w:pPr>
              <w:spacing w:after="0"/>
              <w:jc w:val="left"/>
            </w:pPr>
            <w:r/>
            <w:r>
              <w:rPr>
                <w:rFonts w:ascii="Georgia" w:hAnsi="Georgia"/>
                <w:b w:val="0"/>
                <w:i w:val="0"/>
                <w:color w:val="262B35"/>
                <w:sz w:val="16"/>
              </w:rPr>
              <w:t>Series l pre money ($b)</w:t>
            </w:r>
          </w:p>
        </w:tc>
        <w:tc>
          <w:tcPr>
            <w:tcW w:type="dxa" w:w="3846"/>
            <w:shd w:val="clear" w:fill="F2F5F9"/>
          </w:tcPr>
          <w:p>
            <w:pPr>
              <w:spacing w:after="0"/>
              <w:jc w:val="left"/>
            </w:pPr>
            <w:r/>
            <w:r>
              <w:rPr>
                <w:rFonts w:ascii="Georgia" w:hAnsi="Georgia"/>
                <w:b w:val="0"/>
                <w:i w:val="0"/>
                <w:color w:val="262B35"/>
                <w:sz w:val="16"/>
              </w:rPr>
              <w:t>129</w:t>
            </w:r>
          </w:p>
        </w:tc>
        <w:tc>
          <w:tcPr>
            <w:tcW w:type="dxa" w:w="3846"/>
            <w:shd w:val="clear" w:fill="F2F5F9"/>
          </w:tcPr>
          <w:p>
            <w:pPr>
              <w:spacing w:after="0"/>
              <w:jc w:val="left"/>
            </w:pPr>
            <w:r/>
            <w:r>
              <w:rPr>
                <w:rFonts w:ascii="Georgia" w:hAnsi="Georgia"/>
                <w:b w:val="0"/>
                <w:i w:val="0"/>
                <w:color w:val="262B35"/>
                <w:sz w:val="16"/>
              </w:rPr>
              <w:t>PitchBook financing note, 2026-08-07 (T2)</w:t>
            </w:r>
          </w:p>
        </w:tc>
      </w:tr>
      <w:tr>
        <w:trPr>
          <w:cantSplit/>
        </w:trPr>
        <w:tc>
          <w:tcPr>
            <w:tcW w:type="dxa" w:w="1666"/>
          </w:tcPr>
          <w:p>
            <w:pPr>
              <w:spacing w:after="0"/>
              <w:jc w:val="left"/>
            </w:pPr>
            <w:r/>
            <w:r>
              <w:rPr>
                <w:rFonts w:ascii="Georgia" w:hAnsi="Georgia"/>
                <w:b w:val="0"/>
                <w:i w:val="0"/>
                <w:color w:val="262B35"/>
                <w:sz w:val="16"/>
              </w:rPr>
              <w:t>Series l participants note</w:t>
            </w:r>
          </w:p>
        </w:tc>
        <w:tc>
          <w:tcPr>
            <w:tcW w:type="dxa" w:w="3846"/>
          </w:tcPr>
          <w:p>
            <w:pPr>
              <w:spacing w:after="0"/>
              <w:jc w:val="left"/>
            </w:pPr>
            <w:r/>
            <w:r>
              <w:rPr>
                <w:rFonts w:ascii="Georgia" w:hAnsi="Georgia"/>
                <w:b w:val="0"/>
                <w:i w:val="0"/>
                <w:color w:val="262B35"/>
                <w:sz w:val="16"/>
              </w:rPr>
              <w:t>Series L $5B equity led by Insight, J.P. Morgan Growth Equity, Fidelity; Microsoft + 48 other investors; $2B loan from undisclosed lenders</w:t>
            </w:r>
          </w:p>
        </w:tc>
        <w:tc>
          <w:tcPr>
            <w:tcW w:type="dxa" w:w="3846"/>
          </w:tcPr>
          <w:p>
            <w:pPr>
              <w:spacing w:after="0"/>
              <w:jc w:val="left"/>
            </w:pPr>
            <w:r/>
            <w:r>
              <w:rPr>
                <w:rFonts w:ascii="Georgia" w:hAnsi="Georgia"/>
                <w:b w:val="0"/>
                <w:i w:val="0"/>
                <w:color w:val="262B35"/>
                <w:sz w:val="16"/>
              </w:rPr>
              <w:t>PitchBook financing note, 2026-08-07 (T2)</w:t>
            </w:r>
          </w:p>
        </w:tc>
      </w:tr>
    </w:tbl>
    <w:p>
      <w:pPr>
        <w:spacing w:after="80"/>
        <w:jc w:val="both"/>
      </w:pPr>
      <w:r>
        <w:rPr>
          <w:b w:val="0"/>
          <w:i w:val="0"/>
          <w:color w:val="262B35"/>
          <w:sz w:val="8"/>
        </w:rPr>
      </w:r>
    </w:p>
    <w:p>
      <w:pPr>
        <w:keepNext/>
        <w:spacing w:after="60"/>
        <w:jc w:val="left"/>
      </w:pPr>
      <w:r>
        <w:rPr>
          <w:b/>
          <w:i w:val="0"/>
          <w:color w:val="1F2A44"/>
          <w:sz w:val="19"/>
        </w:rPr>
        <w:t>Financials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921"/>
            <w:shd w:val="clear" w:fill="1F2A44"/>
          </w:tcPr>
          <w:p>
            <w:pPr>
              <w:spacing w:after="0"/>
              <w:jc w:val="left"/>
            </w:pPr>
            <w:r/>
            <w:r>
              <w:rPr>
                <w:rFonts w:ascii="Georgia" w:hAnsi="Georgia"/>
                <w:b/>
                <w:i w:val="0"/>
                <w:color w:val="FFFFFF"/>
                <w:sz w:val="17"/>
              </w:rPr>
              <w:t>Metric</w:t>
            </w:r>
          </w:p>
        </w:tc>
        <w:tc>
          <w:tcPr>
            <w:tcW w:type="dxa" w:w="3719"/>
            <w:shd w:val="clear" w:fill="1F2A44"/>
          </w:tcPr>
          <w:p>
            <w:pPr>
              <w:spacing w:after="0"/>
              <w:jc w:val="left"/>
            </w:pPr>
            <w:r/>
            <w:r>
              <w:rPr>
                <w:rFonts w:ascii="Georgia" w:hAnsi="Georgia"/>
                <w:b/>
                <w:i w:val="0"/>
                <w:color w:val="FFFFFF"/>
                <w:sz w:val="17"/>
              </w:rPr>
              <w:t>Value</w:t>
            </w:r>
          </w:p>
        </w:tc>
        <w:tc>
          <w:tcPr>
            <w:tcW w:type="dxa" w:w="3719"/>
            <w:shd w:val="clear" w:fill="1F2A44"/>
          </w:tcPr>
          <w:p>
            <w:pPr>
              <w:spacing w:after="0"/>
              <w:jc w:val="left"/>
            </w:pPr>
            <w:r/>
            <w:r>
              <w:rPr>
                <w:rFonts w:ascii="Georgia" w:hAnsi="Georgia"/>
                <w:b/>
                <w:i w:val="0"/>
                <w:color w:val="FFFFFF"/>
                <w:sz w:val="17"/>
              </w:rPr>
              <w:t>Source, date (tier)</w:t>
            </w:r>
          </w:p>
        </w:tc>
      </w:tr>
      <w:tr>
        <w:trPr>
          <w:cantSplit/>
        </w:trPr>
        <w:tc>
          <w:tcPr>
            <w:tcW w:type="dxa" w:w="1921"/>
          </w:tcPr>
          <w:p>
            <w:pPr>
              <w:spacing w:after="0"/>
              <w:jc w:val="left"/>
            </w:pPr>
            <w:r/>
            <w:r>
              <w:rPr>
                <w:rFonts w:ascii="Georgia" w:hAnsi="Georgia"/>
                <w:b w:val="0"/>
                <w:i w:val="0"/>
                <w:color w:val="262B35"/>
                <w:sz w:val="16"/>
              </w:rPr>
              <w:t>Run-rate ladder ($B)</w:t>
            </w:r>
          </w:p>
        </w:tc>
        <w:tc>
          <w:tcPr>
            <w:tcW w:type="dxa" w:w="3719"/>
          </w:tcPr>
          <w:p>
            <w:pPr>
              <w:spacing w:after="0"/>
              <w:jc w:val="left"/>
            </w:pPr>
            <w:r/>
            <w:r>
              <w:rPr>
                <w:rFonts w:ascii="Georgia" w:hAnsi="Georgia"/>
                <w:b w:val="0"/>
                <w:i w:val="0"/>
                <w:color w:val="262B35"/>
                <w:sz w:val="16"/>
              </w:rPr>
              <w:t>4</w:t>
            </w:r>
          </w:p>
        </w:tc>
        <w:tc>
          <w:tcPr>
            <w:tcW w:type="dxa" w:w="3719"/>
          </w:tcPr>
          <w:p>
            <w:pPr>
              <w:spacing w:after="0"/>
              <w:jc w:val="left"/>
            </w:pPr>
            <w:r/>
            <w:r>
              <w:rPr>
                <w:rFonts w:ascii="Georgia" w:hAnsi="Georgia"/>
                <w:b w:val="0"/>
                <w:i w:val="0"/>
                <w:color w:val="262B35"/>
                <w:sz w:val="16"/>
              </w:rPr>
              <w:t>company PR, 2025-09-30 (T2)</w:t>
            </w:r>
          </w:p>
        </w:tc>
      </w:tr>
      <w:tr>
        <w:trPr>
          <w:cantSplit/>
        </w:trPr>
        <w:tc>
          <w:tcPr>
            <w:tcW w:type="dxa" w:w="1921"/>
            <w:shd w:val="clear" w:fill="F2F5F9"/>
          </w:tcPr>
          <w:p>
            <w:pPr>
              <w:spacing w:after="0"/>
              <w:jc w:val="left"/>
            </w:pPr>
            <w:r/>
            <w:r>
              <w:rPr>
                <w:rFonts w:ascii="Georgia" w:hAnsi="Georgia"/>
                <w:b w:val="0"/>
                <w:i w:val="0"/>
                <w:color w:val="262B35"/>
                <w:sz w:val="16"/>
              </w:rPr>
              <w:t>Run-rate ladder ($B)</w:t>
            </w:r>
          </w:p>
        </w:tc>
        <w:tc>
          <w:tcPr>
            <w:tcW w:type="dxa" w:w="3719"/>
            <w:shd w:val="clear" w:fill="F2F5F9"/>
          </w:tcPr>
          <w:p>
            <w:pPr>
              <w:spacing w:after="0"/>
              <w:jc w:val="left"/>
            </w:pPr>
            <w:r/>
            <w:r>
              <w:rPr>
                <w:rFonts w:ascii="Georgia" w:hAnsi="Georgia"/>
                <w:b w:val="0"/>
                <w:i w:val="0"/>
                <w:color w:val="262B35"/>
                <w:sz w:val="16"/>
              </w:rPr>
              <w:t>4.8</w:t>
            </w:r>
          </w:p>
        </w:tc>
        <w:tc>
          <w:tcPr>
            <w:tcW w:type="dxa" w:w="3719"/>
            <w:shd w:val="clear" w:fill="F2F5F9"/>
          </w:tcPr>
          <w:p>
            <w:pPr>
              <w:spacing w:after="0"/>
              <w:jc w:val="left"/>
            </w:pPr>
            <w:r/>
            <w:r>
              <w:rPr>
                <w:rFonts w:ascii="Georgia" w:hAnsi="Georgia"/>
                <w:b w:val="0"/>
                <w:i w:val="0"/>
                <w:color w:val="262B35"/>
                <w:sz w:val="16"/>
              </w:rPr>
              <w:t>company PR, 2025-12-31 (T2)</w:t>
            </w:r>
          </w:p>
        </w:tc>
      </w:tr>
      <w:tr>
        <w:trPr>
          <w:cantSplit/>
        </w:trPr>
        <w:tc>
          <w:tcPr>
            <w:tcW w:type="dxa" w:w="1921"/>
          </w:tcPr>
          <w:p>
            <w:pPr>
              <w:spacing w:after="0"/>
              <w:jc w:val="left"/>
            </w:pPr>
            <w:r/>
            <w:r>
              <w:rPr>
                <w:rFonts w:ascii="Georgia" w:hAnsi="Georgia"/>
                <w:b w:val="0"/>
                <w:i w:val="0"/>
                <w:color w:val="262B35"/>
                <w:sz w:val="16"/>
              </w:rPr>
              <w:t>Run-rate ladder ($B)</w:t>
            </w:r>
          </w:p>
        </w:tc>
        <w:tc>
          <w:tcPr>
            <w:tcW w:type="dxa" w:w="3719"/>
          </w:tcPr>
          <w:p>
            <w:pPr>
              <w:spacing w:after="0"/>
              <w:jc w:val="left"/>
            </w:pPr>
            <w:r/>
            <w:r>
              <w:rPr>
                <w:rFonts w:ascii="Georgia" w:hAnsi="Georgia"/>
                <w:b w:val="0"/>
                <w:i w:val="0"/>
                <w:color w:val="262B35"/>
                <w:sz w:val="16"/>
              </w:rPr>
              <w:t>5.4</w:t>
            </w:r>
          </w:p>
        </w:tc>
        <w:tc>
          <w:tcPr>
            <w:tcW w:type="dxa" w:w="3719"/>
          </w:tcPr>
          <w:p>
            <w:pPr>
              <w:spacing w:after="0"/>
              <w:jc w:val="left"/>
            </w:pPr>
            <w:r/>
            <w:r>
              <w:rPr>
                <w:rFonts w:ascii="Georgia" w:hAnsi="Georgia"/>
                <w:b w:val="0"/>
                <w:i w:val="0"/>
                <w:color w:val="262B35"/>
                <w:sz w:val="16"/>
              </w:rPr>
              <w:t>company PR, 2026-02-09 (T2)</w:t>
            </w:r>
          </w:p>
        </w:tc>
      </w:tr>
      <w:tr>
        <w:trPr>
          <w:cantSplit/>
        </w:trPr>
        <w:tc>
          <w:tcPr>
            <w:tcW w:type="dxa" w:w="1921"/>
            <w:shd w:val="clear" w:fill="F2F5F9"/>
          </w:tcPr>
          <w:p>
            <w:pPr>
              <w:spacing w:after="0"/>
              <w:jc w:val="left"/>
            </w:pPr>
            <w:r/>
            <w:r>
              <w:rPr>
                <w:rFonts w:ascii="Georgia" w:hAnsi="Georgia"/>
                <w:b w:val="0"/>
                <w:i w:val="0"/>
                <w:color w:val="262B35"/>
                <w:sz w:val="16"/>
              </w:rPr>
              <w:t>Run-rate ladder ($B)</w:t>
            </w:r>
          </w:p>
        </w:tc>
        <w:tc>
          <w:tcPr>
            <w:tcW w:type="dxa" w:w="3719"/>
            <w:shd w:val="clear" w:fill="F2F5F9"/>
          </w:tcPr>
          <w:p>
            <w:pPr>
              <w:spacing w:after="0"/>
              <w:jc w:val="left"/>
            </w:pPr>
            <w:r/>
            <w:r>
              <w:rPr>
                <w:rFonts w:ascii="Georgia" w:hAnsi="Georgia"/>
                <w:b w:val="0"/>
                <w:i w:val="0"/>
                <w:color w:val="262B35"/>
                <w:sz w:val="16"/>
              </w:rPr>
              <w:t>6.9</w:t>
            </w:r>
          </w:p>
        </w:tc>
        <w:tc>
          <w:tcPr>
            <w:tcW w:type="dxa" w:w="3719"/>
            <w:shd w:val="clear" w:fill="F2F5F9"/>
          </w:tcPr>
          <w:p>
            <w:pPr>
              <w:spacing w:after="0"/>
              <w:jc w:val="left"/>
            </w:pPr>
            <w:r/>
            <w:r>
              <w:rPr>
                <w:rFonts w:ascii="Georgia" w:hAnsi="Georgia"/>
                <w:b w:val="0"/>
                <w:i w:val="0"/>
                <w:color w:val="262B35"/>
                <w:sz w:val="16"/>
              </w:rPr>
              <w:t>company disclosure (analyst session), 2026-06-16 (T2)</w:t>
            </w:r>
          </w:p>
        </w:tc>
      </w:tr>
      <w:tr>
        <w:trPr>
          <w:cantSplit/>
        </w:trPr>
        <w:tc>
          <w:tcPr>
            <w:tcW w:type="dxa" w:w="1921"/>
          </w:tcPr>
          <w:p>
            <w:pPr>
              <w:spacing w:after="0"/>
              <w:jc w:val="left"/>
            </w:pPr>
            <w:r/>
            <w:r>
              <w:rPr>
                <w:rFonts w:ascii="Georgia" w:hAnsi="Georgia"/>
                <w:b w:val="0"/>
                <w:i w:val="0"/>
                <w:color w:val="262B35"/>
                <w:sz w:val="16"/>
              </w:rPr>
              <w:t>YoY growth ladder (%)</w:t>
            </w:r>
          </w:p>
        </w:tc>
        <w:tc>
          <w:tcPr>
            <w:tcW w:type="dxa" w:w="3719"/>
          </w:tcPr>
          <w:p>
            <w:pPr>
              <w:spacing w:after="0"/>
              <w:jc w:val="left"/>
            </w:pPr>
            <w:r/>
            <w:r>
              <w:rPr>
                <w:rFonts w:ascii="Georgia" w:hAnsi="Georgia"/>
                <w:b w:val="0"/>
                <w:i w:val="0"/>
                <w:color w:val="262B35"/>
                <w:sz w:val="16"/>
              </w:rPr>
              <w:t>50</w:t>
            </w:r>
          </w:p>
        </w:tc>
        <w:tc>
          <w:tcPr>
            <w:tcW w:type="dxa" w:w="3719"/>
          </w:tcPr>
          <w:p>
            <w:pPr>
              <w:spacing w:after="0"/>
              <w:jc w:val="left"/>
            </w:pPr>
            <w:r/>
            <w:r>
              <w:rPr>
                <w:rFonts w:ascii="Georgia" w:hAnsi="Georgia"/>
                <w:b w:val="0"/>
                <w:i w:val="0"/>
                <w:color w:val="262B35"/>
                <w:sz w:val="16"/>
              </w:rPr>
              <w:t>company PR, 2025-09-30 (T2)</w:t>
            </w:r>
          </w:p>
        </w:tc>
      </w:tr>
      <w:tr>
        <w:trPr>
          <w:cantSplit/>
        </w:trPr>
        <w:tc>
          <w:tcPr>
            <w:tcW w:type="dxa" w:w="1921"/>
            <w:shd w:val="clear" w:fill="F2F5F9"/>
          </w:tcPr>
          <w:p>
            <w:pPr>
              <w:spacing w:after="0"/>
              <w:jc w:val="left"/>
            </w:pPr>
            <w:r/>
            <w:r>
              <w:rPr>
                <w:rFonts w:ascii="Georgia" w:hAnsi="Georgia"/>
                <w:b w:val="0"/>
                <w:i w:val="0"/>
                <w:color w:val="262B35"/>
                <w:sz w:val="16"/>
              </w:rPr>
              <w:t>YoY growth ladder (%)</w:t>
            </w:r>
          </w:p>
        </w:tc>
        <w:tc>
          <w:tcPr>
            <w:tcW w:type="dxa" w:w="3719"/>
            <w:shd w:val="clear" w:fill="F2F5F9"/>
          </w:tcPr>
          <w:p>
            <w:pPr>
              <w:spacing w:after="0"/>
              <w:jc w:val="left"/>
            </w:pPr>
            <w:r/>
            <w:r>
              <w:rPr>
                <w:rFonts w:ascii="Georgia" w:hAnsi="Georgia"/>
                <w:b w:val="0"/>
                <w:i w:val="0"/>
                <w:color w:val="262B35"/>
                <w:sz w:val="16"/>
              </w:rPr>
              <w:t>55</w:t>
            </w:r>
          </w:p>
        </w:tc>
        <w:tc>
          <w:tcPr>
            <w:tcW w:type="dxa" w:w="3719"/>
            <w:shd w:val="clear" w:fill="F2F5F9"/>
          </w:tcPr>
          <w:p>
            <w:pPr>
              <w:spacing w:after="0"/>
              <w:jc w:val="left"/>
            </w:pPr>
            <w:r/>
            <w:r>
              <w:rPr>
                <w:rFonts w:ascii="Georgia" w:hAnsi="Georgia"/>
                <w:b w:val="0"/>
                <w:i w:val="0"/>
                <w:color w:val="262B35"/>
                <w:sz w:val="16"/>
              </w:rPr>
              <w:t>company PR, 2025-12-31 (T2)</w:t>
            </w:r>
          </w:p>
        </w:tc>
      </w:tr>
      <w:tr>
        <w:trPr>
          <w:cantSplit/>
        </w:trPr>
        <w:tc>
          <w:tcPr>
            <w:tcW w:type="dxa" w:w="1921"/>
          </w:tcPr>
          <w:p>
            <w:pPr>
              <w:spacing w:after="0"/>
              <w:jc w:val="left"/>
            </w:pPr>
            <w:r/>
            <w:r>
              <w:rPr>
                <w:rFonts w:ascii="Georgia" w:hAnsi="Georgia"/>
                <w:b w:val="0"/>
                <w:i w:val="0"/>
                <w:color w:val="262B35"/>
                <w:sz w:val="16"/>
              </w:rPr>
              <w:t>YoY growth ladder (%)</w:t>
            </w:r>
          </w:p>
        </w:tc>
        <w:tc>
          <w:tcPr>
            <w:tcW w:type="dxa" w:w="3719"/>
          </w:tcPr>
          <w:p>
            <w:pPr>
              <w:spacing w:after="0"/>
              <w:jc w:val="left"/>
            </w:pPr>
            <w:r/>
            <w:r>
              <w:rPr>
                <w:rFonts w:ascii="Georgia" w:hAnsi="Georgia"/>
                <w:b w:val="0"/>
                <w:i w:val="0"/>
                <w:color w:val="262B35"/>
                <w:sz w:val="16"/>
              </w:rPr>
              <w:t>65</w:t>
            </w:r>
          </w:p>
        </w:tc>
        <w:tc>
          <w:tcPr>
            <w:tcW w:type="dxa" w:w="3719"/>
          </w:tcPr>
          <w:p>
            <w:pPr>
              <w:spacing w:after="0"/>
              <w:jc w:val="left"/>
            </w:pPr>
            <w:r/>
            <w:r>
              <w:rPr>
                <w:rFonts w:ascii="Georgia" w:hAnsi="Georgia"/>
                <w:b w:val="0"/>
                <w:i w:val="0"/>
                <w:color w:val="262B35"/>
                <w:sz w:val="16"/>
              </w:rPr>
              <w:t>company PR, 2026-02-09 (T2)</w:t>
            </w:r>
          </w:p>
        </w:tc>
      </w:tr>
      <w:tr>
        <w:trPr>
          <w:cantSplit/>
        </w:trPr>
        <w:tc>
          <w:tcPr>
            <w:tcW w:type="dxa" w:w="1921"/>
            <w:shd w:val="clear" w:fill="F2F5F9"/>
          </w:tcPr>
          <w:p>
            <w:pPr>
              <w:spacing w:after="0"/>
              <w:jc w:val="left"/>
            </w:pPr>
            <w:r/>
            <w:r>
              <w:rPr>
                <w:rFonts w:ascii="Georgia" w:hAnsi="Georgia"/>
                <w:b w:val="0"/>
                <w:i w:val="0"/>
                <w:color w:val="262B35"/>
                <w:sz w:val="16"/>
              </w:rPr>
              <w:t>YoY growth ladder (%)</w:t>
            </w:r>
          </w:p>
        </w:tc>
        <w:tc>
          <w:tcPr>
            <w:tcW w:type="dxa" w:w="3719"/>
            <w:shd w:val="clear" w:fill="F2F5F9"/>
          </w:tcPr>
          <w:p>
            <w:pPr>
              <w:spacing w:after="0"/>
              <w:jc w:val="left"/>
            </w:pPr>
            <w:r/>
            <w:r>
              <w:rPr>
                <w:rFonts w:ascii="Georgia" w:hAnsi="Georgia"/>
                <w:b w:val="0"/>
                <w:i w:val="0"/>
                <w:color w:val="262B35"/>
                <w:sz w:val="16"/>
              </w:rPr>
              <w:t>80</w:t>
            </w:r>
          </w:p>
        </w:tc>
        <w:tc>
          <w:tcPr>
            <w:tcW w:type="dxa" w:w="3719"/>
            <w:shd w:val="clear" w:fill="F2F5F9"/>
          </w:tcPr>
          <w:p>
            <w:pPr>
              <w:spacing w:after="0"/>
              <w:jc w:val="left"/>
            </w:pPr>
            <w:r/>
            <w:r>
              <w:rPr>
                <w:rFonts w:ascii="Georgia" w:hAnsi="Georgia"/>
                <w:b w:val="0"/>
                <w:i w:val="0"/>
                <w:color w:val="262B35"/>
                <w:sz w:val="16"/>
              </w:rPr>
              <w:t>company disclosure, 2026-06-16 (T2)</w:t>
            </w:r>
          </w:p>
        </w:tc>
      </w:tr>
      <w:tr>
        <w:trPr>
          <w:cantSplit/>
        </w:trPr>
        <w:tc>
          <w:tcPr>
            <w:tcW w:type="dxa" w:w="1921"/>
          </w:tcPr>
          <w:p>
            <w:pPr>
              <w:spacing w:after="0"/>
              <w:jc w:val="left"/>
            </w:pPr>
            <w:r/>
            <w:r>
              <w:rPr>
                <w:rFonts w:ascii="Georgia" w:hAnsi="Georgia"/>
                <w:b w:val="0"/>
                <w:i w:val="0"/>
                <w:color w:val="262B35"/>
                <w:sz w:val="16"/>
              </w:rPr>
              <w:t>Gross margin ladder (%)</w:t>
            </w:r>
          </w:p>
        </w:tc>
        <w:tc>
          <w:tcPr>
            <w:tcW w:type="dxa" w:w="3719"/>
          </w:tcPr>
          <w:p>
            <w:pPr>
              <w:spacing w:after="0"/>
              <w:jc w:val="left"/>
            </w:pPr>
            <w:r/>
            <w:r>
              <w:rPr>
                <w:rFonts w:ascii="Georgia" w:hAnsi="Georgia"/>
                <w:b w:val="0"/>
                <w:i w:val="0"/>
                <w:color w:val="262B35"/>
                <w:sz w:val="16"/>
              </w:rPr>
              <w:t>~80 (est.)</w:t>
            </w:r>
          </w:p>
        </w:tc>
        <w:tc>
          <w:tcPr>
            <w:tcW w:type="dxa" w:w="3719"/>
          </w:tcPr>
          <w:p>
            <w:pPr>
              <w:spacing w:after="0"/>
              <w:jc w:val="left"/>
            </w:pPr>
            <w:r/>
            <w:r>
              <w:rPr>
                <w:rFonts w:ascii="Georgia" w:hAnsi="Georgia"/>
                <w:b w:val="0"/>
                <w:i w:val="0"/>
                <w:color w:val="262B35"/>
                <w:sz w:val="16"/>
              </w:rPr>
              <w:t>company (prior level, 'above 80%'), 2025-12-31 (T2) [est.]</w:t>
            </w:r>
          </w:p>
        </w:tc>
      </w:tr>
      <w:tr>
        <w:trPr>
          <w:cantSplit/>
        </w:trPr>
        <w:tc>
          <w:tcPr>
            <w:tcW w:type="dxa" w:w="1921"/>
            <w:shd w:val="clear" w:fill="F2F5F9"/>
          </w:tcPr>
          <w:p>
            <w:pPr>
              <w:spacing w:after="0"/>
              <w:jc w:val="left"/>
            </w:pPr>
            <w:r/>
            <w:r>
              <w:rPr>
                <w:rFonts w:ascii="Georgia" w:hAnsi="Georgia"/>
                <w:b w:val="0"/>
                <w:i w:val="0"/>
                <w:color w:val="262B35"/>
                <w:sz w:val="16"/>
              </w:rPr>
              <w:t>Gross margin ladder (%)</w:t>
            </w:r>
          </w:p>
        </w:tc>
        <w:tc>
          <w:tcPr>
            <w:tcW w:type="dxa" w:w="3719"/>
            <w:shd w:val="clear" w:fill="F2F5F9"/>
          </w:tcPr>
          <w:p>
            <w:pPr>
              <w:spacing w:after="0"/>
              <w:jc w:val="left"/>
            </w:pPr>
            <w:r/>
            <w:r>
              <w:rPr>
                <w:rFonts w:ascii="Georgia" w:hAnsi="Georgia"/>
                <w:b w:val="0"/>
                <w:i w:val="0"/>
                <w:color w:val="262B35"/>
                <w:sz w:val="16"/>
              </w:rPr>
              <w:t>74</w:t>
            </w:r>
          </w:p>
        </w:tc>
        <w:tc>
          <w:tcPr>
            <w:tcW w:type="dxa" w:w="3719"/>
            <w:shd w:val="clear" w:fill="F2F5F9"/>
          </w:tcPr>
          <w:p>
            <w:pPr>
              <w:spacing w:after="0"/>
              <w:jc w:val="left"/>
            </w:pPr>
            <w:r/>
            <w:r>
              <w:rPr>
                <w:rFonts w:ascii="Georgia" w:hAnsi="Georgia"/>
                <w:b w:val="0"/>
                <w:i w:val="0"/>
                <w:color w:val="262B35"/>
                <w:sz w:val="16"/>
              </w:rPr>
              <w:t>company disclosure; guided to decline further on agent-driven compute, 2026-06-16 (T2)</w:t>
            </w:r>
          </w:p>
        </w:tc>
      </w:tr>
      <w:tr>
        <w:trPr>
          <w:cantSplit/>
        </w:trPr>
        <w:tc>
          <w:tcPr>
            <w:tcW w:type="dxa" w:w="1921"/>
          </w:tcPr>
          <w:p>
            <w:pPr>
              <w:spacing w:after="0"/>
              <w:jc w:val="left"/>
            </w:pPr>
            <w:r/>
            <w:r>
              <w:rPr>
                <w:rFonts w:ascii="Georgia" w:hAnsi="Georgia"/>
                <w:b w:val="0"/>
                <w:i w:val="0"/>
                <w:color w:val="262B35"/>
                <w:sz w:val="16"/>
              </w:rPr>
              <w:t>Fcf status</w:t>
            </w:r>
          </w:p>
        </w:tc>
        <w:tc>
          <w:tcPr>
            <w:tcW w:type="dxa" w:w="3719"/>
          </w:tcPr>
          <w:p>
            <w:pPr>
              <w:spacing w:after="0"/>
              <w:jc w:val="left"/>
            </w:pPr>
            <w:r/>
            <w:r>
              <w:rPr>
                <w:rFonts w:ascii="Georgia" w:hAnsi="Georgia"/>
                <w:b w:val="0"/>
                <w:i w:val="0"/>
                <w:color w:val="262B35"/>
                <w:sz w:val="16"/>
              </w:rPr>
              <w:t>Positive, TTM and FY2025 bases; magnitude undisclosed</w:t>
            </w:r>
          </w:p>
        </w:tc>
        <w:tc>
          <w:tcPr>
            <w:tcW w:type="dxa" w:w="3719"/>
          </w:tcPr>
          <w:p>
            <w:pPr>
              <w:spacing w:after="0"/>
              <w:jc w:val="left"/>
            </w:pPr>
            <w:r/>
            <w:r>
              <w:rPr>
                <w:rFonts w:ascii="Georgia" w:hAnsi="Georgia"/>
                <w:b w:val="0"/>
                <w:i w:val="0"/>
                <w:color w:val="262B35"/>
                <w:sz w:val="16"/>
              </w:rPr>
              <w:t>company PR, 2026-02-09 (T2)</w:t>
            </w:r>
          </w:p>
        </w:tc>
      </w:tr>
      <w:tr>
        <w:trPr>
          <w:cantSplit/>
        </w:trPr>
        <w:tc>
          <w:tcPr>
            <w:tcW w:type="dxa" w:w="1921"/>
            <w:shd w:val="clear" w:fill="F2F5F9"/>
          </w:tcPr>
          <w:p>
            <w:pPr>
              <w:spacing w:after="0"/>
              <w:jc w:val="left"/>
            </w:pPr>
            <w:r/>
            <w:r>
              <w:rPr>
                <w:rFonts w:ascii="Georgia" w:hAnsi="Georgia"/>
                <w:b w:val="0"/>
                <w:i w:val="0"/>
                <w:color w:val="262B35"/>
                <w:sz w:val="16"/>
              </w:rPr>
              <w:t>PitchBook TTM field (trap note)</w:t>
            </w:r>
          </w:p>
        </w:tc>
        <w:tc>
          <w:tcPr>
            <w:tcW w:type="dxa" w:w="3719"/>
            <w:shd w:val="clear" w:fill="F2F5F9"/>
          </w:tcPr>
          <w:p>
            <w:pPr>
              <w:spacing w:after="0"/>
              <w:jc w:val="left"/>
            </w:pPr>
            <w:r/>
            <w:r>
              <w:rPr>
                <w:rFonts w:ascii="Georgia" w:hAnsi="Georgia"/>
                <w:b w:val="0"/>
                <w:i w:val="0"/>
                <w:color w:val="262B35"/>
                <w:sz w:val="16"/>
              </w:rPr>
              <w:t>PitchBook revenue field still $6,900M TTM 4Q2026 (period end 2026-12-31) = forward-window projection, NOT run-rate. Ruling 4 holds; not adopted.</w:t>
            </w:r>
          </w:p>
        </w:tc>
        <w:tc>
          <w:tcPr>
            <w:tcW w:type="dxa" w:w="3719"/>
            <w:shd w:val="clear" w:fill="F2F5F9"/>
          </w:tcPr>
          <w:p>
            <w:pPr>
              <w:spacing w:after="0"/>
              <w:jc w:val="left"/>
            </w:pPr>
            <w:r/>
            <w:r>
              <w:rPr>
                <w:rFonts w:ascii="Georgia" w:hAnsi="Georgia"/>
                <w:b w:val="0"/>
                <w:i w:val="0"/>
                <w:color w:val="262B35"/>
                <w:sz w:val="16"/>
              </w:rPr>
              <w:t>PitchBook profile, re-verified this pull, 2026-08-10 (T2)</w:t>
            </w:r>
          </w:p>
        </w:tc>
      </w:tr>
    </w:tbl>
    <w:p>
      <w:pPr>
        <w:spacing w:after="80"/>
        <w:jc w:val="both"/>
      </w:pPr>
      <w:r>
        <w:rPr>
          <w:b w:val="0"/>
          <w:i w:val="0"/>
          <w:color w:val="262B35"/>
          <w:sz w:val="8"/>
        </w:rPr>
      </w:r>
    </w:p>
    <w:p>
      <w:pPr>
        <w:keepNext/>
        <w:spacing w:after="60"/>
        <w:jc w:val="left"/>
      </w:pPr>
      <w:r>
        <w:rPr>
          <w:b/>
          <w:i w:val="0"/>
          <w:color w:val="1F2A44"/>
          <w:sz w:val="19"/>
        </w:rPr>
        <w:t>Employees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054"/>
            <w:shd w:val="clear" w:fill="1F2A44"/>
          </w:tcPr>
          <w:p>
            <w:pPr>
              <w:spacing w:after="0"/>
              <w:jc w:val="left"/>
            </w:pPr>
            <w:r/>
            <w:r>
              <w:rPr>
                <w:rFonts w:ascii="Georgia" w:hAnsi="Georgia"/>
                <w:b/>
                <w:i w:val="0"/>
                <w:color w:val="FFFFFF"/>
                <w:sz w:val="17"/>
              </w:rPr>
              <w:t>Metric</w:t>
            </w:r>
          </w:p>
        </w:tc>
        <w:tc>
          <w:tcPr>
            <w:tcW w:type="dxa" w:w="1369"/>
            <w:shd w:val="clear" w:fill="1F2A44"/>
          </w:tcPr>
          <w:p>
            <w:pPr>
              <w:spacing w:after="0"/>
              <w:jc w:val="left"/>
            </w:pPr>
            <w:r/>
            <w:r>
              <w:rPr>
                <w:rFonts w:ascii="Georgia" w:hAnsi="Georgia"/>
                <w:b/>
                <w:i w:val="0"/>
                <w:color w:val="FFFFFF"/>
                <w:sz w:val="17"/>
              </w:rPr>
              <w:t>Value</w:t>
            </w:r>
          </w:p>
        </w:tc>
        <w:tc>
          <w:tcPr>
            <w:tcW w:type="dxa" w:w="5935"/>
            <w:shd w:val="clear" w:fill="1F2A44"/>
          </w:tcPr>
          <w:p>
            <w:pPr>
              <w:spacing w:after="0"/>
              <w:jc w:val="left"/>
            </w:pPr>
            <w:r/>
            <w:r>
              <w:rPr>
                <w:rFonts w:ascii="Georgia" w:hAnsi="Georgia"/>
                <w:b/>
                <w:i w:val="0"/>
                <w:color w:val="FFFFFF"/>
                <w:sz w:val="17"/>
              </w:rPr>
              <w:t>Source, date (tier)</w:t>
            </w:r>
          </w:p>
        </w:tc>
      </w:tr>
      <w:tr>
        <w:trPr>
          <w:cantSplit/>
        </w:trPr>
        <w:tc>
          <w:tcPr>
            <w:tcW w:type="dxa" w:w="2054"/>
          </w:tcPr>
          <w:p>
            <w:pPr>
              <w:spacing w:after="0"/>
              <w:jc w:val="left"/>
            </w:pPr>
            <w:r/>
            <w:r>
              <w:rPr>
                <w:rFonts w:ascii="Georgia" w:hAnsi="Georgia"/>
                <w:b w:val="0"/>
                <w:i w:val="0"/>
                <w:color w:val="262B35"/>
                <w:sz w:val="16"/>
              </w:rPr>
              <w:t>Employees</w:t>
            </w:r>
          </w:p>
        </w:tc>
        <w:tc>
          <w:tcPr>
            <w:tcW w:type="dxa" w:w="1369"/>
          </w:tcPr>
          <w:p>
            <w:pPr>
              <w:spacing w:after="0"/>
              <w:jc w:val="left"/>
            </w:pPr>
            <w:r/>
            <w:r>
              <w:rPr>
                <w:rFonts w:ascii="Georgia" w:hAnsi="Georgia"/>
                <w:b w:val="0"/>
                <w:i w:val="0"/>
                <w:color w:val="262B35"/>
                <w:sz w:val="16"/>
              </w:rPr>
              <w:t>9000</w:t>
            </w:r>
          </w:p>
        </w:tc>
        <w:tc>
          <w:tcPr>
            <w:tcW w:type="dxa" w:w="5935"/>
          </w:tcPr>
          <w:p>
            <w:pPr>
              <w:spacing w:after="0"/>
              <w:jc w:val="left"/>
            </w:pPr>
            <w:r/>
            <w:r>
              <w:rPr>
                <w:rFonts w:ascii="Georgia" w:hAnsi="Georgia"/>
                <w:b w:val="0"/>
                <w:i w:val="0"/>
                <w:color w:val="262B35"/>
                <w:sz w:val="16"/>
              </w:rPr>
              <w:t>PitchBook, 2026-06-09 (T2)</w:t>
            </w:r>
          </w:p>
        </w:tc>
      </w:tr>
    </w:tbl>
    <w:p>
      <w:pPr>
        <w:spacing w:after="80"/>
        <w:jc w:val="both"/>
      </w:pPr>
      <w:r>
        <w:rPr>
          <w:b w:val="0"/>
          <w:i w:val="0"/>
          <w:color w:val="262B35"/>
          <w:sz w:val="8"/>
        </w:rPr>
      </w:r>
    </w:p>
    <w:p>
      <w:pPr>
        <w:keepNext/>
        <w:spacing w:after="60"/>
        <w:jc w:val="left"/>
      </w:pPr>
      <w:r>
        <w:rPr>
          <w:b/>
          <w:i w:val="0"/>
          <w:color w:val="1F2A44"/>
          <w:sz w:val="19"/>
        </w:rPr>
        <w:t>Products &amp; Revenue Lines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671"/>
            <w:shd w:val="clear" w:fill="1F2A44"/>
          </w:tcPr>
          <w:p>
            <w:pPr>
              <w:spacing w:after="0"/>
              <w:jc w:val="left"/>
            </w:pPr>
            <w:r/>
            <w:r>
              <w:rPr>
                <w:rFonts w:ascii="Georgia" w:hAnsi="Georgia"/>
                <w:b/>
                <w:i w:val="0"/>
                <w:color w:val="FFFFFF"/>
                <w:sz w:val="17"/>
              </w:rPr>
              <w:t>Metric</w:t>
            </w:r>
          </w:p>
        </w:tc>
        <w:tc>
          <w:tcPr>
            <w:tcW w:type="dxa" w:w="4011"/>
            <w:shd w:val="clear" w:fill="1F2A44"/>
          </w:tcPr>
          <w:p>
            <w:pPr>
              <w:spacing w:after="0"/>
              <w:jc w:val="left"/>
            </w:pPr>
            <w:r/>
            <w:r>
              <w:rPr>
                <w:rFonts w:ascii="Georgia" w:hAnsi="Georgia"/>
                <w:b/>
                <w:i w:val="0"/>
                <w:color w:val="FFFFFF"/>
                <w:sz w:val="17"/>
              </w:rPr>
              <w:t>Value</w:t>
            </w:r>
          </w:p>
        </w:tc>
        <w:tc>
          <w:tcPr>
            <w:tcW w:type="dxa" w:w="3677"/>
            <w:shd w:val="clear" w:fill="1F2A44"/>
          </w:tcPr>
          <w:p>
            <w:pPr>
              <w:spacing w:after="0"/>
              <w:jc w:val="left"/>
            </w:pPr>
            <w:r/>
            <w:r>
              <w:rPr>
                <w:rFonts w:ascii="Georgia" w:hAnsi="Georgia"/>
                <w:b/>
                <w:i w:val="0"/>
                <w:color w:val="FFFFFF"/>
                <w:sz w:val="17"/>
              </w:rPr>
              <w:t>Source, date (tier)</w:t>
            </w:r>
          </w:p>
        </w:tc>
      </w:tr>
      <w:tr>
        <w:trPr>
          <w:cantSplit/>
        </w:trPr>
        <w:tc>
          <w:tcPr>
            <w:tcW w:type="dxa" w:w="1671"/>
          </w:tcPr>
          <w:p>
            <w:pPr>
              <w:spacing w:after="0"/>
              <w:jc w:val="left"/>
            </w:pPr>
            <w:r/>
            <w:r>
              <w:rPr>
                <w:rFonts w:ascii="Georgia" w:hAnsi="Georgia"/>
                <w:b w:val="0"/>
                <w:i w:val="0"/>
                <w:color w:val="262B35"/>
                <w:sz w:val="16"/>
              </w:rPr>
              <w:t>Ai products run rate ($b)</w:t>
            </w:r>
          </w:p>
        </w:tc>
        <w:tc>
          <w:tcPr>
            <w:tcW w:type="dxa" w:w="4011"/>
          </w:tcPr>
          <w:p>
            <w:pPr>
              <w:spacing w:after="0"/>
              <w:jc w:val="left"/>
            </w:pPr>
            <w:r/>
            <w:r>
              <w:rPr>
                <w:rFonts w:ascii="Georgia" w:hAnsi="Georgia"/>
                <w:b w:val="0"/>
                <w:i w:val="0"/>
                <w:color w:val="262B35"/>
                <w:sz w:val="16"/>
              </w:rPr>
              <w:t>1.7</w:t>
            </w:r>
          </w:p>
        </w:tc>
        <w:tc>
          <w:tcPr>
            <w:tcW w:type="dxa" w:w="3677"/>
          </w:tcPr>
          <w:p>
            <w:pPr>
              <w:spacing w:after="0"/>
              <w:jc w:val="left"/>
            </w:pPr>
            <w:r/>
            <w:r>
              <w:rPr>
                <w:rFonts w:ascii="Georgia" w:hAnsi="Georgia"/>
                <w:b w:val="0"/>
                <w:i w:val="0"/>
                <w:color w:val="262B35"/>
                <w:sz w:val="16"/>
              </w:rPr>
              <w:t>company disclosure, 2026-06-16 (T2)</w:t>
            </w:r>
          </w:p>
        </w:tc>
      </w:tr>
      <w:tr>
        <w:trPr>
          <w:cantSplit/>
        </w:trPr>
        <w:tc>
          <w:tcPr>
            <w:tcW w:type="dxa" w:w="1671"/>
            <w:shd w:val="clear" w:fill="F2F5F9"/>
          </w:tcPr>
          <w:p>
            <w:pPr>
              <w:spacing w:after="0"/>
              <w:jc w:val="left"/>
            </w:pPr>
            <w:r/>
            <w:r>
              <w:rPr>
                <w:rFonts w:ascii="Georgia" w:hAnsi="Georgia"/>
                <w:b w:val="0"/>
                <w:i w:val="0"/>
                <w:color w:val="262B35"/>
                <w:sz w:val="16"/>
              </w:rPr>
              <w:t>Dbsql run rate ($b)</w:t>
            </w:r>
          </w:p>
        </w:tc>
        <w:tc>
          <w:tcPr>
            <w:tcW w:type="dxa" w:w="4011"/>
            <w:shd w:val="clear" w:fill="F2F5F9"/>
          </w:tcPr>
          <w:p>
            <w:pPr>
              <w:spacing w:after="0"/>
              <w:jc w:val="left"/>
            </w:pPr>
            <w:r/>
            <w:r>
              <w:rPr>
                <w:rFonts w:ascii="Georgia" w:hAnsi="Georgia"/>
                <w:b w:val="0"/>
                <w:i w:val="0"/>
                <w:color w:val="262B35"/>
                <w:sz w:val="16"/>
              </w:rPr>
              <w:t>1.5</w:t>
            </w:r>
          </w:p>
        </w:tc>
        <w:tc>
          <w:tcPr>
            <w:tcW w:type="dxa" w:w="3677"/>
            <w:shd w:val="clear" w:fill="F2F5F9"/>
          </w:tcPr>
          <w:p>
            <w:pPr>
              <w:spacing w:after="0"/>
              <w:jc w:val="left"/>
            </w:pPr>
            <w:r/>
            <w:r>
              <w:rPr>
                <w:rFonts w:ascii="Georgia" w:hAnsi="Georgia"/>
                <w:b w:val="0"/>
                <w:i w:val="0"/>
                <w:color w:val="262B35"/>
                <w:sz w:val="16"/>
              </w:rPr>
              <w:t>press reports of company disclosure, 2026-06-16 (T2)</w:t>
            </w:r>
          </w:p>
        </w:tc>
      </w:tr>
      <w:tr>
        <w:trPr>
          <w:cantSplit/>
        </w:trPr>
        <w:tc>
          <w:tcPr>
            <w:tcW w:type="dxa" w:w="1671"/>
          </w:tcPr>
          <w:p>
            <w:pPr>
              <w:spacing w:after="0"/>
              <w:jc w:val="left"/>
            </w:pPr>
            <w:r/>
            <w:r>
              <w:rPr>
                <w:rFonts w:ascii="Georgia" w:hAnsi="Georgia"/>
                <w:b w:val="0"/>
                <w:i w:val="0"/>
                <w:color w:val="262B35"/>
                <w:sz w:val="16"/>
              </w:rPr>
              <w:t>Lakebase</w:t>
            </w:r>
          </w:p>
        </w:tc>
        <w:tc>
          <w:tcPr>
            <w:tcW w:type="dxa" w:w="4011"/>
          </w:tcPr>
          <w:p>
            <w:pPr>
              <w:spacing w:after="0"/>
              <w:jc w:val="left"/>
            </w:pPr>
            <w:r/>
            <w:r>
              <w:rPr>
                <w:rFonts w:ascii="Georgia" w:hAnsi="Georgia"/>
                <w:b w:val="0"/>
                <w:i w:val="0"/>
                <w:color w:val="262B35"/>
                <w:sz w:val="16"/>
              </w:rPr>
              <w:t>Thousands of customers in first six months; revenue growing at 2x the DW product's pace at equivalent stage</w:t>
            </w:r>
          </w:p>
        </w:tc>
        <w:tc>
          <w:tcPr>
            <w:tcW w:type="dxa" w:w="3677"/>
          </w:tcPr>
          <w:p>
            <w:pPr>
              <w:spacing w:after="0"/>
              <w:jc w:val="left"/>
            </w:pPr>
            <w:r/>
            <w:r>
              <w:rPr>
                <w:rFonts w:ascii="Georgia" w:hAnsi="Georgia"/>
                <w:b w:val="0"/>
                <w:i w:val="0"/>
                <w:color w:val="262B35"/>
                <w:sz w:val="16"/>
              </w:rPr>
              <w:t>company PR, 2026-02-09 (T2)</w:t>
            </w:r>
          </w:p>
        </w:tc>
      </w:tr>
      <w:tr>
        <w:trPr>
          <w:cantSplit/>
        </w:trPr>
        <w:tc>
          <w:tcPr>
            <w:tcW w:type="dxa" w:w="1671"/>
            <w:shd w:val="clear" w:fill="F2F5F9"/>
          </w:tcPr>
          <w:p>
            <w:pPr>
              <w:spacing w:after="0"/>
              <w:jc w:val="left"/>
            </w:pPr>
            <w:r/>
            <w:r>
              <w:rPr>
                <w:rFonts w:ascii="Georgia" w:hAnsi="Georgia"/>
                <w:b w:val="0"/>
                <w:i w:val="0"/>
                <w:color w:val="262B35"/>
                <w:sz w:val="16"/>
              </w:rPr>
              <w:t>Ai capital focus</w:t>
            </w:r>
          </w:p>
        </w:tc>
        <w:tc>
          <w:tcPr>
            <w:tcW w:type="dxa" w:w="4011"/>
            <w:shd w:val="clear" w:fill="F2F5F9"/>
          </w:tcPr>
          <w:p>
            <w:pPr>
              <w:spacing w:after="0"/>
              <w:jc w:val="left"/>
            </w:pPr>
            <w:r/>
            <w:r>
              <w:rPr>
                <w:rFonts w:ascii="Georgia" w:hAnsi="Georgia"/>
                <w:b w:val="0"/>
                <w:i w:val="0"/>
                <w:color w:val="262B35"/>
                <w:sz w:val="16"/>
              </w:rPr>
              <w:t>New capital earmarked for AI capabilities: Genie (business-data assistant suite, debuted Mar 2026), Unity AI Gateway, Lakebase (database for AI agents)</w:t>
            </w:r>
          </w:p>
        </w:tc>
        <w:tc>
          <w:tcPr>
            <w:tcW w:type="dxa" w:w="3677"/>
            <w:shd w:val="clear" w:fill="F2F5F9"/>
          </w:tcPr>
          <w:p>
            <w:pPr>
              <w:spacing w:after="0"/>
              <w:jc w:val="left"/>
            </w:pPr>
            <w:r/>
            <w:r>
              <w:rPr>
                <w:rFonts w:ascii="Georgia" w:hAnsi="Georgia"/>
                <w:b w:val="0"/>
                <w:i w:val="0"/>
                <w:color w:val="262B35"/>
                <w:sz w:val="16"/>
              </w:rPr>
              <w:t>company announcement via press reports, 2026-07-17 (T2)</w:t>
            </w:r>
          </w:p>
        </w:tc>
      </w:tr>
    </w:tbl>
    <w:p>
      <w:pPr>
        <w:spacing w:after="80"/>
        <w:jc w:val="both"/>
      </w:pPr>
      <w:r>
        <w:rPr>
          <w:b w:val="0"/>
          <w:i w:val="0"/>
          <w:color w:val="262B35"/>
          <w:sz w:val="8"/>
        </w:rPr>
      </w:r>
    </w:p>
    <w:p>
      <w:pPr>
        <w:keepNext/>
        <w:spacing w:after="60"/>
        <w:jc w:val="left"/>
      </w:pPr>
      <w:r>
        <w:rPr>
          <w:b/>
          <w:i w:val="0"/>
          <w:color w:val="1F2A44"/>
          <w:sz w:val="19"/>
        </w:rPr>
        <w:t>Customers &amp; Retention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640"/>
            <w:shd w:val="clear" w:fill="1F2A44"/>
          </w:tcPr>
          <w:p>
            <w:pPr>
              <w:spacing w:after="0"/>
              <w:jc w:val="left"/>
            </w:pPr>
            <w:r/>
            <w:r>
              <w:rPr>
                <w:rFonts w:ascii="Georgia" w:hAnsi="Georgia"/>
                <w:b/>
                <w:i w:val="0"/>
                <w:color w:val="FFFFFF"/>
                <w:sz w:val="17"/>
              </w:rPr>
              <w:t>Metric</w:t>
            </w:r>
          </w:p>
        </w:tc>
        <w:tc>
          <w:tcPr>
            <w:tcW w:type="dxa" w:w="1040"/>
            <w:shd w:val="clear" w:fill="1F2A44"/>
          </w:tcPr>
          <w:p>
            <w:pPr>
              <w:spacing w:after="0"/>
              <w:jc w:val="left"/>
            </w:pPr>
            <w:r/>
            <w:r>
              <w:rPr>
                <w:rFonts w:ascii="Georgia" w:hAnsi="Georgia"/>
                <w:b/>
                <w:i w:val="0"/>
                <w:color w:val="FFFFFF"/>
                <w:sz w:val="17"/>
              </w:rPr>
              <w:t>Value</w:t>
            </w:r>
          </w:p>
        </w:tc>
        <w:tc>
          <w:tcPr>
            <w:tcW w:type="dxa" w:w="4680"/>
            <w:shd w:val="clear" w:fill="1F2A44"/>
          </w:tcPr>
          <w:p>
            <w:pPr>
              <w:spacing w:after="0"/>
              <w:jc w:val="left"/>
            </w:pPr>
            <w:r/>
            <w:r>
              <w:rPr>
                <w:rFonts w:ascii="Georgia" w:hAnsi="Georgia"/>
                <w:b/>
                <w:i w:val="0"/>
                <w:color w:val="FFFFFF"/>
                <w:sz w:val="17"/>
              </w:rPr>
              <w:t>Source, date (tier)</w:t>
            </w:r>
          </w:p>
        </w:tc>
      </w:tr>
      <w:tr>
        <w:trPr>
          <w:cantSplit/>
        </w:trPr>
        <w:tc>
          <w:tcPr>
            <w:tcW w:type="dxa" w:w="3640"/>
          </w:tcPr>
          <w:p>
            <w:pPr>
              <w:spacing w:after="0"/>
              <w:jc w:val="left"/>
            </w:pPr>
            <w:r/>
            <w:r>
              <w:rPr>
                <w:rFonts w:ascii="Georgia" w:hAnsi="Georgia"/>
                <w:b w:val="0"/>
                <w:i w:val="0"/>
                <w:color w:val="262B35"/>
                <w:sz w:val="16"/>
              </w:rPr>
              <w:t>Net revenue retention</w:t>
            </w:r>
          </w:p>
        </w:tc>
        <w:tc>
          <w:tcPr>
            <w:tcW w:type="dxa" w:w="1040"/>
          </w:tcPr>
          <w:p>
            <w:pPr>
              <w:spacing w:after="0"/>
              <w:jc w:val="left"/>
            </w:pPr>
            <w:r/>
            <w:r>
              <w:rPr>
                <w:rFonts w:ascii="Georgia" w:hAnsi="Georgia"/>
                <w:b w:val="0"/>
                <w:i w:val="0"/>
                <w:color w:val="262B35"/>
                <w:sz w:val="16"/>
              </w:rPr>
              <w:t>&gt;140%</w:t>
            </w:r>
          </w:p>
        </w:tc>
        <w:tc>
          <w:tcPr>
            <w:tcW w:type="dxa" w:w="4680"/>
          </w:tcPr>
          <w:p>
            <w:pPr>
              <w:spacing w:after="0"/>
              <w:jc w:val="left"/>
            </w:pPr>
            <w:r/>
            <w:r>
              <w:rPr>
                <w:rFonts w:ascii="Georgia" w:hAnsi="Georgia"/>
                <w:b w:val="0"/>
                <w:i w:val="0"/>
                <w:color w:val="262B35"/>
                <w:sz w:val="16"/>
              </w:rPr>
              <w:t>company PR, 2026-02-09 (T2)</w:t>
            </w:r>
          </w:p>
        </w:tc>
      </w:tr>
      <w:tr>
        <w:trPr>
          <w:cantSplit/>
        </w:trPr>
        <w:tc>
          <w:tcPr>
            <w:tcW w:type="dxa" w:w="3640"/>
            <w:shd w:val="clear" w:fill="F2F5F9"/>
          </w:tcPr>
          <w:p>
            <w:pPr>
              <w:spacing w:after="0"/>
              <w:jc w:val="left"/>
            </w:pPr>
            <w:r/>
            <w:r>
              <w:rPr>
                <w:rFonts w:ascii="Georgia" w:hAnsi="Georgia"/>
                <w:b w:val="0"/>
                <w:i w:val="0"/>
                <w:color w:val="262B35"/>
                <w:sz w:val="16"/>
              </w:rPr>
              <w:t>Orgs</w:t>
            </w:r>
          </w:p>
        </w:tc>
        <w:tc>
          <w:tcPr>
            <w:tcW w:type="dxa" w:w="1040"/>
            <w:shd w:val="clear" w:fill="F2F5F9"/>
          </w:tcPr>
          <w:p>
            <w:pPr>
              <w:spacing w:after="0"/>
              <w:jc w:val="left"/>
            </w:pPr>
            <w:r/>
            <w:r>
              <w:rPr>
                <w:rFonts w:ascii="Georgia" w:hAnsi="Georgia"/>
                <w:b w:val="0"/>
                <w:i w:val="0"/>
                <w:color w:val="262B35"/>
                <w:sz w:val="16"/>
              </w:rPr>
              <w:t>20000</w:t>
            </w:r>
          </w:p>
        </w:tc>
        <w:tc>
          <w:tcPr>
            <w:tcW w:type="dxa" w:w="4680"/>
            <w:shd w:val="clear" w:fill="F2F5F9"/>
          </w:tcPr>
          <w:p>
            <w:pPr>
              <w:spacing w:after="0"/>
              <w:jc w:val="left"/>
            </w:pPr>
            <w:r/>
            <w:r>
              <w:rPr>
                <w:rFonts w:ascii="Georgia" w:hAnsi="Georgia"/>
                <w:b w:val="0"/>
                <w:i w:val="0"/>
                <w:color w:val="262B35"/>
                <w:sz w:val="16"/>
              </w:rPr>
              <w:t>company PR, 2026-02-09 (T2)</w:t>
            </w:r>
          </w:p>
        </w:tc>
      </w:tr>
      <w:tr>
        <w:trPr>
          <w:cantSplit/>
        </w:trPr>
        <w:tc>
          <w:tcPr>
            <w:tcW w:type="dxa" w:w="3640"/>
          </w:tcPr>
          <w:p>
            <w:pPr>
              <w:spacing w:after="0"/>
              <w:jc w:val="left"/>
            </w:pPr>
            <w:r/>
            <w:r>
              <w:rPr>
                <w:rFonts w:ascii="Georgia" w:hAnsi="Georgia"/>
                <w:b w:val="0"/>
                <w:i w:val="0"/>
                <w:color w:val="262B35"/>
                <w:sz w:val="16"/>
              </w:rPr>
              <w:t>Customers 1m plus</w:t>
            </w:r>
          </w:p>
        </w:tc>
        <w:tc>
          <w:tcPr>
            <w:tcW w:type="dxa" w:w="1040"/>
          </w:tcPr>
          <w:p>
            <w:pPr>
              <w:spacing w:after="0"/>
              <w:jc w:val="left"/>
            </w:pPr>
            <w:r/>
            <w:r>
              <w:rPr>
                <w:rFonts w:ascii="Georgia" w:hAnsi="Georgia"/>
                <w:b w:val="0"/>
                <w:i w:val="0"/>
                <w:color w:val="262B35"/>
                <w:sz w:val="16"/>
              </w:rPr>
              <w:t>800</w:t>
            </w:r>
          </w:p>
        </w:tc>
        <w:tc>
          <w:tcPr>
            <w:tcW w:type="dxa" w:w="4680"/>
          </w:tcPr>
          <w:p>
            <w:pPr>
              <w:spacing w:after="0"/>
              <w:jc w:val="left"/>
            </w:pPr>
            <w:r/>
            <w:r>
              <w:rPr>
                <w:rFonts w:ascii="Georgia" w:hAnsi="Georgia"/>
                <w:b w:val="0"/>
                <w:i w:val="0"/>
                <w:color w:val="262B35"/>
                <w:sz w:val="16"/>
              </w:rPr>
              <w:t>company PR, 2026-02-09 (T2)</w:t>
            </w:r>
          </w:p>
        </w:tc>
      </w:tr>
      <w:tr>
        <w:trPr>
          <w:cantSplit/>
        </w:trPr>
        <w:tc>
          <w:tcPr>
            <w:tcW w:type="dxa" w:w="3640"/>
            <w:shd w:val="clear" w:fill="F2F5F9"/>
          </w:tcPr>
          <w:p>
            <w:pPr>
              <w:spacing w:after="0"/>
              <w:jc w:val="left"/>
            </w:pPr>
            <w:r/>
            <w:r>
              <w:rPr>
                <w:rFonts w:ascii="Georgia" w:hAnsi="Georgia"/>
                <w:b w:val="0"/>
                <w:i w:val="0"/>
                <w:color w:val="262B35"/>
                <w:sz w:val="16"/>
              </w:rPr>
              <w:t>Customers 10m plus</w:t>
            </w:r>
          </w:p>
        </w:tc>
        <w:tc>
          <w:tcPr>
            <w:tcW w:type="dxa" w:w="1040"/>
            <w:shd w:val="clear" w:fill="F2F5F9"/>
          </w:tcPr>
          <w:p>
            <w:pPr>
              <w:spacing w:after="0"/>
              <w:jc w:val="left"/>
            </w:pPr>
            <w:r/>
            <w:r>
              <w:rPr>
                <w:rFonts w:ascii="Georgia" w:hAnsi="Georgia"/>
                <w:b w:val="0"/>
                <w:i w:val="0"/>
                <w:color w:val="262B35"/>
                <w:sz w:val="16"/>
              </w:rPr>
              <w:t>70</w:t>
            </w:r>
          </w:p>
        </w:tc>
        <w:tc>
          <w:tcPr>
            <w:tcW w:type="dxa" w:w="4680"/>
            <w:shd w:val="clear" w:fill="F2F5F9"/>
          </w:tcPr>
          <w:p>
            <w:pPr>
              <w:spacing w:after="0"/>
              <w:jc w:val="left"/>
            </w:pPr>
            <w:r/>
            <w:r>
              <w:rPr>
                <w:rFonts w:ascii="Georgia" w:hAnsi="Georgia"/>
                <w:b w:val="0"/>
                <w:i w:val="0"/>
                <w:color w:val="262B35"/>
                <w:sz w:val="16"/>
              </w:rPr>
              <w:t>company PR, 2026-02-09 (T2)</w:t>
            </w:r>
          </w:p>
        </w:tc>
      </w:tr>
      <w:tr>
        <w:trPr>
          <w:cantSplit/>
        </w:trPr>
        <w:tc>
          <w:tcPr>
            <w:tcW w:type="dxa" w:w="3640"/>
          </w:tcPr>
          <w:p>
            <w:pPr>
              <w:spacing w:after="0"/>
              <w:jc w:val="left"/>
            </w:pPr>
            <w:r/>
            <w:r>
              <w:rPr>
                <w:rFonts w:ascii="Georgia" w:hAnsi="Georgia"/>
                <w:b w:val="0"/>
                <w:i w:val="0"/>
                <w:color w:val="262B35"/>
                <w:sz w:val="16"/>
              </w:rPr>
              <w:t>Fortune500 (%)</w:t>
            </w:r>
          </w:p>
        </w:tc>
        <w:tc>
          <w:tcPr>
            <w:tcW w:type="dxa" w:w="1040"/>
          </w:tcPr>
          <w:p>
            <w:pPr>
              <w:spacing w:after="0"/>
              <w:jc w:val="left"/>
            </w:pPr>
            <w:r/>
            <w:r>
              <w:rPr>
                <w:rFonts w:ascii="Georgia" w:hAnsi="Georgia"/>
                <w:b w:val="0"/>
                <w:i w:val="0"/>
                <w:color w:val="262B35"/>
                <w:sz w:val="16"/>
              </w:rPr>
              <w:t>&gt;60%</w:t>
            </w:r>
          </w:p>
        </w:tc>
        <w:tc>
          <w:tcPr>
            <w:tcW w:type="dxa" w:w="4680"/>
          </w:tcPr>
          <w:p>
            <w:pPr>
              <w:spacing w:after="0"/>
              <w:jc w:val="left"/>
            </w:pPr>
            <w:r/>
            <w:r>
              <w:rPr>
                <w:rFonts w:ascii="Georgia" w:hAnsi="Georgia"/>
                <w:b w:val="0"/>
                <w:i w:val="0"/>
                <w:color w:val="262B35"/>
                <w:sz w:val="16"/>
              </w:rPr>
              <w:t>company PR, 2026-02-09 (T2)</w:t>
            </w:r>
          </w:p>
        </w:tc>
      </w:tr>
    </w:tbl>
    <w:p>
      <w:pPr>
        <w:spacing w:after="80"/>
        <w:jc w:val="both"/>
      </w:pPr>
      <w:r>
        <w:rPr>
          <w:b w:val="0"/>
          <w:i w:val="0"/>
          <w:color w:val="262B35"/>
          <w:sz w:val="8"/>
        </w:rPr>
      </w:r>
    </w:p>
    <w:p>
      <w:pPr>
        <w:keepNext/>
        <w:spacing w:after="60"/>
        <w:jc w:val="left"/>
      </w:pPr>
      <w:r>
        <w:rPr>
          <w:b/>
          <w:i w:val="0"/>
          <w:color w:val="1F2A44"/>
          <w:sz w:val="19"/>
        </w:rPr>
        <w:t>Competitive Position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910"/>
            <w:shd w:val="clear" w:fill="1F2A44"/>
          </w:tcPr>
          <w:p>
            <w:pPr>
              <w:spacing w:after="0"/>
              <w:jc w:val="left"/>
            </w:pPr>
            <w:r/>
            <w:r>
              <w:rPr>
                <w:rFonts w:ascii="Georgia" w:hAnsi="Georgia"/>
                <w:b/>
                <w:i w:val="0"/>
                <w:color w:val="FFFFFF"/>
                <w:sz w:val="17"/>
              </w:rPr>
              <w:t>Metric</w:t>
            </w:r>
          </w:p>
        </w:tc>
        <w:tc>
          <w:tcPr>
            <w:tcW w:type="dxa" w:w="3820"/>
            <w:shd w:val="clear" w:fill="1F2A44"/>
          </w:tcPr>
          <w:p>
            <w:pPr>
              <w:spacing w:after="0"/>
              <w:jc w:val="left"/>
            </w:pPr>
            <w:r/>
            <w:r>
              <w:rPr>
                <w:rFonts w:ascii="Georgia" w:hAnsi="Georgia"/>
                <w:b/>
                <w:i w:val="0"/>
                <w:color w:val="FFFFFF"/>
                <w:sz w:val="17"/>
              </w:rPr>
              <w:t>Value</w:t>
            </w:r>
          </w:p>
        </w:tc>
        <w:tc>
          <w:tcPr>
            <w:tcW w:type="dxa" w:w="3629"/>
            <w:shd w:val="clear" w:fill="1F2A44"/>
          </w:tcPr>
          <w:p>
            <w:pPr>
              <w:spacing w:after="0"/>
              <w:jc w:val="left"/>
            </w:pPr>
            <w:r/>
            <w:r>
              <w:rPr>
                <w:rFonts w:ascii="Georgia" w:hAnsi="Georgia"/>
                <w:b/>
                <w:i w:val="0"/>
                <w:color w:val="FFFFFF"/>
                <w:sz w:val="17"/>
              </w:rPr>
              <w:t>Source, date (tier)</w:t>
            </w:r>
          </w:p>
        </w:tc>
      </w:tr>
      <w:tr>
        <w:trPr>
          <w:cantSplit/>
        </w:trPr>
        <w:tc>
          <w:tcPr>
            <w:tcW w:type="dxa" w:w="1910"/>
          </w:tcPr>
          <w:p>
            <w:pPr>
              <w:spacing w:after="0"/>
              <w:jc w:val="left"/>
            </w:pPr>
            <w:r/>
            <w:r>
              <w:rPr>
                <w:rFonts w:ascii="Georgia" w:hAnsi="Georgia"/>
                <w:b w:val="0"/>
                <w:i w:val="0"/>
                <w:color w:val="262B35"/>
                <w:sz w:val="16"/>
              </w:rPr>
              <w:t>Snowflake mkt cap ($b)</w:t>
            </w:r>
          </w:p>
        </w:tc>
        <w:tc>
          <w:tcPr>
            <w:tcW w:type="dxa" w:w="3820"/>
          </w:tcPr>
          <w:p>
            <w:pPr>
              <w:spacing w:after="0"/>
              <w:jc w:val="left"/>
            </w:pPr>
            <w:r/>
            <w:r>
              <w:rPr>
                <w:rFonts w:ascii="Georgia" w:hAnsi="Georgia"/>
                <w:b w:val="0"/>
                <w:i w:val="0"/>
                <w:color w:val="262B35"/>
                <w:sz w:val="16"/>
              </w:rPr>
              <w:t>91.1</w:t>
            </w:r>
          </w:p>
        </w:tc>
        <w:tc>
          <w:tcPr>
            <w:tcW w:type="dxa" w:w="3629"/>
          </w:tcPr>
          <w:p>
            <w:pPr>
              <w:spacing w:after="0"/>
              <w:jc w:val="left"/>
            </w:pPr>
            <w:r/>
            <w:r>
              <w:rPr>
                <w:rFonts w:ascii="Georgia" w:hAnsi="Georgia"/>
                <w:b w:val="0"/>
                <w:i w:val="0"/>
                <w:color w:val="262B35"/>
                <w:sz w:val="16"/>
              </w:rPr>
              <w:t>market data aggregators, 2026-07-07 (T3)</w:t>
            </w:r>
          </w:p>
        </w:tc>
      </w:tr>
      <w:tr>
        <w:trPr>
          <w:cantSplit/>
        </w:trPr>
        <w:tc>
          <w:tcPr>
            <w:tcW w:type="dxa" w:w="1910"/>
            <w:shd w:val="clear" w:fill="F2F5F9"/>
          </w:tcPr>
          <w:p>
            <w:pPr>
              <w:spacing w:after="0"/>
              <w:jc w:val="left"/>
            </w:pPr>
            <w:r/>
            <w:r>
              <w:rPr>
                <w:rFonts w:ascii="Georgia" w:hAnsi="Georgia"/>
                <w:b w:val="0"/>
                <w:i w:val="0"/>
                <w:color w:val="262B35"/>
                <w:sz w:val="16"/>
              </w:rPr>
              <w:t>Snowflake fwd product rev ($b)</w:t>
            </w:r>
          </w:p>
        </w:tc>
        <w:tc>
          <w:tcPr>
            <w:tcW w:type="dxa" w:w="3820"/>
            <w:shd w:val="clear" w:fill="F2F5F9"/>
          </w:tcPr>
          <w:p>
            <w:pPr>
              <w:spacing w:after="0"/>
              <w:jc w:val="left"/>
            </w:pPr>
            <w:r/>
            <w:r>
              <w:rPr>
                <w:rFonts w:ascii="Georgia" w:hAnsi="Georgia"/>
                <w:b w:val="0"/>
                <w:i w:val="0"/>
                <w:color w:val="262B35"/>
                <w:sz w:val="16"/>
              </w:rPr>
              <w:t>5.84</w:t>
            </w:r>
          </w:p>
        </w:tc>
        <w:tc>
          <w:tcPr>
            <w:tcW w:type="dxa" w:w="3629"/>
            <w:shd w:val="clear" w:fill="F2F5F9"/>
          </w:tcPr>
          <w:p>
            <w:pPr>
              <w:spacing w:after="0"/>
              <w:jc w:val="left"/>
            </w:pPr>
            <w:r/>
            <w:r>
              <w:rPr>
                <w:rFonts w:ascii="Georgia" w:hAnsi="Georgia"/>
                <w:b w:val="0"/>
                <w:i w:val="0"/>
                <w:color w:val="262B35"/>
                <w:sz w:val="16"/>
              </w:rPr>
              <w:t>Snowflake 8-K, Q1 FY27 guide, +31%, 2026-05-27 (T1)</w:t>
            </w:r>
          </w:p>
        </w:tc>
      </w:tr>
      <w:tr>
        <w:trPr>
          <w:cantSplit/>
        </w:trPr>
        <w:tc>
          <w:tcPr>
            <w:tcW w:type="dxa" w:w="1910"/>
          </w:tcPr>
          <w:p>
            <w:pPr>
              <w:spacing w:after="0"/>
              <w:jc w:val="left"/>
            </w:pPr>
            <w:r/>
            <w:r>
              <w:rPr>
                <w:rFonts w:ascii="Georgia" w:hAnsi="Georgia"/>
                <w:b w:val="0"/>
                <w:i w:val="0"/>
                <w:color w:val="262B35"/>
                <w:sz w:val="16"/>
              </w:rPr>
              <w:t>Vs snowflake</w:t>
            </w:r>
          </w:p>
        </w:tc>
        <w:tc>
          <w:tcPr>
            <w:tcW w:type="dxa" w:w="3820"/>
          </w:tcPr>
          <w:p>
            <w:pPr>
              <w:spacing w:after="0"/>
              <w:jc w:val="left"/>
            </w:pPr>
            <w:r/>
            <w:r>
              <w:rPr>
                <w:rFonts w:ascii="Georgia" w:hAnsi="Georgia"/>
                <w:b w:val="0"/>
                <w:i w:val="0"/>
                <w:color w:val="262B35"/>
                <w:sz w:val="16"/>
              </w:rPr>
              <w:t>~Databricks revenue has overtaken Snowflake; gap ~$1.6B and widening (est.)</w:t>
            </w:r>
          </w:p>
        </w:tc>
        <w:tc>
          <w:tcPr>
            <w:tcW w:type="dxa" w:w="3629"/>
          </w:tcPr>
          <w:p>
            <w:pPr>
              <w:spacing w:after="0"/>
              <w:jc w:val="left"/>
            </w:pPr>
            <w:r/>
            <w:r>
              <w:rPr>
                <w:rFonts w:ascii="Georgia" w:hAnsi="Georgia"/>
                <w:b w:val="0"/>
                <w:i w:val="0"/>
                <w:color w:val="262B35"/>
                <w:sz w:val="16"/>
              </w:rPr>
              <w:t>third-party analyst data, 2026-06-30 (T3) [est.]</w:t>
            </w:r>
          </w:p>
        </w:tc>
      </w:tr>
      <w:tr>
        <w:trPr>
          <w:cantSplit/>
        </w:trPr>
        <w:tc>
          <w:tcPr>
            <w:tcW w:type="dxa" w:w="1910"/>
            <w:shd w:val="clear" w:fill="F2F5F9"/>
          </w:tcPr>
          <w:p>
            <w:pPr>
              <w:spacing w:after="0"/>
              <w:jc w:val="left"/>
            </w:pPr>
            <w:r/>
            <w:r>
              <w:rPr>
                <w:rFonts w:ascii="Georgia" w:hAnsi="Georgia"/>
                <w:b w:val="0"/>
                <w:i w:val="0"/>
                <w:color w:val="262B35"/>
                <w:sz w:val="16"/>
              </w:rPr>
              <w:t>Private valuation rank</w:t>
            </w:r>
          </w:p>
        </w:tc>
        <w:tc>
          <w:tcPr>
            <w:tcW w:type="dxa" w:w="3820"/>
            <w:shd w:val="clear" w:fill="F2F5F9"/>
          </w:tcPr>
          <w:p>
            <w:pPr>
              <w:spacing w:after="0"/>
              <w:jc w:val="left"/>
            </w:pPr>
            <w:r/>
            <w:r>
              <w:rPr>
                <w:rFonts w:ascii="Georgia" w:hAnsi="Georgia"/>
                <w:b w:val="0"/>
                <w:i w:val="0"/>
                <w:color w:val="262B35"/>
                <w:sz w:val="16"/>
              </w:rPr>
              <w:t>~Trails only Anthropic, OpenAI, Tether, ByteDance among private companies at the announced $188B (est.)</w:t>
            </w:r>
          </w:p>
        </w:tc>
        <w:tc>
          <w:tcPr>
            <w:tcW w:type="dxa" w:w="3629"/>
            <w:shd w:val="clear" w:fill="F2F5F9"/>
          </w:tcPr>
          <w:p>
            <w:pPr>
              <w:spacing w:after="0"/>
              <w:jc w:val="left"/>
            </w:pPr>
            <w:r/>
            <w:r>
              <w:rPr>
                <w:rFonts w:ascii="Georgia" w:hAnsi="Georgia"/>
                <w:b w:val="0"/>
                <w:i w:val="0"/>
                <w:color w:val="262B35"/>
                <w:sz w:val="16"/>
              </w:rPr>
              <w:t>PitchBook data via PitchBook news, 2026-07-17 (T2) [est.]</w:t>
            </w:r>
          </w:p>
        </w:tc>
      </w:tr>
    </w:tbl>
    <w:p>
      <w:pPr>
        <w:spacing w:after="80"/>
        <w:jc w:val="both"/>
      </w:pPr>
      <w:r>
        <w:rPr>
          <w:b w:val="0"/>
          <w:i w:val="0"/>
          <w:color w:val="262B35"/>
          <w:sz w:val="8"/>
        </w:rPr>
      </w:r>
    </w:p>
    <w:p>
      <w:pPr>
        <w:keepNext/>
        <w:spacing w:after="60"/>
        <w:jc w:val="left"/>
      </w:pPr>
      <w:r>
        <w:rPr>
          <w:b/>
          <w:i w:val="0"/>
          <w:color w:val="1F2A44"/>
          <w:sz w:val="19"/>
        </w:rPr>
        <w:t>M&amp;A / Acquisitions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220"/>
            <w:shd w:val="clear" w:fill="1F2A44"/>
          </w:tcPr>
          <w:p>
            <w:pPr>
              <w:spacing w:after="0"/>
              <w:jc w:val="left"/>
            </w:pPr>
            <w:r/>
            <w:r>
              <w:rPr>
                <w:rFonts w:ascii="Georgia" w:hAnsi="Georgia"/>
                <w:b/>
                <w:i w:val="0"/>
                <w:color w:val="FFFFFF"/>
                <w:sz w:val="17"/>
              </w:rPr>
              <w:t>Metric</w:t>
            </w:r>
          </w:p>
        </w:tc>
        <w:tc>
          <w:tcPr>
            <w:tcW w:type="dxa" w:w="4069"/>
            <w:shd w:val="clear" w:fill="1F2A44"/>
          </w:tcPr>
          <w:p>
            <w:pPr>
              <w:spacing w:after="0"/>
              <w:jc w:val="left"/>
            </w:pPr>
            <w:r/>
            <w:r>
              <w:rPr>
                <w:rFonts w:ascii="Georgia" w:hAnsi="Georgia"/>
                <w:b/>
                <w:i w:val="0"/>
                <w:color w:val="FFFFFF"/>
                <w:sz w:val="17"/>
              </w:rPr>
              <w:t>Value</w:t>
            </w:r>
          </w:p>
        </w:tc>
        <w:tc>
          <w:tcPr>
            <w:tcW w:type="dxa" w:w="4069"/>
            <w:shd w:val="clear" w:fill="1F2A44"/>
          </w:tcPr>
          <w:p>
            <w:pPr>
              <w:spacing w:after="0"/>
              <w:jc w:val="left"/>
            </w:pPr>
            <w:r/>
            <w:r>
              <w:rPr>
                <w:rFonts w:ascii="Georgia" w:hAnsi="Georgia"/>
                <w:b/>
                <w:i w:val="0"/>
                <w:color w:val="FFFFFF"/>
                <w:sz w:val="17"/>
              </w:rPr>
              <w:t>Source, date (tier)</w:t>
            </w:r>
          </w:p>
        </w:tc>
      </w:tr>
      <w:tr>
        <w:trPr>
          <w:cantSplit/>
        </w:trPr>
        <w:tc>
          <w:tcPr>
            <w:tcW w:type="dxa" w:w="1220"/>
          </w:tcPr>
          <w:p>
            <w:pPr>
              <w:spacing w:after="0"/>
              <w:jc w:val="left"/>
            </w:pPr>
            <w:r/>
            <w:r>
              <w:rPr>
                <w:rFonts w:ascii="Georgia" w:hAnsi="Georgia"/>
                <w:b w:val="0"/>
                <w:i w:val="0"/>
                <w:color w:val="262B35"/>
                <w:sz w:val="16"/>
              </w:rPr>
              <w:t>Acquisitions count</w:t>
            </w:r>
          </w:p>
        </w:tc>
        <w:tc>
          <w:tcPr>
            <w:tcW w:type="dxa" w:w="4069"/>
          </w:tcPr>
          <w:p>
            <w:pPr>
              <w:spacing w:after="0"/>
              <w:jc w:val="left"/>
            </w:pPr>
            <w:r/>
            <w:r>
              <w:rPr>
                <w:rFonts w:ascii="Georgia" w:hAnsi="Georgia"/>
                <w:b w:val="0"/>
                <w:i w:val="0"/>
                <w:color w:val="262B35"/>
                <w:sz w:val="16"/>
              </w:rPr>
              <w:t>~19 (est.)</w:t>
            </w:r>
          </w:p>
        </w:tc>
        <w:tc>
          <w:tcPr>
            <w:tcW w:type="dxa" w:w="4069"/>
          </w:tcPr>
          <w:p>
            <w:pPr>
              <w:spacing w:after="0"/>
              <w:jc w:val="left"/>
            </w:pPr>
            <w:r/>
            <w:r>
              <w:rPr>
                <w:rFonts w:ascii="Georgia" w:hAnsi="Georgia"/>
                <w:b w:val="0"/>
                <w:i w:val="0"/>
                <w:color w:val="262B35"/>
                <w:sz w:val="16"/>
              </w:rPr>
              <w:t>aggregated company disclosures + press, 2026-07-10 (T3) [est.]</w:t>
            </w:r>
          </w:p>
        </w:tc>
      </w:tr>
      <w:tr>
        <w:trPr>
          <w:cantSplit/>
        </w:trPr>
        <w:tc>
          <w:tcPr>
            <w:tcW w:type="dxa" w:w="1220"/>
            <w:shd w:val="clear" w:fill="F2F5F9"/>
          </w:tcPr>
          <w:p>
            <w:pPr>
              <w:spacing w:after="0"/>
              <w:jc w:val="left"/>
            </w:pPr>
            <w:r/>
            <w:r>
              <w:rPr>
                <w:rFonts w:ascii="Georgia" w:hAnsi="Georgia"/>
                <w:b w:val="0"/>
                <w:i w:val="0"/>
                <w:color w:val="262B35"/>
                <w:sz w:val="16"/>
              </w:rPr>
              <w:t>Latest</w:t>
            </w:r>
          </w:p>
        </w:tc>
        <w:tc>
          <w:tcPr>
            <w:tcW w:type="dxa" w:w="4069"/>
            <w:shd w:val="clear" w:fill="F2F5F9"/>
          </w:tcPr>
          <w:p>
            <w:pPr>
              <w:spacing w:after="0"/>
              <w:jc w:val="left"/>
            </w:pPr>
            <w:r/>
            <w:r>
              <w:rPr>
                <w:rFonts w:ascii="Georgia" w:hAnsi="Georgia"/>
                <w:b w:val="0"/>
                <w:i w:val="0"/>
                <w:color w:val="262B35"/>
                <w:sz w:val="16"/>
              </w:rPr>
              <w:t>Panther (security, 3rd security deal; terms undisclosed; $1.4B is Panther's 2021 mark, not a price)</w:t>
            </w:r>
          </w:p>
        </w:tc>
        <w:tc>
          <w:tcPr>
            <w:tcW w:type="dxa" w:w="4069"/>
            <w:shd w:val="clear" w:fill="F2F5F9"/>
          </w:tcPr>
          <w:p>
            <w:pPr>
              <w:spacing w:after="0"/>
              <w:jc w:val="left"/>
            </w:pPr>
            <w:r/>
            <w:r>
              <w:rPr>
                <w:rFonts w:ascii="Georgia" w:hAnsi="Georgia"/>
                <w:b w:val="0"/>
                <w:i w:val="0"/>
                <w:color w:val="262B35"/>
                <w:sz w:val="16"/>
              </w:rPr>
              <w:t>company announcement + press, 2026-06-16 (T2)</w:t>
            </w:r>
          </w:p>
        </w:tc>
      </w:tr>
    </w:tbl>
    <w:p>
      <w:pPr>
        <w:spacing w:after="80"/>
        <w:jc w:val="both"/>
      </w:pPr>
      <w:r>
        <w:rPr>
          <w:b w:val="0"/>
          <w:i w:val="0"/>
          <w:color w:val="262B35"/>
          <w:sz w:val="8"/>
        </w:rPr>
      </w:r>
    </w:p>
    <w:p>
      <w:pPr>
        <w:keepNext/>
        <w:spacing w:after="60"/>
        <w:jc w:val="left"/>
      </w:pPr>
      <w:r>
        <w:rPr>
          <w:b/>
          <w:i w:val="0"/>
          <w:color w:val="1F2A44"/>
          <w:sz w:val="19"/>
        </w:rPr>
        <w:t>IPO / Listing Status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224"/>
            <w:shd w:val="clear" w:fill="1F2A44"/>
          </w:tcPr>
          <w:p>
            <w:pPr>
              <w:spacing w:after="0"/>
              <w:jc w:val="left"/>
            </w:pPr>
            <w:r/>
            <w:r>
              <w:rPr>
                <w:rFonts w:ascii="Georgia" w:hAnsi="Georgia"/>
                <w:b/>
                <w:i w:val="0"/>
                <w:color w:val="FFFFFF"/>
                <w:sz w:val="17"/>
              </w:rPr>
              <w:t>Metric</w:t>
            </w:r>
          </w:p>
        </w:tc>
        <w:tc>
          <w:tcPr>
            <w:tcW w:type="dxa" w:w="3960"/>
            <w:shd w:val="clear" w:fill="1F2A44"/>
          </w:tcPr>
          <w:p>
            <w:pPr>
              <w:spacing w:after="0"/>
              <w:jc w:val="left"/>
            </w:pPr>
            <w:r/>
            <w:r>
              <w:rPr>
                <w:rFonts w:ascii="Georgia" w:hAnsi="Georgia"/>
                <w:b/>
                <w:i w:val="0"/>
                <w:color w:val="FFFFFF"/>
                <w:sz w:val="17"/>
              </w:rPr>
              <w:t>Value</w:t>
            </w:r>
          </w:p>
        </w:tc>
        <w:tc>
          <w:tcPr>
            <w:tcW w:type="dxa" w:w="4176"/>
            <w:shd w:val="clear" w:fill="1F2A44"/>
          </w:tcPr>
          <w:p>
            <w:pPr>
              <w:spacing w:after="0"/>
              <w:jc w:val="left"/>
            </w:pPr>
            <w:r/>
            <w:r>
              <w:rPr>
                <w:rFonts w:ascii="Georgia" w:hAnsi="Georgia"/>
                <w:b/>
                <w:i w:val="0"/>
                <w:color w:val="FFFFFF"/>
                <w:sz w:val="17"/>
              </w:rPr>
              <w:t>Source, date (tier)</w:t>
            </w:r>
          </w:p>
        </w:tc>
      </w:tr>
      <w:tr>
        <w:trPr>
          <w:cantSplit/>
        </w:trPr>
        <w:tc>
          <w:tcPr>
            <w:tcW w:type="dxa" w:w="1224"/>
          </w:tcPr>
          <w:p>
            <w:pPr>
              <w:spacing w:after="0"/>
              <w:jc w:val="left"/>
            </w:pPr>
            <w:r/>
            <w:r>
              <w:rPr>
                <w:rFonts w:ascii="Georgia" w:hAnsi="Georgia"/>
                <w:b w:val="0"/>
                <w:i w:val="0"/>
                <w:color w:val="262B35"/>
                <w:sz w:val="16"/>
              </w:rPr>
              <w:t>S1 status</w:t>
            </w:r>
          </w:p>
        </w:tc>
        <w:tc>
          <w:tcPr>
            <w:tcW w:type="dxa" w:w="3960"/>
          </w:tcPr>
          <w:p>
            <w:pPr>
              <w:spacing w:after="0"/>
              <w:jc w:val="left"/>
            </w:pPr>
            <w:r/>
            <w:r>
              <w:rPr>
                <w:rFonts w:ascii="Georgia" w:hAnsi="Georgia"/>
                <w:b w:val="0"/>
                <w:i w:val="0"/>
                <w:color w:val="262B35"/>
                <w:sz w:val="16"/>
              </w:rPr>
              <w:t>No S-1 on file; Form D / D/A only (latest 2025-12-31)</w:t>
            </w:r>
          </w:p>
        </w:tc>
        <w:tc>
          <w:tcPr>
            <w:tcW w:type="dxa" w:w="4176"/>
          </w:tcPr>
          <w:p>
            <w:pPr>
              <w:spacing w:after="0"/>
              <w:jc w:val="left"/>
            </w:pPr>
            <w:r/>
            <w:r>
              <w:rPr>
                <w:rFonts w:ascii="Georgia" w:hAnsi="Georgia"/>
                <w:b w:val="0"/>
                <w:i w:val="0"/>
                <w:color w:val="262B35"/>
                <w:sz w:val="16"/>
              </w:rPr>
              <w:t>SEC EDGAR submissions API, CIK 0001587468, 2026-07-10 (T1)</w:t>
            </w:r>
          </w:p>
        </w:tc>
      </w:tr>
      <w:tr>
        <w:trPr>
          <w:cantSplit/>
        </w:trPr>
        <w:tc>
          <w:tcPr>
            <w:tcW w:type="dxa" w:w="1224"/>
            <w:shd w:val="clear" w:fill="F2F5F9"/>
          </w:tcPr>
          <w:p>
            <w:pPr>
              <w:spacing w:after="0"/>
              <w:jc w:val="left"/>
            </w:pPr>
            <w:r/>
            <w:r>
              <w:rPr>
                <w:rFonts w:ascii="Georgia" w:hAnsi="Georgia"/>
                <w:b w:val="0"/>
                <w:i w:val="0"/>
                <w:color w:val="262B35"/>
                <w:sz w:val="16"/>
              </w:rPr>
              <w:t>Window</w:t>
            </w:r>
          </w:p>
        </w:tc>
        <w:tc>
          <w:tcPr>
            <w:tcW w:type="dxa" w:w="3960"/>
            <w:shd w:val="clear" w:fill="F2F5F9"/>
          </w:tcPr>
          <w:p>
            <w:pPr>
              <w:spacing w:after="0"/>
              <w:jc w:val="left"/>
            </w:pPr>
            <w:r/>
            <w:r>
              <w:rPr>
                <w:rFonts w:ascii="Georgia" w:hAnsi="Georgia"/>
                <w:b w:val="0"/>
                <w:i w:val="0"/>
                <w:color w:val="262B35"/>
                <w:sz w:val="16"/>
              </w:rPr>
              <w:t>2026 publicly ruled out by CEO; 2027 earliest</w:t>
            </w:r>
          </w:p>
        </w:tc>
        <w:tc>
          <w:tcPr>
            <w:tcW w:type="dxa" w:w="4176"/>
            <w:shd w:val="clear" w:fill="F2F5F9"/>
          </w:tcPr>
          <w:p>
            <w:pPr>
              <w:spacing w:after="0"/>
              <w:jc w:val="left"/>
            </w:pPr>
            <w:r/>
            <w:r>
              <w:rPr>
                <w:rFonts w:ascii="Georgia" w:hAnsi="Georgia"/>
                <w:b w:val="0"/>
                <w:i w:val="0"/>
                <w:color w:val="262B35"/>
                <w:sz w:val="16"/>
              </w:rPr>
              <w:t>company (CEO television interview), 2026-06-04 (T2)</w:t>
            </w:r>
          </w:p>
        </w:tc>
      </w:tr>
      <w:tr>
        <w:trPr>
          <w:cantSplit/>
        </w:trPr>
        <w:tc>
          <w:tcPr>
            <w:tcW w:type="dxa" w:w="1224"/>
          </w:tcPr>
          <w:p>
            <w:pPr>
              <w:spacing w:after="0"/>
              <w:jc w:val="left"/>
            </w:pPr>
            <w:r/>
            <w:r>
              <w:rPr>
                <w:rFonts w:ascii="Georgia" w:hAnsi="Georgia"/>
                <w:b w:val="0"/>
                <w:i w:val="0"/>
                <w:color w:val="262B35"/>
                <w:sz w:val="16"/>
              </w:rPr>
              <w:t>Prediction market</w:t>
            </w:r>
          </w:p>
        </w:tc>
        <w:tc>
          <w:tcPr>
            <w:tcW w:type="dxa" w:w="3960"/>
          </w:tcPr>
          <w:p>
            <w:pPr>
              <w:spacing w:after="0"/>
              <w:jc w:val="left"/>
            </w:pPr>
            <w:r/>
            <w:r>
              <w:rPr>
                <w:rFonts w:ascii="Georgia" w:hAnsi="Georgia"/>
                <w:b w:val="0"/>
                <w:i w:val="0"/>
                <w:color w:val="262B35"/>
                <w:sz w:val="16"/>
              </w:rPr>
              <w:t>~'No Databricks IPO by Dec 31, 2027' priced 0.54 (est.)</w:t>
            </w:r>
          </w:p>
        </w:tc>
        <w:tc>
          <w:tcPr>
            <w:tcW w:type="dxa" w:w="4176"/>
          </w:tcPr>
          <w:p>
            <w:pPr>
              <w:spacing w:after="0"/>
              <w:jc w:val="left"/>
            </w:pPr>
            <w:r/>
            <w:r>
              <w:rPr>
                <w:rFonts w:ascii="Georgia" w:hAnsi="Georgia"/>
                <w:b w:val="0"/>
                <w:i w:val="0"/>
                <w:color w:val="262B35"/>
                <w:sz w:val="16"/>
              </w:rPr>
              <w:t>prediction-market aggregator, 2026-07-07 (T3) [est.]</w:t>
            </w:r>
          </w:p>
        </w:tc>
      </w:tr>
    </w:tbl>
    <w:p>
      <w:pPr>
        <w:spacing w:after="80"/>
        <w:jc w:val="both"/>
      </w:pPr>
      <w:r>
        <w:rPr>
          <w:b w:val="0"/>
          <w:i w:val="0"/>
          <w:color w:val="262B35"/>
          <w:sz w:val="8"/>
        </w:rPr>
      </w:r>
    </w:p>
    <w:p>
      <w:pPr>
        <w:keepNext/>
        <w:spacing w:after="60"/>
        <w:jc w:val="left"/>
      </w:pPr>
      <w:r>
        <w:rPr>
          <w:b/>
          <w:i w:val="0"/>
          <w:color w:val="1F2A44"/>
          <w:sz w:val="19"/>
        </w:rPr>
        <w:t>Internal Scores (AIBQ)</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242"/>
            <w:shd w:val="clear" w:fill="1F2A44"/>
          </w:tcPr>
          <w:p>
            <w:pPr>
              <w:spacing w:after="0"/>
              <w:jc w:val="left"/>
            </w:pPr>
            <w:r/>
            <w:r>
              <w:rPr>
                <w:rFonts w:ascii="Georgia" w:hAnsi="Georgia"/>
                <w:b/>
                <w:i w:val="0"/>
                <w:color w:val="FFFFFF"/>
                <w:sz w:val="17"/>
              </w:rPr>
              <w:t>Metric</w:t>
            </w:r>
          </w:p>
        </w:tc>
        <w:tc>
          <w:tcPr>
            <w:tcW w:type="dxa" w:w="4307"/>
            <w:shd w:val="clear" w:fill="1F2A44"/>
          </w:tcPr>
          <w:p>
            <w:pPr>
              <w:spacing w:after="0"/>
              <w:jc w:val="left"/>
            </w:pPr>
            <w:r/>
            <w:r>
              <w:rPr>
                <w:rFonts w:ascii="Georgia" w:hAnsi="Georgia"/>
                <w:b/>
                <w:i w:val="0"/>
                <w:color w:val="FFFFFF"/>
                <w:sz w:val="17"/>
              </w:rPr>
              <w:t>Value</w:t>
            </w:r>
          </w:p>
        </w:tc>
        <w:tc>
          <w:tcPr>
            <w:tcW w:type="dxa" w:w="3810"/>
            <w:shd w:val="clear" w:fill="1F2A44"/>
          </w:tcPr>
          <w:p>
            <w:pPr>
              <w:spacing w:after="0"/>
              <w:jc w:val="left"/>
            </w:pPr>
            <w:r/>
            <w:r>
              <w:rPr>
                <w:rFonts w:ascii="Georgia" w:hAnsi="Georgia"/>
                <w:b/>
                <w:i w:val="0"/>
                <w:color w:val="FFFFFF"/>
                <w:sz w:val="17"/>
              </w:rPr>
              <w:t>Source, date (tier)</w:t>
            </w:r>
          </w:p>
        </w:tc>
      </w:tr>
      <w:tr>
        <w:trPr>
          <w:cantSplit/>
        </w:trPr>
        <w:tc>
          <w:tcPr>
            <w:tcW w:type="dxa" w:w="1242"/>
          </w:tcPr>
          <w:p>
            <w:pPr>
              <w:spacing w:after="0"/>
              <w:jc w:val="left"/>
            </w:pPr>
            <w:r/>
            <w:r>
              <w:rPr>
                <w:rFonts w:ascii="Georgia" w:hAnsi="Georgia"/>
                <w:b w:val="0"/>
                <w:i w:val="0"/>
                <w:color w:val="262B35"/>
                <w:sz w:val="16"/>
              </w:rPr>
              <w:t>Aibq composite</w:t>
            </w:r>
          </w:p>
        </w:tc>
        <w:tc>
          <w:tcPr>
            <w:tcW w:type="dxa" w:w="4307"/>
          </w:tcPr>
          <w:p>
            <w:pPr>
              <w:spacing w:after="0"/>
              <w:jc w:val="left"/>
            </w:pPr>
            <w:r/>
            <w:r>
              <w:rPr>
                <w:rFonts w:ascii="Georgia" w:hAnsi="Georgia"/>
                <w:b w:val="0"/>
                <w:i w:val="0"/>
                <w:color w:val="262B35"/>
                <w:sz w:val="16"/>
              </w:rPr>
              <w:t>8.81</w:t>
            </w:r>
          </w:p>
        </w:tc>
        <w:tc>
          <w:tcPr>
            <w:tcW w:type="dxa" w:w="3810"/>
          </w:tcPr>
          <w:p>
            <w:pPr>
              <w:spacing w:after="0"/>
              <w:jc w:val="left"/>
            </w:pPr>
            <w:r/>
            <w:r>
              <w:rPr>
                <w:rFonts w:ascii="Georgia" w:hAnsi="Georgia"/>
                <w:b w:val="0"/>
                <w:i w:val="0"/>
                <w:color w:val="262B35"/>
                <w:sz w:val="16"/>
              </w:rPr>
              <w:t>internal re-score (this desk), 2026-07-10 (T2)</w:t>
            </w:r>
          </w:p>
        </w:tc>
      </w:tr>
      <w:tr>
        <w:trPr>
          <w:cantSplit/>
        </w:trPr>
        <w:tc>
          <w:tcPr>
            <w:tcW w:type="dxa" w:w="1242"/>
            <w:shd w:val="clear" w:fill="F2F5F9"/>
          </w:tcPr>
          <w:p>
            <w:pPr>
              <w:spacing w:after="0"/>
              <w:jc w:val="left"/>
            </w:pPr>
            <w:r/>
            <w:r>
              <w:rPr>
                <w:rFonts w:ascii="Georgia" w:hAnsi="Georgia"/>
                <w:b w:val="0"/>
                <w:i w:val="0"/>
                <w:color w:val="262B35"/>
                <w:sz w:val="16"/>
              </w:rPr>
              <w:t>Aibq dimensions</w:t>
            </w:r>
          </w:p>
        </w:tc>
        <w:tc>
          <w:tcPr>
            <w:tcW w:type="dxa" w:w="4307"/>
            <w:shd w:val="clear" w:fill="F2F5F9"/>
          </w:tcPr>
          <w:p>
            <w:pPr>
              <w:spacing w:after="0"/>
              <w:jc w:val="left"/>
            </w:pPr>
            <w:r/>
            <w:r>
              <w:rPr>
                <w:rFonts w:ascii="Georgia" w:hAnsi="Georgia"/>
                <w:b w:val="0"/>
                <w:i w:val="0"/>
                <w:color w:val="262B35"/>
                <w:sz w:val="16"/>
              </w:rPr>
              <w:t>CE 8.9 · RQ 9.0 · CI 8.0 · GO 8.9 · MD 9.0 · CRA 0.0</w:t>
            </w:r>
          </w:p>
        </w:tc>
        <w:tc>
          <w:tcPr>
            <w:tcW w:type="dxa" w:w="3810"/>
            <w:shd w:val="clear" w:fill="F2F5F9"/>
          </w:tcPr>
          <w:p>
            <w:pPr>
              <w:spacing w:after="0"/>
              <w:jc w:val="left"/>
            </w:pPr>
            <w:r/>
            <w:r>
              <w:rPr>
                <w:rFonts w:ascii="Georgia" w:hAnsi="Georgia"/>
                <w:b w:val="0"/>
                <w:i w:val="0"/>
                <w:color w:val="262B35"/>
                <w:sz w:val="16"/>
              </w:rPr>
              <w:t>internal re-score (this desk), 2026-07-10 (T2)</w:t>
            </w:r>
          </w:p>
        </w:tc>
      </w:tr>
    </w:tbl>
    <w:p>
      <w:pPr>
        <w:spacing w:after="80"/>
        <w:jc w:val="both"/>
      </w:pPr>
      <w:r>
        <w:rPr>
          <w:b w:val="0"/>
          <w:i w:val="0"/>
          <w:color w:val="262B35"/>
          <w:sz w:val="8"/>
        </w:rPr>
      </w:r>
    </w:p>
    <w:p>
      <w:pPr>
        <w:pStyle w:val="Heading1"/>
      </w:pPr>
      <w:r>
        <w:t>Disclosures and Method</w:t>
      </w:r>
    </w:p>
    <w:p>
      <w:pPr>
        <w:spacing w:after="120"/>
        <w:jc w:val="left"/>
      </w:pPr>
      <w:r>
        <w:rPr>
          <w:b w:val="0"/>
          <w:i w:val="0"/>
          <w:color w:val="6B7280"/>
          <w:sz w:val="17"/>
        </w:rPr>
        <w:t>Method. This update was produced by the desk's report engine: the company tracker pulled the live PitchBook profile and news record on August 10, 2026, merged them into the canonical company store under freeze-on-conflict rules, recomputed derived metrics, and generated the tracker tables in Section 2 directly from the store at build time. Prose sections were composed against the measured house style profile and the company-update template; every load-bearing figure carries a source of kind and date in text. Source tiers follow the house convention: T1 regulatory filings, T2 company announcements and PitchBook records, T3 press reports, with estimates labeled at the point of use.</w:t>
      </w:r>
    </w:p>
    <w:p>
      <w:pPr>
        <w:spacing w:after="120"/>
        <w:jc w:val="left"/>
      </w:pPr>
      <w:r>
        <w:rPr>
          <w:b w:val="0"/>
          <w:i w:val="0"/>
          <w:color w:val="6B7280"/>
          <w:sz w:val="17"/>
        </w:rPr>
        <w:t>Standing constraints. Unclosed financings, including the July 17 term sheet, never anchor the base case; they are analyzed as forward signals. Capital-efficiency denominators are equity-only. PitchBook TTM revenue fields are forward-window projections and are not used as run-rate sources. The quality-valuation coefficient is embargoed; the per-point spread is its only cleared expression.</w:t>
      </w:r>
    </w:p>
    <w:p>
      <w:pPr>
        <w:spacing w:after="120"/>
        <w:jc w:val="left"/>
      </w:pPr>
      <w:r>
        <w:rPr>
          <w:b w:val="0"/>
          <w:i w:val="0"/>
          <w:color w:val="6B7280"/>
          <w:sz w:val="17"/>
        </w:rPr>
        <w:t>This document is not investment advice. Figures dated before August 10, 2026 are the latest available disclosures as of the run date; stale operating metrics are flagged with their vintage in Section 2.</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3"/>
      </w:rPr>
      <w:t>Quality-valuation coefficient embargoed; the per-point spread is its only cleared expression  |  Not investment advice</w:t>
    </w:r>
  </w:p>
  <w:p>
    <w:pPr>
      <w:jc w:val="center"/>
    </w:pPr>
    <w:r>
      <w:rPr>
        <w:rFonts w:ascii="Georgia" w:hAnsi="Georgia"/>
        <w:color w:val="6B7280"/>
        <w:sz w:val="15"/>
      </w:rPr>
      <w:t xml:space="preserve">Page </w:t>
    </w:r>
    <w:fldSimple w:instr="PAGE">
      <w:r>
        <w:rPr>
          <w:rFonts w:ascii="Georgia" w:hAnsi="Georgia"/>
          <w:sz w:val="15"/>
          <w:color w:val="6B7280"/>
        </w:rPr>
        <w:t>1</w:t>
      </w:r>
    </w:fldSimple>
    <w:r>
      <w:rPr>
        <w:rFonts w:ascii="Georgia" w:hAnsi="Georgia"/>
        <w:color w:val="6B7280"/>
        <w:sz w:val="15"/>
      </w:rPr>
      <w:t xml:space="preserve"> of </w:t>
    </w:r>
    <w:fldSimple w:instr="NUMPAGES">
      <w:r>
        <w:rPr>
          <w:rFonts w:ascii="Georgia" w:hAnsi="Georgia"/>
          <w:sz w:val="15"/>
          <w:color w:val="6B728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5"/>
      </w:rPr>
      <w:t>CONFIDENTIAL  |  For institutional recipients only  |  Not for redistribution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E"/>
      </w:pBdr>
    </w:pPr>
    <w:r>
      <w:rPr>
        <w:rFonts w:ascii="Georgia" w:hAnsi="Georgia"/>
        <w:b/>
        <w:color w:val="6B7280"/>
        <w:sz w:val="15"/>
      </w:rPr>
      <w:t>DATABRICKS, INC.  |  COMPANY UPDATE  |  AUGUST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6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Georgia" w:hAnsi="Georgia"/>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Georgia" w:hAnsi="Georgia"/>
      <w:b/>
      <w:bCs/>
      <w:i w:val="0"/>
      <w:color w:val="1F2A44"/>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Georgia" w:hAnsi="Georgia"/>
      <w:b/>
      <w:bCs/>
      <w:i/>
      <w:color w:val="35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