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28"/>
        </w:rPr>
        <w:t>Q3 2026 Databricks: Reading the $188 Billion Term Sheet</w:t>
      </w:r>
    </w:p>
    <w:p>
      <w:pPr>
        <w:spacing w:after="160"/>
      </w:pPr>
      <w:r>
        <w:rPr>
          <w:b/>
          <w:sz w:val="22"/>
        </w:rPr>
        <w:t>A signed bid 40% above the last mark, and the accelerating engine underneath it</w:t>
      </w:r>
    </w:p>
    <w:p>
      <w:pPr>
        <w:spacing w:after="40"/>
      </w:pPr>
      <w:r>
        <w:rPr>
          <w:b/>
          <w:sz w:val="20"/>
        </w:rPr>
        <w:t xml:space="preserve">Data filepath: </w:t>
      </w:r>
      <w:r>
        <w:rPr>
          <w:sz w:val="20"/>
        </w:rPr>
        <w:t>R&amp;E - Thematic Research\Emerging Tech\Databricks\Q3_2026_Vertical_Note</w:t>
      </w:r>
    </w:p>
    <w:p>
      <w:pPr>
        <w:spacing w:after="40"/>
      </w:pPr>
      <w:r>
        <w:rPr>
          <w:b/>
          <w:sz w:val="20"/>
        </w:rPr>
        <w:t xml:space="preserve">Chart as-of date: </w:t>
      </w:r>
      <w:r>
        <w:rPr>
          <w:sz w:val="20"/>
        </w:rPr>
        <w:t>August 10, 2026</w:t>
      </w:r>
    </w:p>
    <w:p>
      <w:pPr>
        <w:spacing w:after="40"/>
      </w:pPr>
      <w:r>
        <w:rPr>
          <w:b/>
          <w:sz w:val="20"/>
        </w:rPr>
        <w:t xml:space="preserve">Chart geography: </w:t>
      </w:r>
      <w:r>
        <w:rPr>
          <w:sz w:val="20"/>
        </w:rPr>
        <w:t>US</w:t>
      </w:r>
    </w:p>
    <w:p>
      <w:pPr>
        <w:spacing w:after="40"/>
      </w:pPr>
      <w:r>
        <w:rPr>
          <w:b/>
          <w:sz w:val="20"/>
        </w:rPr>
        <w:t xml:space="preserve">Research type (Core/Quant, Emerging Tech, Industry): </w:t>
      </w:r>
      <w:r>
        <w:rPr>
          <w:sz w:val="20"/>
        </w:rPr>
        <w:t>Emerging Tech</w:t>
      </w:r>
    </w:p>
    <w:p>
      <w:pPr>
        <w:spacing w:after="40"/>
      </w:pPr>
      <w:r>
        <w:rPr>
          <w:b/>
          <w:sz w:val="20"/>
        </w:rPr>
        <w:t xml:space="preserve">Access level: </w:t>
      </w:r>
      <w:r>
        <w:rPr>
          <w:sz w:val="20"/>
        </w:rPr>
        <w:t>Client only (Platform only, no preview on N&amp;A)</w:t>
      </w:r>
    </w:p>
    <w:p>
      <w:pPr>
        <w:spacing w:after="40"/>
        <w:jc w:val="both"/>
      </w:pPr>
      <w:r>
        <w:rPr>
          <w:b w:val="0"/>
          <w:i w:val="0"/>
          <w:color w:val="262B35"/>
          <w:sz w:val="8"/>
        </w:rPr>
      </w:r>
    </w:p>
    <w:p>
      <w:pPr>
        <w:spacing w:after="40"/>
      </w:pPr>
      <w:r>
        <w:rPr>
          <w:b/>
          <w:sz w:val="20"/>
        </w:rPr>
        <w:t xml:space="preserve">Chart count: </w:t>
      </w:r>
      <w:r>
        <w:rPr>
          <w:sz w:val="20"/>
        </w:rPr>
        <w:t>3</w:t>
      </w:r>
    </w:p>
    <w:p>
      <w:pPr>
        <w:spacing w:after="40"/>
      </w:pPr>
      <w:r>
        <w:rPr>
          <w:b/>
          <w:sz w:val="20"/>
        </w:rPr>
        <w:t xml:space="preserve">Table count: </w:t>
      </w:r>
      <w:r>
        <w:rPr>
          <w:sz w:val="20"/>
        </w:rPr>
        <w:t>0</w:t>
      </w:r>
    </w:p>
    <w:p>
      <w:pPr>
        <w:pStyle w:val="Heading2"/>
      </w:pPr>
      <w:r>
        <w:t>Credits</w:t>
      </w:r>
    </w:p>
    <w:p>
      <w:pPr>
        <w:spacing w:after="40"/>
      </w:pPr>
      <w:r>
        <w:rPr>
          <w:b w:val="0"/>
          <w:sz w:val="20"/>
        </w:rPr>
      </w:r>
      <w:r>
        <w:rPr>
          <w:sz w:val="20"/>
        </w:rPr>
        <w:t>HARRISON ROLFES  Senior Research Analyst, Late-Stage Company Research</w:t>
      </w:r>
    </w:p>
    <w:p>
      <w:pPr>
        <w:spacing w:after="160"/>
        <w:jc w:val="left"/>
      </w:pPr>
      <w:r>
        <w:rPr>
          <w:b w:val="0"/>
          <w:i w:val="0"/>
          <w:color w:val="262B35"/>
          <w:sz w:val="20"/>
        </w:rPr>
        <w:t>Published on August 11, 2026</w:t>
      </w:r>
    </w:p>
    <w:p>
      <w:pPr>
        <w:pStyle w:val="Heading2"/>
      </w:pPr>
      <w:r>
        <w:t>Contents</w:t>
      </w:r>
    </w:p>
    <w:p>
      <w:pPr>
        <w:spacing w:after="20"/>
        <w:jc w:val="left"/>
      </w:pPr>
      <w:r>
        <w:rPr>
          <w:b w:val="0"/>
          <w:i w:val="0"/>
          <w:color w:val="262B35"/>
          <w:sz w:val="20"/>
        </w:rPr>
        <w:t>Key takeaways</w:t>
      </w:r>
    </w:p>
    <w:p>
      <w:pPr>
        <w:spacing w:after="20"/>
        <w:jc w:val="left"/>
      </w:pPr>
      <w:r>
        <w:rPr>
          <w:b w:val="0"/>
          <w:i w:val="0"/>
          <w:color w:val="262B35"/>
          <w:sz w:val="20"/>
        </w:rPr>
        <w:t>The term sheet: signed at $188 billion, unclosed</w:t>
      </w:r>
    </w:p>
    <w:p>
      <w:pPr>
        <w:spacing w:after="20"/>
        <w:jc w:val="left"/>
      </w:pPr>
      <w:r>
        <w:rPr>
          <w:b w:val="0"/>
          <w:i w:val="0"/>
          <w:color w:val="262B35"/>
          <w:sz w:val="20"/>
        </w:rPr>
        <w:t>The engine under the bid: four accelerating prints</w:t>
      </w:r>
    </w:p>
    <w:p>
      <w:pPr>
        <w:spacing w:after="20"/>
        <w:jc w:val="left"/>
      </w:pPr>
      <w:r>
        <w:rPr>
          <w:b w:val="0"/>
          <w:i w:val="0"/>
          <w:color w:val="262B35"/>
          <w:sz w:val="20"/>
        </w:rPr>
        <w:t>Pricing the quality: both marks stay on the cohort floor</w:t>
      </w:r>
    </w:p>
    <w:p>
      <w:pPr>
        <w:spacing w:after="120"/>
        <w:jc w:val="left"/>
      </w:pPr>
      <w:r>
        <w:rPr>
          <w:b w:val="0"/>
          <w:i w:val="0"/>
          <w:color w:val="262B35"/>
          <w:sz w:val="20"/>
        </w:rPr>
        <w:t>References</w:t>
      </w:r>
    </w:p>
    <w:p>
      <w:pPr>
        <w:pStyle w:val="Heading2"/>
      </w:pPr>
      <w:r>
        <w:t>Landing page</w:t>
      </w:r>
    </w:p>
    <w:p>
      <w:pPr>
        <w:spacing w:after="40"/>
        <w:jc w:val="left"/>
      </w:pPr>
      <w:r>
        <w:rPr>
          <w:b w:val="0"/>
          <w:i/>
          <w:color w:val="2F5496"/>
          <w:sz w:val="20"/>
        </w:rPr>
        <w:t>CHART: The buyer still pays the least per unit of quality, at either mark</w:t>
      </w:r>
    </w:p>
    <w:p>
      <w:pPr>
        <w:spacing w:after="120"/>
        <w:jc w:val="left"/>
      </w:pPr>
      <w:r>
        <w:rPr>
          <w:b w:val="0"/>
          <w:i w:val="0"/>
          <w:color w:val="262B35"/>
          <w:sz w:val="20"/>
        </w:rPr>
        <w:t>Valuation per AIBQ point across the frontier cohort, with Databricks shown at both its completed $134 billion mark and the announced $188 billion term sheet.</w:t>
      </w:r>
    </w:p>
    <w:p>
      <w:pPr>
        <w:spacing w:after="40"/>
        <w:jc w:val="left"/>
      </w:pPr>
      <w:r>
        <w:rPr>
          <w:b/>
          <w:i w:val="0"/>
          <w:color w:val="262B35"/>
          <w:sz w:val="20"/>
        </w:rPr>
        <w:t>Databricks signs at $188 billion, and the quality math survives the re-rate</w:t>
      </w:r>
    </w:p>
    <w:p>
      <w:pPr>
        <w:spacing w:after="160"/>
        <w:jc w:val="left"/>
      </w:pPr>
      <w:r>
        <w:rPr>
          <w:b w:val="0"/>
          <w:i w:val="0"/>
          <w:color w:val="262B35"/>
          <w:sz w:val="20"/>
        </w:rPr>
        <w:t>Databricks' rumored round resolved upward into a signed, Coatue-led term sheet at $188 billion, 40% above February's completed mark, with the close expected later this summer. The operating ladder beneath the bid is still accelerating at $7 billion scale, and even at the higher price the company remains the cohort's cheapest asset per unit of business quality.</w:t>
      </w:r>
    </w:p>
    <w:p>
      <w:pPr>
        <w:pStyle w:val="Heading2"/>
      </w:pPr>
      <w:r>
        <w:t>Report picks</w:t>
      </w:r>
    </w:p>
    <w:p>
      <w:pPr>
        <w:spacing w:after="20"/>
        <w:jc w:val="left"/>
      </w:pPr>
      <w:r>
        <w:rPr>
          <w:b w:val="0"/>
          <w:i w:val="0"/>
          <w:color w:val="262B35"/>
          <w:sz w:val="20"/>
        </w:rPr>
        <w:t>Databricks: Brick by Brick (July 2026 initiation)</w:t>
      </w:r>
    </w:p>
    <w:p>
      <w:pPr>
        <w:spacing w:after="20"/>
        <w:jc w:val="left"/>
      </w:pPr>
      <w:r>
        <w:rPr>
          <w:b w:val="0"/>
          <w:i w:val="0"/>
          <w:color w:val="262B35"/>
          <w:sz w:val="20"/>
        </w:rPr>
        <w:t>Databricks Company Update: The Appraisal Moves (August 2026)</w:t>
      </w:r>
    </w:p>
    <w:p>
      <w:pPr>
        <w:pStyle w:val="Heading2"/>
      </w:pPr>
      <w:r>
        <w:t>Key takeaways</w:t>
      </w:r>
    </w:p>
    <w:p>
      <w:pPr>
        <w:pStyle w:val="ListBullet"/>
        <w:spacing w:after="120"/>
        <w:ind w:left="403"/>
      </w:pPr>
      <w:r>
        <w:rPr>
          <w:b/>
          <w:color w:val="1A1A1A"/>
          <w:sz w:val="20"/>
        </w:rPr>
        <w:t xml:space="preserve">Databricks signed at $188 billion, and the money is not in hand. </w:t>
      </w:r>
      <w:r>
        <w:rPr>
          <w:color w:val="1A1A1A"/>
          <w:sz w:val="20"/>
        </w:rPr>
        <w:t>The July 17 term sheet for a strategic round is led by existing investor Coatue; press reports place the size near $3 billion, and the company expects the close later this summer (company announcement, July 17, 2026).</w:t>
      </w:r>
    </w:p>
    <w:p>
      <w:pPr>
        <w:pStyle w:val="ListBullet"/>
        <w:spacing w:after="120"/>
        <w:ind w:left="403"/>
      </w:pPr>
      <w:r>
        <w:rPr>
          <w:b/>
          <w:color w:val="1A1A1A"/>
          <w:sz w:val="20"/>
        </w:rPr>
        <w:t xml:space="preserve">The bid resolves the July rumor upward. </w:t>
      </w:r>
      <w:r>
        <w:rPr>
          <w:color w:val="1A1A1A"/>
          <w:sz w:val="20"/>
        </w:rPr>
        <w:t>It lands 40% above the $134 billion completed February mark and $13 billion above the top of the previously reported $165 to 175 billion range; until funds settle, the completed mark still anchors valuation work (PitchBook financing note, August 7, 2026).</w:t>
      </w:r>
    </w:p>
    <w:p>
      <w:pPr>
        <w:pStyle w:val="ListBullet"/>
        <w:spacing w:after="120"/>
        <w:ind w:left="403"/>
      </w:pPr>
      <w:r>
        <w:rPr>
          <w:b/>
          <w:color w:val="1A1A1A"/>
          <w:sz w:val="20"/>
        </w:rPr>
        <w:t xml:space="preserve">The bid moved; the business did not. </w:t>
      </w:r>
      <w:r>
        <w:rPr>
          <w:color w:val="1A1A1A"/>
          <w:sz w:val="20"/>
        </w:rPr>
        <w:t>The last print remains $6.9 billion of annualized revenue growing +80% YoY, the fourth consecutive accelerating disclosure, with gross margin at 74% and guided lower (company disclosure, June 16, 2026).</w:t>
      </w:r>
    </w:p>
    <w:p>
      <w:pPr>
        <w:pStyle w:val="ListBullet"/>
        <w:spacing w:after="120"/>
        <w:ind w:left="403"/>
      </w:pPr>
      <w:r>
        <w:rPr>
          <w:b/>
          <w:color w:val="1A1A1A"/>
          <w:sz w:val="20"/>
        </w:rPr>
        <w:t xml:space="preserve">Both marks stay on the cohort floor. </w:t>
      </w:r>
      <w:r>
        <w:rPr>
          <w:color w:val="1A1A1A"/>
          <w:sz w:val="20"/>
        </w:rPr>
        <w:t>At $188 billion the run-rate multiple is 27.2x versus 19.4x at the completed mark, and the quality-adjusted price remains the cohort's cheapest at either level; the round close and the September to October disclosure window decide which number holds (derived).</w:t>
      </w:r>
    </w:p>
    <w:p>
      <w:pPr>
        <w:pStyle w:val="Heading2"/>
      </w:pPr>
      <w:r>
        <w:t>The term sheet: signed at $188 billion, unclosed</w:t>
      </w:r>
    </w:p>
    <w:p>
      <w:pPr>
        <w:spacing w:after="140"/>
        <w:jc w:val="both"/>
      </w:pPr>
      <w:r>
        <w:rPr>
          <w:b w:val="0"/>
          <w:i w:val="0"/>
          <w:color w:val="262B35"/>
          <w:sz w:val="21"/>
        </w:rPr>
        <w:t>Databricks announced on July 17 that it has signed a term sheet for a strategic funding round at a $188 billion post-money valuation, led by existing investor Coatue with participation from new and existing backers (company announcement, July 17, 2026). The company did not disclose the size; press reports place it near $3 billion. The money is not in hand: the close is expected later this summer, and the deal record carries the round as announced and in progress, the thirteenth equity round (PitchBook financing note, August 7, 2026).</w:t>
      </w:r>
    </w:p>
    <w:p>
      <w:pPr>
        <w:spacing w:after="140"/>
        <w:jc w:val="both"/>
      </w:pPr>
      <w:r>
        <w:rPr>
          <w:b w:val="0"/>
          <w:i w:val="0"/>
          <w:color w:val="262B35"/>
          <w:sz w:val="21"/>
        </w:rPr>
        <w:t>The signed price resolves the July talks upward: $13 billion above the top of the reported $165 to 175 billion range and 40% above the $134 billion completed mark set in February (derived). Under the standing rule that unclosed financings never anchor a base case, $134 billion remains the working mark until funds settle, and the term sheet is treated as the market's confirmed forward bid. A round near $3 billion against February's $7.0 billion raise reads as balance-sheet building on the company's own schedule rather than operational need; the company has said the capital goes to AI capabilities including Genie, Unity AI Gateway, and Lakebase (company announcement via press reports, July 17, 2026).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14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ladder_aug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b w:val="0"/>
          <w:i/>
          <w:color w:val="6B7280"/>
          <w:sz w:val="15"/>
        </w:rPr>
        <w:t>Post-money marks, December 2024 to July 2026. Completed marks solid; the July 17, 2026 term sheet hatched: announced at $188B, unclosed, not adopted until funds settle.</w:t>
      </w:r>
    </w:p>
    <w:p>
      <w:pPr>
        <w:pStyle w:val="Heading2"/>
      </w:pPr>
      <w:r>
        <w:t>The engine under the bid: four accelerating prints</w:t>
      </w:r>
    </w:p>
    <w:p>
      <w:pPr>
        <w:spacing w:after="140"/>
        <w:jc w:val="both"/>
      </w:pPr>
      <w:r>
        <w:rPr>
          <w:b w:val="0"/>
          <w:i w:val="0"/>
          <w:color w:val="262B35"/>
          <w:sz w:val="21"/>
        </w:rPr>
        <w:t>Nothing in the operating record moved with the announcement. The last dated print is $6.9 billion of annualized revenue growing +80% YoY (company disclosure, June 16, 2026), the fourth consecutive accelerating print in a ladder that runs $4.0 billion, $4.8 billion, $5.4 billion, $6.9 billion across ten months of dated disclosures. Gross margin stands at 74%, down from above 80% and guided lower on agent-driven compute; free cash flow remains positive on trailing and fiscal 2025 bases with no newer print (company, February 9, 2026). Headcount stands at 9,000 (PitchBook, June 9, 2026).</w:t>
      </w:r>
    </w:p>
    <w:p>
      <w:pPr>
        <w:spacing w:after="140"/>
        <w:jc w:val="both"/>
      </w:pPr>
      <w:r>
        <w:rPr>
          <w:b w:val="0"/>
          <w:i w:val="0"/>
          <w:color w:val="262B35"/>
          <w:sz w:val="21"/>
        </w:rPr>
        <w:t>The next scheduled read is the September to October disclosure window, and it carries three tests at once: the run-rate against the June level, the gross margin against the 70% efficiency floor where the cushion is four points, and the refresh of February-vintage operating metrics, retention above 140% and more than 20,000 organizations among them. Until that window, those metrics are cited only with their February dates visible.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96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leration_aug2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b w:val="0"/>
          <w:i/>
          <w:color w:val="6B7280"/>
          <w:sz w:val="15"/>
        </w:rPr>
        <w:t>Annualized revenue run-rate (bars) and year-over-year growth (line), company disclosures September 2025 to June 2026. No new print since June 16.</w:t>
      </w:r>
    </w:p>
    <w:p>
      <w:pPr>
        <w:pStyle w:val="Heading2"/>
      </w:pPr>
      <w:r>
        <w:t>Pricing the quality: both marks stay on the cohort floor</w:t>
      </w:r>
    </w:p>
    <w:p>
      <w:pPr>
        <w:spacing w:after="140"/>
        <w:jc w:val="both"/>
      </w:pPr>
      <w:r>
        <w:rPr>
          <w:b w:val="0"/>
          <w:i w:val="0"/>
          <w:color w:val="262B35"/>
          <w:sz w:val="21"/>
        </w:rPr>
        <w:t>At the completed mark the run-rate multiple is 19.4x; at the announced mark it is 27.2x on the identical June print (derived). Growth adjustment keeps the comparison favorable at either level: 27.2x against +80% growth prices each point of growth at 0.34x, versus roughly 0.49x for the closest listed comparable trading near 15.3x its guided +31% forward product revenue (comparable company 8-K, May 27, 2026; derived).</w:t>
      </w:r>
    </w:p>
    <w:p>
      <w:pPr>
        <w:spacing w:after="140"/>
        <w:jc w:val="both"/>
      </w:pPr>
      <w:r>
        <w:rPr>
          <w:b w:val="0"/>
          <w:i w:val="0"/>
          <w:color w:val="262B35"/>
          <w:sz w:val="21"/>
        </w:rPr>
        <w:t>On the desk's quality framework, the announced price pays roughly $21.3 billion per point of business quality against $15.2 billion at the completed mark (est., derived); the cohort's next-cheapest asset pays about $118 billion per point, the top of the ladder near $188 billion, and the listed parent's implied AI segment about $279 billion (est.). Even granting the full re-rate, the buyer pays roughly a fifth of the cohort's next-cheapest quality-adjusted price. The watch list into the fall: the close itself, expected before the end of summer; the September to October print, where a gross margin below 70% would force a quality re-score regardless of the round; and the registry, where no S-1 was on file at the last verification (SEC EDGAR, July 10, 2026).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17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point_aug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b w:val="0"/>
          <w:i/>
          <w:color w:val="6B7280"/>
          <w:sz w:val="15"/>
        </w:rPr>
        <w:t>Valuation per AIBQ point, August 10, 2026. Databricks shown at completed and announced marks; xAI implied inside its listed parent (est.); SSI excluded (pre-revenue).</w:t>
      </w:r>
    </w:p>
    <w:p>
      <w:pPr>
        <w:pStyle w:val="Heading2"/>
      </w:pPr>
      <w:r>
        <w:t>References</w:t>
      </w:r>
    </w:p>
    <w:p>
      <w:pPr>
        <w:spacing w:after="60"/>
      </w:pPr>
      <w:r>
        <w:rPr>
          <w:b/>
          <w:sz w:val="18"/>
        </w:rPr>
        <w:t xml:space="preserve">1. </w:t>
      </w:r>
      <w:r>
        <w:rPr>
          <w:sz w:val="18"/>
        </w:rPr>
        <w:t xml:space="preserve">Databricks signs term sheet at $188B, Coatue lead (Reuters syndication), July 17, 2026.  </w:t>
      </w:r>
      <w:r>
        <w:rPr>
          <w:color w:val="0563C1"/>
          <w:sz w:val="18"/>
        </w:rPr>
        <w:t>https://www.dealstreetasia.com/stories/coatue-led-funding-round-to-value-databricks-at-188b-489409/</w:t>
      </w:r>
    </w:p>
    <w:p>
      <w:pPr>
        <w:spacing w:after="60"/>
      </w:pPr>
      <w:r>
        <w:rPr>
          <w:b/>
          <w:sz w:val="18"/>
        </w:rPr>
        <w:t xml:space="preserve">2. </w:t>
      </w:r>
      <w:r>
        <w:rPr>
          <w:sz w:val="18"/>
        </w:rPr>
        <w:t xml:space="preserve">Databricks hits $188B valuation (TechCrunch), July 17, 2026.  </w:t>
      </w:r>
      <w:r>
        <w:rPr>
          <w:color w:val="0563C1"/>
          <w:sz w:val="18"/>
        </w:rPr>
        <w:t>https://techcrunch.com/2026/07/17/databricks-hits-188b-valuation-extending-its-run-as-ais-favorite-second-act/</w:t>
      </w:r>
    </w:p>
    <w:p>
      <w:pPr>
        <w:spacing w:after="60"/>
      </w:pPr>
      <w:r>
        <w:rPr>
          <w:b/>
          <w:sz w:val="18"/>
        </w:rPr>
        <w:t xml:space="preserve">3. </w:t>
      </w:r>
      <w:r>
        <w:rPr>
          <w:sz w:val="18"/>
        </w:rPr>
        <w:t xml:space="preserve">Coatue-led $3B investment at $188B (WSJ, via Reuters/CNA), July 16-17, 2026.  </w:t>
      </w:r>
      <w:r>
        <w:rPr>
          <w:color w:val="0563C1"/>
          <w:sz w:val="18"/>
        </w:rPr>
        <w:t>https://www.channelnewsasia.com/business/databricks-valued-188-billion-after-coatue-led-investment-wsj-reports-6259931</w:t>
      </w:r>
    </w:p>
    <w:p>
      <w:pPr>
        <w:spacing w:after="60"/>
      </w:pPr>
      <w:r>
        <w:rPr>
          <w:b/>
          <w:sz w:val="18"/>
        </w:rPr>
        <w:t xml:space="preserve">4. </w:t>
      </w:r>
      <w:r>
        <w:rPr>
          <w:sz w:val="18"/>
        </w:rPr>
        <w:t xml:space="preserve">PitchBook News: Databricks' 40% valuation bump looks 'almost quaint' next to Anthropic, July 17, 2026.  </w:t>
      </w:r>
      <w:r>
        <w:rPr>
          <w:color w:val="0563C1"/>
          <w:sz w:val="18"/>
        </w:rPr>
        <w:t>https://my.pitchbook.com/news-center/pb208542455521588824</w:t>
      </w:r>
    </w:p>
    <w:p>
      <w:pPr>
        <w:spacing w:after="60"/>
      </w:pPr>
      <w:r>
        <w:rPr>
          <w:b/>
          <w:sz w:val="18"/>
        </w:rPr>
        <w:t xml:space="preserve">5. </w:t>
      </w:r>
      <w:r>
        <w:rPr>
          <w:sz w:val="18"/>
        </w:rPr>
        <w:t xml:space="preserve">PitchBook company profile 59199-40 (last updated August 10, 2026) and financing note, August 7, 2026.  </w:t>
      </w:r>
      <w:r>
        <w:rPr>
          <w:color w:val="0563C1"/>
          <w:sz w:val="18"/>
        </w:rPr>
        <w:t>https://my.pitchbook.com/profile/59199-40/company/profile</w:t>
      </w:r>
    </w:p>
    <w:p>
      <w:pPr>
        <w:spacing w:after="60"/>
      </w:pPr>
      <w:r>
        <w:rPr>
          <w:b/>
          <w:sz w:val="18"/>
        </w:rPr>
        <w:t xml:space="preserve">6. </w:t>
      </w:r>
      <w:r>
        <w:rPr>
          <w:sz w:val="18"/>
        </w:rPr>
        <w:t>Databricks company announcement: Series L final close and operating metrics, February 9, 2026.</w:t>
      </w:r>
    </w:p>
    <w:p>
      <w:pPr>
        <w:spacing w:after="60"/>
      </w:pPr>
      <w:r>
        <w:rPr>
          <w:b/>
          <w:sz w:val="18"/>
        </w:rPr>
        <w:t xml:space="preserve">7. </w:t>
      </w:r>
      <w:r>
        <w:rPr>
          <w:sz w:val="18"/>
        </w:rPr>
        <w:t>Databricks Data + AI Summit analyst-session disclosures ($6.9B run-rate, +80% YoY, 74% gross margin), June 16, 2026.</w:t>
      </w:r>
    </w:p>
    <w:p>
      <w:pPr>
        <w:spacing w:after="60"/>
      </w:pPr>
      <w:r>
        <w:rPr>
          <w:b/>
          <w:sz w:val="18"/>
        </w:rPr>
        <w:t xml:space="preserve">8. </w:t>
      </w:r>
      <w:r>
        <w:rPr>
          <w:sz w:val="18"/>
        </w:rPr>
        <w:t xml:space="preserve">SEC EDGAR submissions API, CIK 0001587468 (no registration statement on file), verified July 10, 2026.  </w:t>
      </w:r>
      <w:r>
        <w:rPr>
          <w:color w:val="0563C1"/>
          <w:sz w:val="18"/>
        </w:rPr>
        <w:t>https://data.sec.gov/submissions/CIK0001587468.json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