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0895" w14:textId="77777777" w:rsidR="00090569" w:rsidRDefault="00000000">
      <w:pPr>
        <w:spacing w:before="480" w:after="480" w:line="288" w:lineRule="auto"/>
        <w:rPr>
          <w:rFonts w:hint="eastAsia"/>
        </w:rPr>
      </w:pPr>
      <w:proofErr w:type="spellStart"/>
      <w:r>
        <w:rPr>
          <w:rFonts w:ascii="Arial" w:eastAsia="等线" w:hAnsi="Arial" w:cs="Arial"/>
          <w:b/>
          <w:sz w:val="52"/>
        </w:rPr>
        <w:t>Proteonano</w:t>
      </w:r>
      <w:proofErr w:type="spellEnd"/>
      <w:r>
        <w:rPr>
          <w:rFonts w:ascii="Arial" w:eastAsia="等线" w:hAnsi="Arial" w:cs="Arial"/>
          <w:b/>
          <w:sz w:val="52"/>
        </w:rPr>
        <w:t>™ HT Quality Statement (PQS)</w:t>
      </w:r>
    </w:p>
    <w:p w14:paraId="495726AD" w14:textId="77777777" w:rsidR="00090569" w:rsidRDefault="00000000">
      <w:pPr>
        <w:spacing w:before="120" w:after="120" w:line="288" w:lineRule="auto"/>
        <w:rPr>
          <w:rFonts w:hint="eastAsia"/>
        </w:rPr>
      </w:pPr>
      <w:r>
        <w:rPr>
          <w:rFonts w:ascii="Arial" w:eastAsia="等线" w:hAnsi="Arial" w:cs="Arial"/>
          <w:b/>
        </w:rPr>
        <w:t>Version:</w:t>
      </w:r>
      <w:r>
        <w:rPr>
          <w:rFonts w:ascii="Arial" w:eastAsia="等线" w:hAnsi="Arial" w:cs="Arial"/>
        </w:rPr>
        <w:t xml:space="preserve"> v1.0</w:t>
      </w:r>
    </w:p>
    <w:p w14:paraId="2F73A014" w14:textId="77777777" w:rsidR="00090569" w:rsidRDefault="00000000">
      <w:pPr>
        <w:spacing w:before="120" w:after="120" w:line="288" w:lineRule="auto"/>
        <w:rPr>
          <w:rFonts w:hint="eastAsia"/>
        </w:rPr>
      </w:pPr>
      <w:r>
        <w:rPr>
          <w:rFonts w:ascii="Arial" w:eastAsia="等线" w:hAnsi="Arial" w:cs="Arial"/>
          <w:b/>
        </w:rPr>
        <w:t>Date:</w:t>
      </w:r>
      <w:r>
        <w:rPr>
          <w:rFonts w:ascii="Arial" w:eastAsia="等线" w:hAnsi="Arial" w:cs="Arial"/>
        </w:rPr>
        <w:t xml:space="preserve"> Feb. 8, 2026</w:t>
      </w:r>
    </w:p>
    <w:p w14:paraId="01D0E1F5" w14:textId="77777777" w:rsidR="00090569" w:rsidRDefault="00090569">
      <w:pPr>
        <w:spacing w:before="120" w:after="120" w:line="288" w:lineRule="auto"/>
        <w:rPr>
          <w:rFonts w:hint="eastAsia"/>
        </w:rPr>
      </w:pPr>
    </w:p>
    <w:p w14:paraId="45791A71" w14:textId="77777777" w:rsidR="00090569" w:rsidRDefault="00000000">
      <w:pPr>
        <w:spacing w:before="120" w:after="120" w:line="288" w:lineRule="auto"/>
        <w:rPr>
          <w:rFonts w:hint="eastAsia"/>
        </w:rPr>
      </w:pPr>
      <w:r>
        <w:rPr>
          <w:rFonts w:ascii="Arial" w:eastAsia="等线" w:hAnsi="Arial" w:cs="Arial"/>
          <w:b/>
        </w:rPr>
        <w:t>Quality Control Summary for Samples and Plates</w:t>
      </w:r>
    </w:p>
    <w:p w14:paraId="51F841DC" w14:textId="77777777" w:rsidR="00090569" w:rsidRDefault="00000000">
      <w:pPr>
        <w:spacing w:before="120" w:after="120" w:line="288" w:lineRule="auto"/>
        <w:rPr>
          <w:rFonts w:hint="eastAsia"/>
        </w:rPr>
      </w:pPr>
      <w:r>
        <w:rPr>
          <w:rFonts w:ascii="Arial" w:eastAsia="等线" w:hAnsi="Arial" w:cs="Arial"/>
          <w:i/>
        </w:rPr>
        <w:t xml:space="preserve">General description of quality control methods and performance outcomes for the </w:t>
      </w:r>
      <w:proofErr w:type="spellStart"/>
      <w:r>
        <w:rPr>
          <w:rFonts w:ascii="Arial" w:eastAsia="等线" w:hAnsi="Arial" w:cs="Arial"/>
          <w:i/>
        </w:rPr>
        <w:t>Proteonano</w:t>
      </w:r>
      <w:proofErr w:type="spellEnd"/>
      <w:r>
        <w:rPr>
          <w:rFonts w:ascii="Arial" w:eastAsia="等线" w:hAnsi="Arial" w:cs="Arial"/>
          <w:i/>
        </w:rPr>
        <w:t>™ HT Plasma Proteomics Assay</w:t>
      </w:r>
    </w:p>
    <w:p w14:paraId="3C03797A" w14:textId="77777777" w:rsidR="00090569" w:rsidRDefault="00000000">
      <w:pPr>
        <w:spacing w:before="320" w:after="120" w:line="288" w:lineRule="auto"/>
        <w:outlineLvl w:val="1"/>
        <w:rPr>
          <w:rFonts w:hint="eastAsia"/>
        </w:rPr>
      </w:pPr>
      <w:bookmarkStart w:id="0" w:name="heading_0"/>
      <w:r>
        <w:rPr>
          <w:rFonts w:ascii="Arial" w:eastAsia="等线" w:hAnsi="Arial" w:cs="Arial"/>
          <w:color w:val="3370FF"/>
          <w:sz w:val="32"/>
        </w:rPr>
        <w:t xml:space="preserve">1. </w:t>
      </w:r>
      <w:r>
        <w:rPr>
          <w:rFonts w:ascii="Arial" w:eastAsia="等线" w:hAnsi="Arial" w:cs="Arial"/>
          <w:b/>
          <w:sz w:val="32"/>
        </w:rPr>
        <w:t>Document Overview</w:t>
      </w:r>
      <w:bookmarkEnd w:id="0"/>
    </w:p>
    <w:p w14:paraId="6C580E04" w14:textId="77777777" w:rsidR="00090569" w:rsidRDefault="00000000">
      <w:pPr>
        <w:spacing w:before="120" w:after="120" w:line="288" w:lineRule="auto"/>
        <w:rPr>
          <w:rFonts w:hint="eastAsia"/>
        </w:rPr>
      </w:pPr>
      <w:r>
        <w:rPr>
          <w:rFonts w:ascii="Arial" w:eastAsia="等线" w:hAnsi="Arial" w:cs="Arial"/>
          <w:b/>
        </w:rPr>
        <w:t>Platform</w:t>
      </w:r>
      <w:r>
        <w:rPr>
          <w:rFonts w:ascii="Arial" w:eastAsia="等线" w:hAnsi="Arial" w:cs="Arial"/>
        </w:rPr>
        <w:br/>
      </w:r>
      <w:proofErr w:type="spellStart"/>
      <w:r>
        <w:rPr>
          <w:rFonts w:ascii="Arial" w:eastAsia="等线" w:hAnsi="Arial" w:cs="Arial"/>
        </w:rPr>
        <w:t>Proteonano</w:t>
      </w:r>
      <w:proofErr w:type="spellEnd"/>
      <w:r>
        <w:rPr>
          <w:rFonts w:ascii="Arial" w:eastAsia="等线" w:hAnsi="Arial" w:cs="Arial"/>
        </w:rPr>
        <w:t>™ HT Assay</w:t>
      </w:r>
    </w:p>
    <w:p w14:paraId="091EA159" w14:textId="77777777" w:rsidR="00090569" w:rsidRDefault="00000000">
      <w:pPr>
        <w:spacing w:before="120" w:after="120" w:line="288" w:lineRule="auto"/>
        <w:rPr>
          <w:rFonts w:hint="eastAsia"/>
        </w:rPr>
      </w:pPr>
      <w:r>
        <w:rPr>
          <w:rFonts w:ascii="Arial" w:eastAsia="等线" w:hAnsi="Arial" w:cs="Arial"/>
          <w:b/>
        </w:rPr>
        <w:t>Calibration and QC System</w:t>
      </w:r>
      <w:r>
        <w:rPr>
          <w:rFonts w:ascii="Arial" w:eastAsia="等线" w:hAnsi="Arial" w:cs="Arial"/>
        </w:rPr>
        <w:br/>
        <w:t xml:space="preserve">PACS – </w:t>
      </w:r>
      <w:proofErr w:type="spellStart"/>
      <w:r>
        <w:rPr>
          <w:rFonts w:ascii="Arial" w:eastAsia="等线" w:hAnsi="Arial" w:cs="Arial"/>
        </w:rPr>
        <w:t>Proteonano</w:t>
      </w:r>
      <w:proofErr w:type="spellEnd"/>
      <w:r>
        <w:rPr>
          <w:rFonts w:ascii="Arial" w:eastAsia="等线" w:hAnsi="Arial" w:cs="Arial"/>
        </w:rPr>
        <w:t xml:space="preserve"> Assay Calibration &amp; Standards</w:t>
      </w:r>
    </w:p>
    <w:p w14:paraId="77208A67" w14:textId="77777777" w:rsidR="00090569" w:rsidRDefault="00000000">
      <w:pPr>
        <w:spacing w:before="120" w:after="120" w:line="288" w:lineRule="auto"/>
        <w:rPr>
          <w:rFonts w:hint="eastAsia"/>
        </w:rPr>
      </w:pPr>
      <w:r>
        <w:rPr>
          <w:rFonts w:ascii="Arial" w:eastAsia="等线" w:hAnsi="Arial" w:cs="Arial"/>
          <w:b/>
        </w:rPr>
        <w:t>Application</w:t>
      </w:r>
      <w:r>
        <w:rPr>
          <w:rFonts w:ascii="Arial" w:eastAsia="等线" w:hAnsi="Arial" w:cs="Arial"/>
        </w:rPr>
        <w:br/>
        <w:t>High-throughput, large-cohort plasma proteomics</w:t>
      </w:r>
    </w:p>
    <w:p w14:paraId="366A7EAA" w14:textId="77777777" w:rsidR="00090569" w:rsidRDefault="00000000">
      <w:pPr>
        <w:spacing w:before="120" w:after="120" w:line="288" w:lineRule="auto"/>
        <w:rPr>
          <w:rFonts w:hint="eastAsia"/>
        </w:rPr>
      </w:pPr>
      <w:r>
        <w:rPr>
          <w:rFonts w:ascii="Arial" w:eastAsia="等线" w:hAnsi="Arial" w:cs="Arial"/>
          <w:b/>
        </w:rPr>
        <w:t>Client</w:t>
      </w:r>
    </w:p>
    <w:p w14:paraId="2E8A134E" w14:textId="77777777" w:rsidR="00090569" w:rsidRDefault="00000000">
      <w:pPr>
        <w:spacing w:before="120" w:after="120" w:line="288" w:lineRule="auto"/>
        <w:rPr>
          <w:rFonts w:hint="eastAsia"/>
        </w:rPr>
      </w:pPr>
      <w:r>
        <w:rPr>
          <w:rFonts w:ascii="Arial" w:eastAsia="等线" w:hAnsi="Arial" w:cs="Arial"/>
        </w:rPr>
        <w:t>XXXXXX</w:t>
      </w:r>
    </w:p>
    <w:p w14:paraId="02135F1F" w14:textId="77777777" w:rsidR="00090569" w:rsidRDefault="00000000">
      <w:pPr>
        <w:spacing w:before="120" w:after="120" w:line="288" w:lineRule="auto"/>
        <w:rPr>
          <w:rFonts w:hint="eastAsia"/>
        </w:rPr>
      </w:pPr>
      <w:proofErr w:type="spellStart"/>
      <w:r>
        <w:rPr>
          <w:rFonts w:ascii="Arial" w:eastAsia="等线" w:hAnsi="Arial" w:cs="Arial"/>
          <w:b/>
        </w:rPr>
        <w:t>StudyID</w:t>
      </w:r>
      <w:proofErr w:type="spellEnd"/>
    </w:p>
    <w:p w14:paraId="3C34DC30" w14:textId="77777777" w:rsidR="00090569" w:rsidRDefault="00000000">
      <w:pPr>
        <w:spacing w:before="120" w:after="120" w:line="288" w:lineRule="auto"/>
        <w:rPr>
          <w:rFonts w:hint="eastAsia"/>
        </w:rPr>
      </w:pPr>
      <w:r>
        <w:rPr>
          <w:rFonts w:ascii="Arial" w:eastAsia="等线" w:hAnsi="Arial" w:cs="Arial"/>
        </w:rPr>
        <w:t>XXXXXX</w:t>
      </w:r>
    </w:p>
    <w:p w14:paraId="52EFF28F" w14:textId="77777777" w:rsidR="00090569" w:rsidRDefault="00000000">
      <w:pPr>
        <w:spacing w:before="120" w:after="120" w:line="288" w:lineRule="auto"/>
        <w:rPr>
          <w:rFonts w:hint="eastAsia"/>
        </w:rPr>
      </w:pPr>
      <w:r>
        <w:rPr>
          <w:rFonts w:ascii="Arial" w:eastAsia="等线" w:hAnsi="Arial" w:cs="Arial"/>
          <w:b/>
        </w:rPr>
        <w:t>Date</w:t>
      </w:r>
    </w:p>
    <w:p w14:paraId="5A392F9D" w14:textId="77777777" w:rsidR="00090569" w:rsidRDefault="00000000">
      <w:pPr>
        <w:spacing w:before="120" w:after="120" w:line="288" w:lineRule="auto"/>
        <w:rPr>
          <w:rFonts w:hint="eastAsia"/>
        </w:rPr>
      </w:pPr>
      <w:r>
        <w:rPr>
          <w:rFonts w:ascii="Arial" w:eastAsia="等线" w:hAnsi="Arial" w:cs="Arial"/>
        </w:rPr>
        <w:t>MM/DD/YYYY</w:t>
      </w:r>
    </w:p>
    <w:p w14:paraId="5EE487CE" w14:textId="77777777" w:rsidR="00090569" w:rsidRDefault="00000000">
      <w:pPr>
        <w:spacing w:before="120" w:after="120" w:line="288" w:lineRule="auto"/>
        <w:rPr>
          <w:rFonts w:hint="eastAsia"/>
        </w:rPr>
      </w:pPr>
      <w:r>
        <w:rPr>
          <w:rFonts w:ascii="Arial" w:eastAsia="等线" w:hAnsi="Arial" w:cs="Arial"/>
          <w:b/>
        </w:rPr>
        <w:t>Intended Use</w:t>
      </w:r>
      <w:r>
        <w:rPr>
          <w:rFonts w:ascii="Arial" w:eastAsia="等线" w:hAnsi="Arial" w:cs="Arial"/>
        </w:rPr>
        <w:br/>
        <w:t>Research Use Only (RUO)</w:t>
      </w:r>
    </w:p>
    <w:p w14:paraId="003AC7A6" w14:textId="77777777" w:rsidR="00090569" w:rsidRDefault="00000000">
      <w:pPr>
        <w:spacing w:before="300" w:after="120" w:line="288" w:lineRule="auto"/>
        <w:outlineLvl w:val="2"/>
        <w:rPr>
          <w:rFonts w:hint="eastAsia"/>
        </w:rPr>
      </w:pPr>
      <w:bookmarkStart w:id="1" w:name="heading_1"/>
      <w:r>
        <w:rPr>
          <w:rFonts w:ascii="Arial" w:eastAsia="等线" w:hAnsi="Arial" w:cs="Arial"/>
          <w:b/>
          <w:sz w:val="30"/>
        </w:rPr>
        <w:t>Document Purpose</w:t>
      </w:r>
      <w:bookmarkEnd w:id="1"/>
    </w:p>
    <w:p w14:paraId="6A09EEAA" w14:textId="77777777" w:rsidR="00090569" w:rsidRDefault="00000000">
      <w:pPr>
        <w:spacing w:before="120" w:after="120" w:line="288" w:lineRule="auto"/>
        <w:rPr>
          <w:rFonts w:hint="eastAsia"/>
        </w:rPr>
      </w:pPr>
      <w:r>
        <w:rPr>
          <w:rFonts w:ascii="Arial" w:eastAsia="等线" w:hAnsi="Arial" w:cs="Arial"/>
        </w:rPr>
        <w:t xml:space="preserve">This </w:t>
      </w:r>
      <w:proofErr w:type="spellStart"/>
      <w:r>
        <w:rPr>
          <w:rFonts w:ascii="Arial" w:eastAsia="等线" w:hAnsi="Arial" w:cs="Arial"/>
        </w:rPr>
        <w:t>Proteonano</w:t>
      </w:r>
      <w:proofErr w:type="spellEnd"/>
      <w:r>
        <w:rPr>
          <w:rFonts w:ascii="Arial" w:eastAsia="等线" w:hAnsi="Arial" w:cs="Arial"/>
        </w:rPr>
        <w:t xml:space="preserve">™ HT Quality Statement (PQS) summarizes the quality control, calibration, normalization, and performance evaluation applied to samples processed using the </w:t>
      </w:r>
      <w:proofErr w:type="spellStart"/>
      <w:r>
        <w:rPr>
          <w:rFonts w:ascii="Arial" w:eastAsia="等线" w:hAnsi="Arial" w:cs="Arial"/>
        </w:rPr>
        <w:t>Proteonano</w:t>
      </w:r>
      <w:proofErr w:type="spellEnd"/>
      <w:r>
        <w:rPr>
          <w:rFonts w:ascii="Arial" w:eastAsia="等线" w:hAnsi="Arial" w:cs="Arial"/>
        </w:rPr>
        <w:t>™ HT assay. The purpose of this report is to provide transparent, standardized documentation of assay performance across samples, plates, and analytical runs, supporting confidence in data quality, reproducibility, and cross-batch comparability.</w:t>
      </w:r>
    </w:p>
    <w:p w14:paraId="1A15D4EA" w14:textId="77777777" w:rsidR="00090569" w:rsidRDefault="00090569">
      <w:pPr>
        <w:spacing w:before="120" w:after="120" w:line="288" w:lineRule="auto"/>
        <w:rPr>
          <w:rFonts w:hint="eastAsia"/>
        </w:rPr>
      </w:pPr>
    </w:p>
    <w:p w14:paraId="5295DF1C" w14:textId="77777777" w:rsidR="00090569" w:rsidRDefault="00000000">
      <w:pPr>
        <w:spacing w:before="320" w:after="120" w:line="288" w:lineRule="auto"/>
        <w:outlineLvl w:val="1"/>
        <w:rPr>
          <w:rFonts w:hint="eastAsia"/>
        </w:rPr>
      </w:pPr>
      <w:bookmarkStart w:id="2" w:name="heading_2"/>
      <w:r>
        <w:rPr>
          <w:rFonts w:ascii="Arial" w:eastAsia="等线" w:hAnsi="Arial" w:cs="Arial"/>
          <w:color w:val="3370FF"/>
          <w:sz w:val="32"/>
        </w:rPr>
        <w:t xml:space="preserve">2. </w:t>
      </w:r>
      <w:r>
        <w:rPr>
          <w:rFonts w:ascii="Arial" w:eastAsia="等线" w:hAnsi="Arial" w:cs="Arial"/>
          <w:b/>
          <w:sz w:val="32"/>
        </w:rPr>
        <w:t>Quality Control Framework Overview</w:t>
      </w:r>
      <w:bookmarkEnd w:id="2"/>
    </w:p>
    <w:p w14:paraId="5A9D27A9" w14:textId="77777777" w:rsidR="00090569" w:rsidRDefault="00000000">
      <w:pPr>
        <w:spacing w:before="120" w:after="120" w:line="288" w:lineRule="auto"/>
        <w:rPr>
          <w:rFonts w:hint="eastAsia"/>
        </w:rPr>
      </w:pPr>
      <w:r>
        <w:rPr>
          <w:rFonts w:ascii="Arial" w:eastAsia="等线" w:hAnsi="Arial" w:cs="Arial"/>
        </w:rPr>
        <w:t xml:space="preserve">The </w:t>
      </w:r>
      <w:proofErr w:type="spellStart"/>
      <w:r>
        <w:rPr>
          <w:rFonts w:ascii="Arial" w:eastAsia="等线" w:hAnsi="Arial" w:cs="Arial"/>
        </w:rPr>
        <w:t>Proteonano</w:t>
      </w:r>
      <w:proofErr w:type="spellEnd"/>
      <w:r>
        <w:rPr>
          <w:rFonts w:ascii="Arial" w:eastAsia="等线" w:hAnsi="Arial" w:cs="Arial"/>
        </w:rPr>
        <w:t>™ HT assay incorporates a multi-layered quality control framework embedded directly into the 96-well workflow. Quality controls are strategically placed to monitor distinct sources of technical variability arising during sample preparation, plate-based processing, and LC–MS analysis.</w:t>
      </w:r>
    </w:p>
    <w:p w14:paraId="5A076D36" w14:textId="77777777" w:rsidR="00090569" w:rsidRDefault="00090569">
      <w:pPr>
        <w:spacing w:before="120" w:after="120" w:line="288" w:lineRule="auto"/>
        <w:rPr>
          <w:rFonts w:hint="eastAsia"/>
        </w:rPr>
      </w:pPr>
    </w:p>
    <w:p w14:paraId="69F5A341" w14:textId="77777777" w:rsidR="00090569" w:rsidRDefault="00000000">
      <w:pPr>
        <w:spacing w:before="120" w:after="120" w:line="288" w:lineRule="auto"/>
        <w:rPr>
          <w:rFonts w:hint="eastAsia"/>
        </w:rPr>
      </w:pPr>
      <w:r>
        <w:rPr>
          <w:rFonts w:ascii="Arial" w:eastAsia="等线" w:hAnsi="Arial" w:cs="Arial"/>
          <w:b/>
        </w:rPr>
        <w:t>Embedded QC Architecture</w:t>
      </w:r>
    </w:p>
    <w:p w14:paraId="0F84F15F" w14:textId="77777777" w:rsidR="00090569" w:rsidRDefault="00000000">
      <w:pPr>
        <w:spacing w:before="120" w:after="120" w:line="288" w:lineRule="auto"/>
        <w:rPr>
          <w:rFonts w:hint="eastAsia"/>
        </w:rPr>
      </w:pPr>
      <w:r>
        <w:object w:dxaOrig="8280" w:dyaOrig="2460" w14:anchorId="0B4D42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23pt;mso-width-percent:0;mso-height-percent:0;mso-width-percent:0;mso-height-percent:0" o:ole="">
            <v:imagedata r:id="rId7" o:title=""/>
          </v:shape>
          <o:OLEObject Type="Embed" ProgID="Excel.Sheet.12" ShapeID="_x0000_i1025" DrawAspect="Icon" ObjectID="_1845465620" r:id="rId8"/>
        </w:object>
      </w:r>
    </w:p>
    <w:p w14:paraId="1A3F0B01" w14:textId="77777777" w:rsidR="00090569" w:rsidRDefault="00000000">
      <w:pPr>
        <w:spacing w:before="120" w:after="120" w:line="288" w:lineRule="auto"/>
        <w:rPr>
          <w:rFonts w:hint="eastAsia"/>
        </w:rPr>
      </w:pPr>
      <w:r>
        <w:rPr>
          <w:rFonts w:ascii="Arial" w:eastAsia="等线" w:hAnsi="Arial" w:cs="Arial"/>
        </w:rPr>
        <w:t>QC elements are embedded at their point of origin, enabling targeted correction rather than global post hoc normalization.</w:t>
      </w:r>
    </w:p>
    <w:p w14:paraId="7F95E26D" w14:textId="77777777" w:rsidR="00090569" w:rsidRDefault="00000000">
      <w:pPr>
        <w:spacing w:before="320" w:after="120" w:line="288" w:lineRule="auto"/>
        <w:outlineLvl w:val="1"/>
        <w:rPr>
          <w:rFonts w:hint="eastAsia"/>
        </w:rPr>
      </w:pPr>
      <w:bookmarkStart w:id="3" w:name="heading_3"/>
      <w:r>
        <w:rPr>
          <w:rFonts w:ascii="Arial" w:eastAsia="等线" w:hAnsi="Arial" w:cs="Arial"/>
          <w:color w:val="3370FF"/>
          <w:sz w:val="32"/>
        </w:rPr>
        <w:t xml:space="preserve">3. </w:t>
      </w:r>
      <w:r>
        <w:rPr>
          <w:rFonts w:ascii="Arial" w:eastAsia="等线" w:hAnsi="Arial" w:cs="Arial"/>
          <w:b/>
          <w:sz w:val="32"/>
        </w:rPr>
        <w:t>Calibration &amp; Normalization Summary</w:t>
      </w:r>
      <w:bookmarkEnd w:id="3"/>
    </w:p>
    <w:p w14:paraId="341C713A" w14:textId="77777777" w:rsidR="00090569" w:rsidRDefault="00000000">
      <w:pPr>
        <w:spacing w:before="300" w:after="120" w:line="288" w:lineRule="auto"/>
        <w:outlineLvl w:val="2"/>
        <w:rPr>
          <w:rFonts w:hint="eastAsia"/>
        </w:rPr>
      </w:pPr>
      <w:bookmarkStart w:id="4" w:name="heading_4"/>
      <w:r>
        <w:rPr>
          <w:rFonts w:ascii="Arial" w:eastAsia="等线" w:hAnsi="Arial" w:cs="Arial"/>
          <w:b/>
          <w:sz w:val="30"/>
        </w:rPr>
        <w:t>Sample Summary</w:t>
      </w:r>
      <w:bookmarkEnd w:id="4"/>
    </w:p>
    <w:p w14:paraId="42307AD6" w14:textId="77777777" w:rsidR="00090569" w:rsidRDefault="00000000">
      <w:pPr>
        <w:spacing w:before="120" w:after="120" w:line="288" w:lineRule="auto"/>
        <w:rPr>
          <w:rFonts w:hint="eastAsia"/>
        </w:rPr>
      </w:pPr>
      <w:r>
        <w:rPr>
          <w:rFonts w:ascii="Arial" w:eastAsia="等线" w:hAnsi="Arial" w:cs="Arial"/>
        </w:rPr>
        <w:t>The table below summarizes the total number of biological samples and associated controls evaluated in this study, including pass and flag counts based on established quality criteria. Samples flagged by quality metrics are evaluated on a case-by-case basis to assess the appropriateness of normalization and their impact on downstream quantitative analyses.</w:t>
      </w:r>
    </w:p>
    <w:p w14:paraId="58E5497E" w14:textId="77777777" w:rsidR="00090569" w:rsidRDefault="00090569">
      <w:pPr>
        <w:spacing w:before="120" w:after="120" w:line="288" w:lineRule="auto"/>
        <w:rPr>
          <w:rFonts w:hint="eastAsia"/>
        </w:rPr>
      </w:pPr>
    </w:p>
    <w:p w14:paraId="6F415A3C" w14:textId="77777777" w:rsidR="00090569" w:rsidRDefault="00000000">
      <w:pPr>
        <w:spacing w:before="120" w:after="120" w:line="288" w:lineRule="auto"/>
        <w:rPr>
          <w:rFonts w:hint="eastAsia"/>
        </w:rPr>
      </w:pPr>
      <w:r>
        <w:rPr>
          <w:rFonts w:ascii="Arial" w:eastAsia="等线" w:hAnsi="Arial" w:cs="Arial"/>
        </w:rPr>
        <w:t>Table: Sample &amp; QC Summary</w:t>
      </w:r>
    </w:p>
    <w:p w14:paraId="392FAC7A" w14:textId="77777777" w:rsidR="00090569" w:rsidRDefault="00000000">
      <w:pPr>
        <w:spacing w:before="120" w:after="120" w:line="288" w:lineRule="auto"/>
        <w:rPr>
          <w:rFonts w:hint="eastAsia"/>
        </w:rPr>
      </w:pPr>
      <w:r>
        <w:object w:dxaOrig="8280" w:dyaOrig="2460" w14:anchorId="2E074FF7">
          <v:shape id="_x0000_i1026" type="#_x0000_t75" style="width:414pt;height:123pt;mso-width-percent:0;mso-height-percent:0;mso-width-percent:0;mso-height-percent:0" o:ole="">
            <v:imagedata r:id="rId9" o:title=""/>
          </v:shape>
          <o:OLEObject Type="Embed" ProgID="Excel.Sheet.12" ShapeID="_x0000_i1026" DrawAspect="Icon" ObjectID="_1845465621" r:id="rId10"/>
        </w:object>
      </w:r>
    </w:p>
    <w:p w14:paraId="02484C04" w14:textId="77777777" w:rsidR="00090569" w:rsidRDefault="00000000">
      <w:pPr>
        <w:spacing w:before="300" w:after="120" w:line="288" w:lineRule="auto"/>
        <w:outlineLvl w:val="2"/>
        <w:rPr>
          <w:rFonts w:hint="eastAsia"/>
        </w:rPr>
      </w:pPr>
      <w:bookmarkStart w:id="5" w:name="heading_5"/>
      <w:r>
        <w:rPr>
          <w:rFonts w:ascii="Arial" w:eastAsia="等线" w:hAnsi="Arial" w:cs="Arial"/>
          <w:b/>
          <w:sz w:val="30"/>
        </w:rPr>
        <w:lastRenderedPageBreak/>
        <w:t>Quality Control Metrics &amp; Flags</w:t>
      </w:r>
      <w:bookmarkEnd w:id="5"/>
    </w:p>
    <w:p w14:paraId="2A98F239" w14:textId="77777777" w:rsidR="00090569" w:rsidRDefault="00000000">
      <w:pPr>
        <w:spacing w:before="120" w:after="120" w:line="288" w:lineRule="auto"/>
        <w:rPr>
          <w:rFonts w:hint="eastAsia"/>
        </w:rPr>
      </w:pPr>
      <w:r>
        <w:rPr>
          <w:rFonts w:ascii="Arial" w:eastAsia="等线" w:hAnsi="Arial" w:cs="Arial"/>
        </w:rPr>
        <w:t xml:space="preserve">The table below summarizes the quality control metrics evaluated for the </w:t>
      </w:r>
      <w:proofErr w:type="spellStart"/>
      <w:r>
        <w:rPr>
          <w:rFonts w:ascii="Arial" w:eastAsia="等线" w:hAnsi="Arial" w:cs="Arial"/>
        </w:rPr>
        <w:t>Proteonano</w:t>
      </w:r>
      <w:proofErr w:type="spellEnd"/>
      <w:r>
        <w:rPr>
          <w:rFonts w:ascii="Arial" w:eastAsia="等线" w:hAnsi="Arial" w:cs="Arial"/>
        </w:rPr>
        <w:t>™ HT assay, along with their corresponding acceptance criteria and assessment outcomes. These metrics are designed to monitor assay performance across sample preparation, plate-based processing, and LC–MS detection. Each metric is evaluated independently, and results are reported as pass or flag based on predefined thresholds. Metrics that fall outside acceptance criteria are flagged for review rather than automatically excluded, allowing informed decisions based on normalization performance and study context.</w:t>
      </w:r>
    </w:p>
    <w:p w14:paraId="48913419" w14:textId="77777777" w:rsidR="00090569" w:rsidRDefault="00090569">
      <w:pPr>
        <w:spacing w:before="120" w:after="120" w:line="288" w:lineRule="auto"/>
        <w:rPr>
          <w:rFonts w:hint="eastAsia"/>
        </w:rPr>
      </w:pPr>
    </w:p>
    <w:p w14:paraId="05888731" w14:textId="77777777" w:rsidR="00090569" w:rsidRDefault="00000000">
      <w:pPr>
        <w:spacing w:before="120" w:after="120" w:line="288" w:lineRule="auto"/>
        <w:rPr>
          <w:rFonts w:hint="eastAsia"/>
        </w:rPr>
      </w:pPr>
      <w:r>
        <w:rPr>
          <w:rFonts w:ascii="Arial" w:eastAsia="等线" w:hAnsi="Arial" w:cs="Arial"/>
        </w:rPr>
        <w:t>Table: QC Metrics and Acceptance Criteria</w:t>
      </w:r>
    </w:p>
    <w:p w14:paraId="61B709B0" w14:textId="77777777" w:rsidR="00090569" w:rsidRDefault="00000000">
      <w:pPr>
        <w:spacing w:before="120" w:after="120" w:line="288" w:lineRule="auto"/>
        <w:rPr>
          <w:rFonts w:hint="eastAsia"/>
        </w:rPr>
      </w:pPr>
      <w:r>
        <w:object w:dxaOrig="8280" w:dyaOrig="2460" w14:anchorId="69938CBF">
          <v:shape id="_x0000_i1027" type="#_x0000_t75" style="width:414pt;height:123pt;mso-width-percent:0;mso-height-percent:0;mso-width-percent:0;mso-height-percent:0" o:ole="">
            <v:imagedata r:id="rId11" o:title=""/>
          </v:shape>
          <o:OLEObject Type="Embed" ProgID="Excel.Sheet.12" ShapeID="_x0000_i1027" DrawAspect="Icon" ObjectID="_1845465622" r:id="rId12"/>
        </w:object>
      </w:r>
    </w:p>
    <w:p w14:paraId="5DCAF7FD" w14:textId="77777777" w:rsidR="00090569" w:rsidRDefault="00090569">
      <w:pPr>
        <w:spacing w:before="120" w:after="120" w:line="288" w:lineRule="auto"/>
        <w:rPr>
          <w:rFonts w:hint="eastAsia"/>
        </w:rPr>
      </w:pPr>
    </w:p>
    <w:p w14:paraId="4E9880EC" w14:textId="77777777" w:rsidR="00090569" w:rsidRDefault="00000000">
      <w:pPr>
        <w:spacing w:before="300" w:after="120" w:line="288" w:lineRule="auto"/>
        <w:outlineLvl w:val="2"/>
        <w:rPr>
          <w:rFonts w:hint="eastAsia"/>
        </w:rPr>
      </w:pPr>
      <w:bookmarkStart w:id="6" w:name="heading_6"/>
      <w:r>
        <w:rPr>
          <w:rFonts w:ascii="Arial" w:eastAsia="等线" w:hAnsi="Arial" w:cs="Arial"/>
          <w:b/>
          <w:sz w:val="30"/>
        </w:rPr>
        <w:t>Plate-Level Normalization</w:t>
      </w:r>
      <w:bookmarkEnd w:id="6"/>
    </w:p>
    <w:p w14:paraId="4B96B9AC" w14:textId="77777777" w:rsidR="00090569" w:rsidRDefault="00000000">
      <w:pPr>
        <w:spacing w:before="120" w:after="120" w:line="288" w:lineRule="auto"/>
        <w:rPr>
          <w:rFonts w:hint="eastAsia"/>
        </w:rPr>
      </w:pPr>
      <w:r>
        <w:rPr>
          <w:rFonts w:ascii="Arial" w:eastAsia="等线" w:hAnsi="Arial" w:cs="Arial"/>
        </w:rPr>
        <w:t>Plate Scaling is derived from the median of reference signal ratios calculated from pooled plasma QC samples distributed across each plate, yielding a single plate-level scaling factor applied uniformly to all samples on the plate. This scaling primarily reflects systematic variability introduced during plate-based processing, including liquid handling performance. The plate scaling factor acceptance criteria is defined as -0.64–0.66 per plate.</w:t>
      </w:r>
    </w:p>
    <w:p w14:paraId="705DD073" w14:textId="77777777" w:rsidR="00090569" w:rsidRDefault="00000000">
      <w:pPr>
        <w:spacing w:before="120" w:after="120" w:line="288" w:lineRule="auto"/>
        <w:rPr>
          <w:rFonts w:hint="eastAsia"/>
        </w:rPr>
      </w:pPr>
      <w:r>
        <w:object w:dxaOrig="8280" w:dyaOrig="1380" w14:anchorId="5C8B694E">
          <v:shape id="_x0000_i1028" type="#_x0000_t75" style="width:414pt;height:69pt;mso-width-percent:0;mso-height-percent:0;mso-width-percent:0;mso-height-percent:0" o:ole="">
            <v:imagedata r:id="rId13" o:title=""/>
          </v:shape>
          <o:OLEObject Type="Embed" ProgID="Excel.Sheet.12" ShapeID="_x0000_i1028" DrawAspect="Icon" ObjectID="_1845465623" r:id="rId14"/>
        </w:object>
      </w:r>
    </w:p>
    <w:p w14:paraId="1E0B6F3A" w14:textId="77777777" w:rsidR="00090569" w:rsidRDefault="00000000">
      <w:pPr>
        <w:spacing w:before="120" w:after="120" w:line="288" w:lineRule="auto"/>
        <w:rPr>
          <w:rFonts w:hint="eastAsia"/>
        </w:rPr>
      </w:pPr>
      <w:r>
        <w:rPr>
          <w:rFonts w:ascii="Arial" w:eastAsia="等线" w:hAnsi="Arial" w:cs="Arial"/>
        </w:rPr>
        <w:t>Plate scaling factors were within predefined limits, indicating stable plate-based processing.</w:t>
      </w:r>
    </w:p>
    <w:p w14:paraId="37B6C0EA" w14:textId="77777777" w:rsidR="00090569" w:rsidRDefault="00090569">
      <w:pPr>
        <w:spacing w:before="120" w:after="120" w:line="288" w:lineRule="auto"/>
        <w:rPr>
          <w:rFonts w:hint="eastAsia"/>
        </w:rPr>
      </w:pPr>
    </w:p>
    <w:p w14:paraId="7913975D" w14:textId="77777777" w:rsidR="00090569" w:rsidRDefault="00000000">
      <w:pPr>
        <w:spacing w:before="300" w:after="120" w:line="288" w:lineRule="auto"/>
        <w:outlineLvl w:val="2"/>
        <w:rPr>
          <w:rFonts w:hint="eastAsia"/>
        </w:rPr>
      </w:pPr>
      <w:bookmarkStart w:id="7" w:name="heading_7"/>
      <w:r>
        <w:rPr>
          <w:rFonts w:ascii="Arial" w:eastAsia="等线" w:hAnsi="Arial" w:cs="Arial"/>
          <w:b/>
          <w:sz w:val="30"/>
        </w:rPr>
        <w:t>Sample-Level Calibration &amp; Normalization</w:t>
      </w:r>
      <w:bookmarkEnd w:id="7"/>
    </w:p>
    <w:p w14:paraId="7FA2BA20" w14:textId="77777777" w:rsidR="00090569" w:rsidRDefault="00090569">
      <w:pPr>
        <w:spacing w:before="120" w:after="120" w:line="288" w:lineRule="auto"/>
        <w:rPr>
          <w:rFonts w:hint="eastAsia"/>
        </w:rPr>
      </w:pPr>
    </w:p>
    <w:p w14:paraId="20CB5AD5" w14:textId="77777777" w:rsidR="00090569" w:rsidRDefault="00000000">
      <w:pPr>
        <w:spacing w:before="120" w:after="120" w:line="288" w:lineRule="auto"/>
        <w:rPr>
          <w:rFonts w:hint="eastAsia"/>
        </w:rPr>
      </w:pPr>
      <w:r>
        <w:rPr>
          <w:rFonts w:ascii="Arial" w:eastAsia="等线" w:hAnsi="Arial" w:cs="Arial"/>
        </w:rPr>
        <w:lastRenderedPageBreak/>
        <w:t>Sample-level calibration factors were evaluated across all study samples to assess normalization performance and signal consistency. Individual sample scale factors are summarized using distribution-based metrics and pass/flag counts rather than reported individually. This approach provides a robust overview of sample-level performance while avoiding over-interpretation of isolated sample-level variability.</w:t>
      </w:r>
    </w:p>
    <w:p w14:paraId="346864F0" w14:textId="77777777" w:rsidR="00090569" w:rsidRDefault="00000000">
      <w:pPr>
        <w:spacing w:before="120" w:after="120" w:line="288" w:lineRule="auto"/>
        <w:rPr>
          <w:rFonts w:hint="eastAsia"/>
        </w:rPr>
      </w:pPr>
      <w:r>
        <w:object w:dxaOrig="8280" w:dyaOrig="2180" w14:anchorId="6B53C115">
          <v:shape id="_x0000_i1029" type="#_x0000_t75" style="width:414pt;height:109pt;mso-width-percent:0;mso-height-percent:0;mso-width-percent:0;mso-height-percent:0" o:ole="">
            <v:imagedata r:id="rId15" o:title=""/>
          </v:shape>
          <o:OLEObject Type="Embed" ProgID="Excel.Sheet.12" ShapeID="_x0000_i1029" DrawAspect="Icon" ObjectID="_1845465624" r:id="rId16"/>
        </w:object>
      </w:r>
    </w:p>
    <w:p w14:paraId="0B899286" w14:textId="77777777" w:rsidR="00090569" w:rsidRDefault="00090569">
      <w:pPr>
        <w:spacing w:before="120" w:after="120" w:line="288" w:lineRule="auto"/>
        <w:rPr>
          <w:rFonts w:hint="eastAsia"/>
        </w:rPr>
      </w:pPr>
    </w:p>
    <w:p w14:paraId="37C6DE38" w14:textId="77777777" w:rsidR="00090569" w:rsidRDefault="00000000">
      <w:pPr>
        <w:spacing w:before="300" w:after="120" w:line="288" w:lineRule="auto"/>
        <w:outlineLvl w:val="2"/>
        <w:rPr>
          <w:rFonts w:hint="eastAsia"/>
        </w:rPr>
      </w:pPr>
      <w:bookmarkStart w:id="8" w:name="heading_8"/>
      <w:r>
        <w:rPr>
          <w:rFonts w:ascii="Arial" w:eastAsia="等线" w:hAnsi="Arial" w:cs="Arial"/>
          <w:b/>
          <w:sz w:val="30"/>
        </w:rPr>
        <w:t>Inter-Study Normalization</w:t>
      </w:r>
      <w:bookmarkEnd w:id="8"/>
    </w:p>
    <w:p w14:paraId="6347E561" w14:textId="77777777" w:rsidR="00090569" w:rsidRDefault="00000000">
      <w:pPr>
        <w:spacing w:before="120" w:after="120" w:line="288" w:lineRule="auto"/>
        <w:rPr>
          <w:rFonts w:hint="eastAsia"/>
        </w:rPr>
      </w:pPr>
      <w:r>
        <w:rPr>
          <w:rFonts w:ascii="Arial" w:eastAsia="等线" w:hAnsi="Arial" w:cs="Arial"/>
        </w:rPr>
        <w:t>Inter-study normalization is applied to evaluate and align signal scale across independent cohorts processed at different times or under different analytical conditions. Historical PACS reference distributions are used to assess whether systematic shifts in signal intensity are present at the cohort level. When deviations exceed predefined thresholds, an alignment factor is applied to harmonize cohort-level signal scale while preserving within-cohort relative abundance patterns.</w:t>
      </w:r>
    </w:p>
    <w:p w14:paraId="5837AEAD" w14:textId="77777777" w:rsidR="00090569" w:rsidRDefault="00090569">
      <w:pPr>
        <w:spacing w:before="120" w:after="120" w:line="288" w:lineRule="auto"/>
        <w:rPr>
          <w:rFonts w:hint="eastAsia"/>
        </w:rPr>
      </w:pPr>
    </w:p>
    <w:p w14:paraId="6B350706" w14:textId="77777777" w:rsidR="00090569" w:rsidRDefault="00000000">
      <w:pPr>
        <w:spacing w:before="120" w:after="120" w:line="288" w:lineRule="auto"/>
        <w:rPr>
          <w:rFonts w:hint="eastAsia"/>
        </w:rPr>
      </w:pPr>
      <w:r>
        <w:rPr>
          <w:rFonts w:ascii="Arial" w:eastAsia="等线" w:hAnsi="Arial" w:cs="Arial"/>
          <w:b/>
        </w:rPr>
        <w:t>Inter-study correction status:</w:t>
      </w:r>
      <w:r>
        <w:rPr>
          <w:rFonts w:ascii="Arial" w:eastAsia="等线" w:hAnsi="Arial" w:cs="Arial"/>
        </w:rPr>
        <w:t xml:space="preserve"> on/off</w:t>
      </w:r>
    </w:p>
    <w:p w14:paraId="6C5B6BC3" w14:textId="77777777" w:rsidR="00090569" w:rsidRDefault="00000000">
      <w:pPr>
        <w:spacing w:before="120" w:after="120" w:line="288" w:lineRule="auto"/>
        <w:jc w:val="center"/>
        <w:rPr>
          <w:rFonts w:hint="eastAsia"/>
        </w:rPr>
      </w:pPr>
      <w:r>
        <w:rPr>
          <w:noProof/>
        </w:rPr>
        <w:lastRenderedPageBreak/>
        <w:drawing>
          <wp:inline distT="0" distB="0" distL="0" distR="0" wp14:anchorId="0723241D" wp14:editId="6A2D2C26">
            <wp:extent cx="2076450" cy="4152900"/>
            <wp:effectExtent l="0" t="0" r="0" b="0"/>
            <wp:docPr id="229165390"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17"/>
                    <a:stretch>
                      <a:fillRect/>
                    </a:stretch>
                  </pic:blipFill>
                  <pic:spPr>
                    <a:xfrm>
                      <a:off x="0" y="0"/>
                      <a:ext cx="2076450" cy="4152900"/>
                    </a:xfrm>
                    <a:prstGeom prst="rect">
                      <a:avLst/>
                    </a:prstGeom>
                  </pic:spPr>
                </pic:pic>
              </a:graphicData>
            </a:graphic>
          </wp:inline>
        </w:drawing>
      </w:r>
    </w:p>
    <w:p w14:paraId="0A41F7FA" w14:textId="77777777" w:rsidR="00090569" w:rsidRDefault="00090569">
      <w:pPr>
        <w:spacing w:before="120" w:after="120" w:line="288" w:lineRule="auto"/>
        <w:rPr>
          <w:rFonts w:hint="eastAsia"/>
        </w:rPr>
      </w:pPr>
    </w:p>
    <w:p w14:paraId="1FD2E719" w14:textId="05601C66" w:rsidR="00090569" w:rsidRDefault="00000000">
      <w:pPr>
        <w:spacing w:before="300" w:after="120" w:line="288" w:lineRule="auto"/>
        <w:outlineLvl w:val="2"/>
        <w:rPr>
          <w:rFonts w:hint="eastAsia"/>
        </w:rPr>
      </w:pPr>
      <w:bookmarkStart w:id="9" w:name="heading_9"/>
      <w:r>
        <w:rPr>
          <w:rFonts w:ascii="Arial" w:eastAsia="等线" w:hAnsi="Arial" w:cs="Arial"/>
          <w:b/>
          <w:sz w:val="30"/>
        </w:rPr>
        <w:t xml:space="preserve">Contamination Filter </w:t>
      </w:r>
      <w:bookmarkEnd w:id="9"/>
    </w:p>
    <w:p w14:paraId="6C019EEB" w14:textId="77777777" w:rsidR="00090569" w:rsidRDefault="00000000">
      <w:pPr>
        <w:spacing w:before="120" w:after="120" w:line="288" w:lineRule="auto"/>
        <w:rPr>
          <w:rFonts w:hint="eastAsia"/>
        </w:rPr>
      </w:pPr>
      <w:r>
        <w:rPr>
          <w:rFonts w:ascii="Arial" w:eastAsia="等线" w:hAnsi="Arial" w:cs="Arial"/>
        </w:rPr>
        <w:t>An optional contamination filtering step is implemented to identify samples exhibiting signal patterns consistent with unintended blood- or platelet-related contamination, which may introduce non-target signal contributions. Such effects can arise from variability in sample collection, processing-related artifacts, or analytical carryover. The filter evaluates predefined contamination signatures and flags samples exceeding established acceptance criteria. Flagged samples are reviewed and may be annotated or excluded prior to downstream analysis, depending on study design and quality requirements. This filtering step is optional and applied at the discretion of the study.</w:t>
      </w:r>
    </w:p>
    <w:p w14:paraId="153A9B07" w14:textId="77777777" w:rsidR="00090569" w:rsidRDefault="00090569">
      <w:pPr>
        <w:spacing w:before="120" w:after="120" w:line="288" w:lineRule="auto"/>
        <w:rPr>
          <w:rFonts w:hint="eastAsia"/>
        </w:rPr>
      </w:pPr>
    </w:p>
    <w:p w14:paraId="045A268D" w14:textId="77777777" w:rsidR="00090569" w:rsidRDefault="00000000">
      <w:pPr>
        <w:spacing w:before="120" w:after="120" w:line="288" w:lineRule="auto"/>
        <w:rPr>
          <w:rFonts w:hint="eastAsia"/>
        </w:rPr>
      </w:pPr>
      <w:r>
        <w:rPr>
          <w:rFonts w:ascii="Arial" w:eastAsia="等线" w:hAnsi="Arial" w:cs="Arial"/>
          <w:b/>
        </w:rPr>
        <w:t>Contamination Filter Status:</w:t>
      </w:r>
      <w:r>
        <w:rPr>
          <w:rFonts w:ascii="Arial" w:eastAsia="等线" w:hAnsi="Arial" w:cs="Arial"/>
        </w:rPr>
        <w:t xml:space="preserve"> on/off</w:t>
      </w:r>
    </w:p>
    <w:tbl>
      <w:tblPr>
        <w:tblW w:w="0" w:type="auto"/>
        <w:tblBorders>
          <w:top w:val="none" w:sz="0" w:space="4" w:color="auto"/>
          <w:left w:val="none" w:sz="0" w:space="4" w:color="auto"/>
          <w:bottom w:val="none" w:sz="0" w:space="4" w:color="auto"/>
          <w:right w:val="none" w:sz="0" w:space="4" w:color="auto"/>
          <w:insideH w:val="none" w:sz="0" w:space="4" w:color="auto"/>
          <w:insideV w:val="none" w:sz="0" w:space="4" w:color="auto"/>
        </w:tblBorders>
        <w:tblLayout w:type="fixed"/>
        <w:tblCellMar>
          <w:left w:w="10" w:type="dxa"/>
          <w:right w:w="10" w:type="dxa"/>
        </w:tblCellMar>
        <w:tblLook w:val="0000" w:firstRow="0" w:lastRow="0" w:firstColumn="0" w:lastColumn="0" w:noHBand="0" w:noVBand="0"/>
      </w:tblPr>
      <w:tblGrid>
        <w:gridCol w:w="2760"/>
        <w:gridCol w:w="2760"/>
        <w:gridCol w:w="2760"/>
      </w:tblGrid>
      <w:tr w:rsidR="00090569" w14:paraId="664DBEA4" w14:textId="77777777">
        <w:tblPrEx>
          <w:tblCellMar>
            <w:top w:w="0" w:type="dxa"/>
            <w:bottom w:w="0" w:type="dxa"/>
          </w:tblCellMar>
        </w:tblPrEx>
        <w:tc>
          <w:tcPr>
            <w:tcW w:w="2760" w:type="dxa"/>
            <w:tcMar>
              <w:top w:w="60" w:type="dxa"/>
              <w:left w:w="120" w:type="dxa"/>
              <w:bottom w:w="30" w:type="dxa"/>
              <w:right w:w="120" w:type="dxa"/>
            </w:tcMar>
          </w:tcPr>
          <w:p w14:paraId="11859BE2" w14:textId="77777777" w:rsidR="00090569" w:rsidRDefault="00000000">
            <w:pPr>
              <w:spacing w:before="120" w:after="120" w:line="288" w:lineRule="auto"/>
              <w:jc w:val="center"/>
              <w:rPr>
                <w:rFonts w:hint="eastAsia"/>
              </w:rPr>
            </w:pPr>
            <w:r>
              <w:rPr>
                <w:noProof/>
              </w:rPr>
              <w:lastRenderedPageBreak/>
              <w:drawing>
                <wp:inline distT="0" distB="0" distL="0" distR="0" wp14:anchorId="62038FCF" wp14:editId="3DB0E884">
                  <wp:extent cx="1600200" cy="2667000"/>
                  <wp:effectExtent l="0" t="0" r="0" b="0"/>
                  <wp:docPr id="1"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8"/>
                          <a:stretch>
                            <a:fillRect/>
                          </a:stretch>
                        </pic:blipFill>
                        <pic:spPr>
                          <a:xfrm>
                            <a:off x="0" y="0"/>
                            <a:ext cx="1600200" cy="2667000"/>
                          </a:xfrm>
                          <a:prstGeom prst="rect">
                            <a:avLst/>
                          </a:prstGeom>
                        </pic:spPr>
                      </pic:pic>
                    </a:graphicData>
                  </a:graphic>
                </wp:inline>
              </w:drawing>
            </w:r>
          </w:p>
        </w:tc>
        <w:tc>
          <w:tcPr>
            <w:tcW w:w="2760" w:type="dxa"/>
            <w:tcMar>
              <w:top w:w="60" w:type="dxa"/>
              <w:left w:w="120" w:type="dxa"/>
              <w:bottom w:w="30" w:type="dxa"/>
              <w:right w:w="120" w:type="dxa"/>
            </w:tcMar>
          </w:tcPr>
          <w:p w14:paraId="4DB9EA78" w14:textId="77777777" w:rsidR="00090569" w:rsidRDefault="00000000">
            <w:pPr>
              <w:spacing w:before="120" w:after="120" w:line="288" w:lineRule="auto"/>
              <w:jc w:val="center"/>
              <w:rPr>
                <w:rFonts w:hint="eastAsia"/>
              </w:rPr>
            </w:pPr>
            <w:r>
              <w:rPr>
                <w:noProof/>
              </w:rPr>
              <w:drawing>
                <wp:inline distT="0" distB="0" distL="0" distR="0" wp14:anchorId="46D4F482" wp14:editId="72B4EFEC">
                  <wp:extent cx="1600200" cy="2667000"/>
                  <wp:effectExtent l="0" t="0" r="0" b="0"/>
                  <wp:docPr id="2"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9"/>
                          <a:stretch>
                            <a:fillRect/>
                          </a:stretch>
                        </pic:blipFill>
                        <pic:spPr>
                          <a:xfrm>
                            <a:off x="0" y="0"/>
                            <a:ext cx="1600200" cy="2667000"/>
                          </a:xfrm>
                          <a:prstGeom prst="rect">
                            <a:avLst/>
                          </a:prstGeom>
                        </pic:spPr>
                      </pic:pic>
                    </a:graphicData>
                  </a:graphic>
                </wp:inline>
              </w:drawing>
            </w:r>
          </w:p>
        </w:tc>
        <w:tc>
          <w:tcPr>
            <w:tcW w:w="2760" w:type="dxa"/>
            <w:tcMar>
              <w:top w:w="60" w:type="dxa"/>
              <w:left w:w="120" w:type="dxa"/>
              <w:bottom w:w="30" w:type="dxa"/>
              <w:right w:w="120" w:type="dxa"/>
            </w:tcMar>
          </w:tcPr>
          <w:p w14:paraId="7064CE5D" w14:textId="77777777" w:rsidR="00090569" w:rsidRDefault="00000000">
            <w:pPr>
              <w:spacing w:before="120" w:after="120" w:line="288" w:lineRule="auto"/>
              <w:jc w:val="center"/>
              <w:rPr>
                <w:rFonts w:hint="eastAsia"/>
              </w:rPr>
            </w:pPr>
            <w:r>
              <w:rPr>
                <w:noProof/>
              </w:rPr>
              <w:drawing>
                <wp:inline distT="0" distB="0" distL="0" distR="0" wp14:anchorId="226522A1" wp14:editId="1CEE3190">
                  <wp:extent cx="1600200" cy="2667000"/>
                  <wp:effectExtent l="0" t="0" r="0" b="0"/>
                  <wp:docPr id="3"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20"/>
                          <a:stretch>
                            <a:fillRect/>
                          </a:stretch>
                        </pic:blipFill>
                        <pic:spPr>
                          <a:xfrm>
                            <a:off x="0" y="0"/>
                            <a:ext cx="1600200" cy="2667000"/>
                          </a:xfrm>
                          <a:prstGeom prst="rect">
                            <a:avLst/>
                          </a:prstGeom>
                        </pic:spPr>
                      </pic:pic>
                    </a:graphicData>
                  </a:graphic>
                </wp:inline>
              </w:drawing>
            </w:r>
          </w:p>
        </w:tc>
      </w:tr>
    </w:tbl>
    <w:p w14:paraId="4F979955" w14:textId="77777777" w:rsidR="00090569" w:rsidRDefault="00000000">
      <w:pPr>
        <w:spacing w:before="120" w:after="120" w:line="288" w:lineRule="auto"/>
        <w:jc w:val="center"/>
        <w:rPr>
          <w:rFonts w:hint="eastAsia"/>
        </w:rPr>
      </w:pPr>
      <w:r>
        <w:rPr>
          <w:noProof/>
        </w:rPr>
        <w:drawing>
          <wp:inline distT="0" distB="0" distL="0" distR="0" wp14:anchorId="78F02831" wp14:editId="3042D98F">
            <wp:extent cx="5257800" cy="4791075"/>
            <wp:effectExtent l="0" t="0" r="0" b="0"/>
            <wp:docPr id="4"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21"/>
                    <a:stretch>
                      <a:fillRect/>
                    </a:stretch>
                  </pic:blipFill>
                  <pic:spPr>
                    <a:xfrm>
                      <a:off x="0" y="0"/>
                      <a:ext cx="5257800" cy="4791075"/>
                    </a:xfrm>
                    <a:prstGeom prst="rect">
                      <a:avLst/>
                    </a:prstGeom>
                  </pic:spPr>
                </pic:pic>
              </a:graphicData>
            </a:graphic>
          </wp:inline>
        </w:drawing>
      </w:r>
    </w:p>
    <w:p w14:paraId="05E2201C" w14:textId="77777777" w:rsidR="00090569" w:rsidRDefault="00090569">
      <w:pPr>
        <w:spacing w:before="120" w:after="120" w:line="288" w:lineRule="auto"/>
        <w:rPr>
          <w:rFonts w:hint="eastAsia"/>
        </w:rPr>
      </w:pPr>
    </w:p>
    <w:p w14:paraId="4EF6778F" w14:textId="77777777" w:rsidR="00090569" w:rsidRDefault="00000000">
      <w:pPr>
        <w:spacing w:before="120" w:after="120" w:line="288" w:lineRule="auto"/>
        <w:rPr>
          <w:rFonts w:hint="eastAsia"/>
        </w:rPr>
      </w:pPr>
      <w:r>
        <w:rPr>
          <w:rFonts w:ascii="Arial" w:eastAsia="等线" w:hAnsi="Arial" w:cs="Arial"/>
        </w:rPr>
        <w:t xml:space="preserve">The quality of each sample is assessed based on three contamination indices. Samples with contamination index values exceeding two standard deviations from the mean (indicated by the horizontal red lines in the figure) are flagged as potentially </w:t>
      </w:r>
      <w:r>
        <w:rPr>
          <w:rFonts w:ascii="Arial" w:eastAsia="等线" w:hAnsi="Arial" w:cs="Arial"/>
        </w:rPr>
        <w:lastRenderedPageBreak/>
        <w:t>contaminated (red bars). For detailed information, please refer to the Contamination report in the results summary table.</w:t>
      </w:r>
    </w:p>
    <w:p w14:paraId="4F3346C4" w14:textId="77777777" w:rsidR="00090569" w:rsidRDefault="00090569">
      <w:pPr>
        <w:spacing w:before="120" w:after="120" w:line="288" w:lineRule="auto"/>
        <w:rPr>
          <w:rFonts w:hint="eastAsia"/>
        </w:rPr>
      </w:pPr>
    </w:p>
    <w:p w14:paraId="7D2EA1B8" w14:textId="77777777" w:rsidR="00090569" w:rsidRDefault="00000000">
      <w:pPr>
        <w:spacing w:before="320" w:after="120" w:line="288" w:lineRule="auto"/>
        <w:outlineLvl w:val="1"/>
        <w:rPr>
          <w:rFonts w:hint="eastAsia"/>
        </w:rPr>
      </w:pPr>
      <w:bookmarkStart w:id="10" w:name="heading_10"/>
      <w:r>
        <w:rPr>
          <w:rFonts w:ascii="Arial" w:eastAsia="等线" w:hAnsi="Arial" w:cs="Arial"/>
          <w:b/>
          <w:sz w:val="32"/>
        </w:rPr>
        <w:t>Acceptance Criteria</w:t>
      </w:r>
      <w:bookmarkEnd w:id="10"/>
    </w:p>
    <w:p w14:paraId="00FF0BDB" w14:textId="77777777" w:rsidR="00090569" w:rsidRDefault="00000000">
      <w:pPr>
        <w:spacing w:before="120" w:after="120" w:line="288" w:lineRule="auto"/>
        <w:jc w:val="center"/>
        <w:rPr>
          <w:rFonts w:hint="eastAsia"/>
        </w:rPr>
      </w:pPr>
      <w:r>
        <w:rPr>
          <w:noProof/>
        </w:rPr>
        <w:drawing>
          <wp:inline distT="0" distB="0" distL="0" distR="0" wp14:anchorId="0FA1233C" wp14:editId="33D177EF">
            <wp:extent cx="5257800" cy="6572250"/>
            <wp:effectExtent l="0" t="0" r="0" b="0"/>
            <wp:docPr id="5"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22"/>
                    <a:stretch>
                      <a:fillRect/>
                    </a:stretch>
                  </pic:blipFill>
                  <pic:spPr>
                    <a:xfrm>
                      <a:off x="0" y="0"/>
                      <a:ext cx="5257800" cy="6572250"/>
                    </a:xfrm>
                    <a:prstGeom prst="rect">
                      <a:avLst/>
                    </a:prstGeom>
                  </pic:spPr>
                </pic:pic>
              </a:graphicData>
            </a:graphic>
          </wp:inline>
        </w:drawing>
      </w:r>
    </w:p>
    <w:p w14:paraId="53767559" w14:textId="77777777" w:rsidR="00090569" w:rsidRDefault="00000000">
      <w:pPr>
        <w:spacing w:before="120" w:after="120" w:line="288" w:lineRule="auto"/>
        <w:jc w:val="center"/>
        <w:rPr>
          <w:rFonts w:hint="eastAsia"/>
        </w:rPr>
      </w:pPr>
      <w:r>
        <w:rPr>
          <w:rFonts w:ascii="Arial" w:eastAsia="等线" w:hAnsi="Arial" w:cs="Arial"/>
        </w:rPr>
        <w:t>Histogram and kernel density estimate with fitted normal density overlay</w:t>
      </w:r>
    </w:p>
    <w:p w14:paraId="0280B84B" w14:textId="77777777" w:rsidR="00090569" w:rsidRDefault="00090569">
      <w:pPr>
        <w:spacing w:before="120" w:after="120" w:line="288" w:lineRule="auto"/>
        <w:rPr>
          <w:rFonts w:hint="eastAsia"/>
        </w:rPr>
      </w:pPr>
    </w:p>
    <w:tbl>
      <w:tblPr>
        <w:tblW w:w="0" w:type="auto"/>
        <w:tblBorders>
          <w:top w:val="none" w:sz="0" w:space="4" w:color="auto"/>
          <w:left w:val="none" w:sz="0" w:space="4" w:color="auto"/>
          <w:bottom w:val="none" w:sz="0" w:space="4" w:color="auto"/>
          <w:right w:val="none" w:sz="0" w:space="4" w:color="auto"/>
          <w:insideH w:val="none" w:sz="0" w:space="4" w:color="auto"/>
          <w:insideV w:val="none" w:sz="0" w:space="4" w:color="auto"/>
        </w:tblBorders>
        <w:tblLayout w:type="fixed"/>
        <w:tblCellMar>
          <w:left w:w="10" w:type="dxa"/>
          <w:right w:w="10" w:type="dxa"/>
        </w:tblCellMar>
        <w:tblLook w:val="0000" w:firstRow="0" w:lastRow="0" w:firstColumn="0" w:lastColumn="0" w:noHBand="0" w:noVBand="0"/>
      </w:tblPr>
      <w:tblGrid>
        <w:gridCol w:w="4140"/>
        <w:gridCol w:w="4140"/>
      </w:tblGrid>
      <w:tr w:rsidR="00090569" w14:paraId="25C63500" w14:textId="77777777">
        <w:tblPrEx>
          <w:tblCellMar>
            <w:top w:w="0" w:type="dxa"/>
            <w:bottom w:w="0" w:type="dxa"/>
          </w:tblCellMar>
        </w:tblPrEx>
        <w:tc>
          <w:tcPr>
            <w:tcW w:w="4140" w:type="dxa"/>
            <w:tcMar>
              <w:top w:w="60" w:type="dxa"/>
              <w:left w:w="120" w:type="dxa"/>
              <w:bottom w:w="30" w:type="dxa"/>
              <w:right w:w="120" w:type="dxa"/>
            </w:tcMar>
          </w:tcPr>
          <w:p w14:paraId="1F2AD5D6" w14:textId="77777777" w:rsidR="00090569" w:rsidRDefault="00000000">
            <w:pPr>
              <w:spacing w:before="120" w:after="120" w:line="288" w:lineRule="auto"/>
              <w:jc w:val="center"/>
              <w:rPr>
                <w:rFonts w:hint="eastAsia"/>
              </w:rPr>
            </w:pPr>
            <w:r>
              <w:rPr>
                <w:noProof/>
              </w:rPr>
              <w:lastRenderedPageBreak/>
              <w:drawing>
                <wp:inline distT="0" distB="0" distL="0" distR="0" wp14:anchorId="05F2DC14" wp14:editId="50F18CFC">
                  <wp:extent cx="2476500" cy="1409700"/>
                  <wp:effectExtent l="0" t="0" r="0" b="0"/>
                  <wp:docPr id="6"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23"/>
                          <a:stretch>
                            <a:fillRect/>
                          </a:stretch>
                        </pic:blipFill>
                        <pic:spPr>
                          <a:xfrm>
                            <a:off x="0" y="0"/>
                            <a:ext cx="2476500" cy="1409700"/>
                          </a:xfrm>
                          <a:prstGeom prst="rect">
                            <a:avLst/>
                          </a:prstGeom>
                        </pic:spPr>
                      </pic:pic>
                    </a:graphicData>
                  </a:graphic>
                </wp:inline>
              </w:drawing>
            </w:r>
          </w:p>
        </w:tc>
        <w:tc>
          <w:tcPr>
            <w:tcW w:w="4140" w:type="dxa"/>
            <w:tcMar>
              <w:top w:w="60" w:type="dxa"/>
              <w:left w:w="120" w:type="dxa"/>
              <w:bottom w:w="30" w:type="dxa"/>
              <w:right w:w="120" w:type="dxa"/>
            </w:tcMar>
          </w:tcPr>
          <w:p w14:paraId="495A3C40" w14:textId="77777777" w:rsidR="00090569" w:rsidRDefault="00000000">
            <w:pPr>
              <w:spacing w:before="120" w:after="120" w:line="288" w:lineRule="auto"/>
              <w:jc w:val="center"/>
              <w:rPr>
                <w:rFonts w:hint="eastAsia"/>
              </w:rPr>
            </w:pPr>
            <w:r>
              <w:rPr>
                <w:noProof/>
              </w:rPr>
              <w:drawing>
                <wp:inline distT="0" distB="0" distL="0" distR="0" wp14:anchorId="5DBA6F58" wp14:editId="544E6DF7">
                  <wp:extent cx="2476500" cy="1409700"/>
                  <wp:effectExtent l="0" t="0" r="0" b="0"/>
                  <wp:docPr id="7"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24"/>
                          <a:stretch>
                            <a:fillRect/>
                          </a:stretch>
                        </pic:blipFill>
                        <pic:spPr>
                          <a:xfrm>
                            <a:off x="0" y="0"/>
                            <a:ext cx="2476500" cy="1409700"/>
                          </a:xfrm>
                          <a:prstGeom prst="rect">
                            <a:avLst/>
                          </a:prstGeom>
                        </pic:spPr>
                      </pic:pic>
                    </a:graphicData>
                  </a:graphic>
                </wp:inline>
              </w:drawing>
            </w:r>
          </w:p>
        </w:tc>
      </w:tr>
    </w:tbl>
    <w:p w14:paraId="3FEBFAFF" w14:textId="77777777" w:rsidR="00090569" w:rsidRDefault="00000000">
      <w:pPr>
        <w:spacing w:before="120" w:after="120" w:line="288" w:lineRule="auto"/>
        <w:jc w:val="center"/>
        <w:rPr>
          <w:rFonts w:hint="eastAsia"/>
        </w:rPr>
      </w:pPr>
      <w:r>
        <w:rPr>
          <w:rFonts w:ascii="Arial" w:eastAsia="等线" w:hAnsi="Arial" w:cs="Arial"/>
        </w:rPr>
        <w:t>step3.1 &amp; step3.2 factor / percentile rank</w:t>
      </w:r>
    </w:p>
    <w:p w14:paraId="5B08D2BD" w14:textId="77777777" w:rsidR="00090569" w:rsidRDefault="00090569">
      <w:pPr>
        <w:spacing w:before="120" w:after="120" w:line="288" w:lineRule="auto"/>
        <w:rPr>
          <w:rFonts w:hint="eastAsia"/>
        </w:rPr>
      </w:pPr>
    </w:p>
    <w:p w14:paraId="7C898F26" w14:textId="77777777" w:rsidR="00090569" w:rsidRDefault="00000000" w:rsidP="009A653D">
      <w:pPr>
        <w:spacing w:before="120" w:after="120" w:line="288" w:lineRule="auto"/>
        <w:rPr>
          <w:rFonts w:hint="eastAsia"/>
        </w:rPr>
      </w:pPr>
      <w:r>
        <w:rPr>
          <w:noProof/>
        </w:rPr>
        <w:drawing>
          <wp:inline distT="0" distB="0" distL="0" distR="0" wp14:anchorId="5FDD8541" wp14:editId="504DF75D">
            <wp:extent cx="3924300" cy="3000375"/>
            <wp:effectExtent l="0" t="0" r="0" b="0"/>
            <wp:docPr id="8"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25"/>
                    <a:stretch>
                      <a:fillRect/>
                    </a:stretch>
                  </pic:blipFill>
                  <pic:spPr>
                    <a:xfrm>
                      <a:off x="0" y="0"/>
                      <a:ext cx="3924300" cy="3000375"/>
                    </a:xfrm>
                    <a:prstGeom prst="rect">
                      <a:avLst/>
                    </a:prstGeom>
                  </pic:spPr>
                </pic:pic>
              </a:graphicData>
            </a:graphic>
          </wp:inline>
        </w:drawing>
      </w:r>
    </w:p>
    <w:p w14:paraId="444593A0" w14:textId="532E1832" w:rsidR="00090569" w:rsidRDefault="00090569">
      <w:pPr>
        <w:spacing w:before="120" w:after="120" w:line="288" w:lineRule="auto"/>
        <w:jc w:val="center"/>
        <w:rPr>
          <w:rFonts w:hint="eastAsia"/>
        </w:rPr>
      </w:pPr>
    </w:p>
    <w:sectPr w:rsidR="00090569">
      <w:headerReference w:type="default" r:id="rId26"/>
      <w:footerReference w:type="default" r:id="rId2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ABC55" w14:textId="77777777" w:rsidR="00E30E54" w:rsidRDefault="00E30E54">
      <w:pPr>
        <w:spacing w:after="0" w:line="240" w:lineRule="auto"/>
        <w:rPr>
          <w:rFonts w:hint="eastAsia"/>
        </w:rPr>
      </w:pPr>
      <w:r>
        <w:separator/>
      </w:r>
    </w:p>
  </w:endnote>
  <w:endnote w:type="continuationSeparator" w:id="0">
    <w:p w14:paraId="2525C91F" w14:textId="77777777" w:rsidR="00E30E54" w:rsidRDefault="00E30E5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B77D" w14:textId="77777777" w:rsidR="00090569" w:rsidRDefault="00090569">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4E72E" w14:textId="77777777" w:rsidR="00E30E54" w:rsidRDefault="00E30E54">
      <w:pPr>
        <w:spacing w:after="0" w:line="240" w:lineRule="auto"/>
        <w:rPr>
          <w:rFonts w:hint="eastAsia"/>
        </w:rPr>
      </w:pPr>
      <w:r>
        <w:separator/>
      </w:r>
    </w:p>
  </w:footnote>
  <w:footnote w:type="continuationSeparator" w:id="0">
    <w:p w14:paraId="4B5E138E" w14:textId="77777777" w:rsidR="00E30E54" w:rsidRDefault="00E30E5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7FB94" w14:textId="77777777" w:rsidR="00090569" w:rsidRDefault="00000000">
    <w:pPr>
      <w:rPr>
        <w:rFonts w:hint="eastAsia"/>
      </w:rPr>
    </w:pPr>
    <w:r>
      <w:rPr>
        <w:rFonts w:hint="eastAsia"/>
        <w:noProof/>
      </w:rPr>
      <w:pict w14:anchorId="0FEC8E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100pt;height:24pt;rotation:315;z-index:-251658752;mso-wrap-edited:f;mso-width-percent:0;mso-height-percent:0;mso-position-horizontal:center;mso-position-horizontal-relative:margin;mso-position-vertical:center;mso-position-vertical-relative:margin;mso-width-percent:0;mso-height-percent:0"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
          <v:fill opacity="19661f"/>
          <v:textpath style="font-family:&quot;Lantinghei SC Demibold&quot;;font-size:20pt" string=" 孙浩 062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247E"/>
    <w:multiLevelType w:val="multilevel"/>
    <w:tmpl w:val="682CD1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342F1A"/>
    <w:multiLevelType w:val="multilevel"/>
    <w:tmpl w:val="7BFCF5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F83A00"/>
    <w:multiLevelType w:val="multilevel"/>
    <w:tmpl w:val="ADA8B90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E94506C"/>
    <w:multiLevelType w:val="multilevel"/>
    <w:tmpl w:val="2DA6B48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94241B"/>
    <w:multiLevelType w:val="multilevel"/>
    <w:tmpl w:val="A4C48D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1204CC1"/>
    <w:multiLevelType w:val="multilevel"/>
    <w:tmpl w:val="A24A891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77B2AAA"/>
    <w:multiLevelType w:val="multilevel"/>
    <w:tmpl w:val="E2686CF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C913BEE"/>
    <w:multiLevelType w:val="multilevel"/>
    <w:tmpl w:val="C7AE07E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0C63D14"/>
    <w:multiLevelType w:val="multilevel"/>
    <w:tmpl w:val="CFAA3BE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69502A1"/>
    <w:multiLevelType w:val="multilevel"/>
    <w:tmpl w:val="233E5CA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8D4170E"/>
    <w:multiLevelType w:val="multilevel"/>
    <w:tmpl w:val="5156C2E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F448A"/>
    <w:multiLevelType w:val="multilevel"/>
    <w:tmpl w:val="56A0B9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A8855FF"/>
    <w:multiLevelType w:val="multilevel"/>
    <w:tmpl w:val="DEDA15A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BCA1FD4"/>
    <w:multiLevelType w:val="multilevel"/>
    <w:tmpl w:val="7D2A4BB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0DC2641"/>
    <w:multiLevelType w:val="multilevel"/>
    <w:tmpl w:val="762E251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33E7BE7"/>
    <w:multiLevelType w:val="multilevel"/>
    <w:tmpl w:val="3832521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4363CC3"/>
    <w:multiLevelType w:val="multilevel"/>
    <w:tmpl w:val="95ECEBD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74B72FC"/>
    <w:multiLevelType w:val="multilevel"/>
    <w:tmpl w:val="F298582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A0F0E3E"/>
    <w:multiLevelType w:val="multilevel"/>
    <w:tmpl w:val="1A94FB9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F7E11BE"/>
    <w:multiLevelType w:val="multilevel"/>
    <w:tmpl w:val="CF30DA8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1132766"/>
    <w:multiLevelType w:val="multilevel"/>
    <w:tmpl w:val="7A86F62C"/>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3F13717"/>
    <w:multiLevelType w:val="multilevel"/>
    <w:tmpl w:val="35182F2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4718890">
    <w:abstractNumId w:val="2"/>
  </w:num>
  <w:num w:numId="2" w16cid:durableId="1597322834">
    <w:abstractNumId w:val="11"/>
  </w:num>
  <w:num w:numId="3" w16cid:durableId="2142766194">
    <w:abstractNumId w:val="6"/>
  </w:num>
  <w:num w:numId="4" w16cid:durableId="1830321877">
    <w:abstractNumId w:val="13"/>
  </w:num>
  <w:num w:numId="5" w16cid:durableId="1711491736">
    <w:abstractNumId w:val="8"/>
  </w:num>
  <w:num w:numId="6" w16cid:durableId="893157016">
    <w:abstractNumId w:val="3"/>
  </w:num>
  <w:num w:numId="7" w16cid:durableId="1346056079">
    <w:abstractNumId w:val="17"/>
  </w:num>
  <w:num w:numId="8" w16cid:durableId="678656010">
    <w:abstractNumId w:val="21"/>
  </w:num>
  <w:num w:numId="9" w16cid:durableId="1451586896">
    <w:abstractNumId w:val="5"/>
  </w:num>
  <w:num w:numId="10" w16cid:durableId="329917504">
    <w:abstractNumId w:val="20"/>
  </w:num>
  <w:num w:numId="11" w16cid:durableId="1700473300">
    <w:abstractNumId w:val="7"/>
  </w:num>
  <w:num w:numId="12" w16cid:durableId="1592618387">
    <w:abstractNumId w:val="12"/>
  </w:num>
  <w:num w:numId="13" w16cid:durableId="1729649529">
    <w:abstractNumId w:val="15"/>
  </w:num>
  <w:num w:numId="14" w16cid:durableId="1507012335">
    <w:abstractNumId w:val="4"/>
  </w:num>
  <w:num w:numId="15" w16cid:durableId="609052285">
    <w:abstractNumId w:val="18"/>
  </w:num>
  <w:num w:numId="16" w16cid:durableId="1969893457">
    <w:abstractNumId w:val="1"/>
  </w:num>
  <w:num w:numId="17" w16cid:durableId="576206593">
    <w:abstractNumId w:val="0"/>
  </w:num>
  <w:num w:numId="18" w16cid:durableId="1083144783">
    <w:abstractNumId w:val="19"/>
  </w:num>
  <w:num w:numId="19" w16cid:durableId="1419982020">
    <w:abstractNumId w:val="10"/>
  </w:num>
  <w:num w:numId="20" w16cid:durableId="1435780451">
    <w:abstractNumId w:val="9"/>
  </w:num>
  <w:num w:numId="21" w16cid:durableId="1090617257">
    <w:abstractNumId w:val="16"/>
  </w:num>
  <w:num w:numId="22" w16cid:durableId="19512812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90569"/>
    <w:rsid w:val="00090569"/>
    <w:rsid w:val="009A653D"/>
    <w:rsid w:val="00C82BFB"/>
    <w:rsid w:val="00D8507C"/>
    <w:rsid w:val="00E30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D6335"/>
  <w15:docId w15:val="{429B83B0-67F9-4DD6-98E4-498EAE7FD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13" Type="http://schemas.openxmlformats.org/officeDocument/2006/relationships/image" Target="media/image4.jpe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package" Target="embeddings/Microsoft_Excel_Worksheet2.xlsx"/><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package" Target="embeddings/Microsoft_Excel_Worksheet4.xlsx"/><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package" Target="embeddings/Microsoft_Excel_Worksheet1.xlsx"/><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package" Target="embeddings/Microsoft_Excel_Worksheet3.xlsx"/><Relationship Id="rId22" Type="http://schemas.openxmlformats.org/officeDocument/2006/relationships/image" Target="media/image11.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luomi123</cp:lastModifiedBy>
  <cp:revision>3</cp:revision>
  <dcterms:created xsi:type="dcterms:W3CDTF">2026-07-13T08:33:00Z</dcterms:created>
  <dcterms:modified xsi:type="dcterms:W3CDTF">2026-07-13T08:34:00Z</dcterms:modified>
</cp:coreProperties>
</file>