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Пельмеши</w:t>
            </w:r>
            <w:r>
              <w:t xml:space="preserve"> «</w:t>
            </w:r>
            <w:r>
              <w:rPr>
                <w:lang w:val="ru-RU"/>
              </w:rPr>
              <w:t>Закупка</w:t>
            </w:r>
            <w:r>
              <w:rPr>
                <w:rFonts w:hint="default"/>
                <w:lang w:val="ru-RU"/>
              </w:rPr>
              <w:t xml:space="preserve"> продуктов</w:t>
            </w:r>
            <w:r>
              <w:t>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Закупка</w:t>
            </w:r>
            <w:r>
              <w:rPr>
                <w:rFonts w:hint="default"/>
                <w:lang w:val="ru-RU"/>
              </w:rPr>
              <w:t xml:space="preserve"> продуктов, нужных для приготовления блюд, с помощью интегрированной системы выбора потавщиков и продуктов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Артём Николаевич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Подсистема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заказа продуктов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Ответсвенный</w:t>
            </w:r>
            <w:r>
              <w:rPr>
                <w:rFonts w:hint="default"/>
                <w:lang w:val="ru-RU"/>
              </w:rPr>
              <w:t xml:space="preserve"> за закупки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Повара</w:t>
            </w:r>
            <w:r>
              <w:rPr>
                <w:rFonts w:hint="default"/>
                <w:lang w:val="ru-RU"/>
              </w:rPr>
              <w:t xml:space="preserve"> заинтересованы в быстрой доставке всех нужных продуктов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A. Прецедент начинается, когда ответсвенный за закупки сотрудник выбирает соответствующий пункт в пользовательском интерфейсе.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B. Система запрашивает информацию о компаниях-поставщиках продуктов, с которыми сотрудничает пункт питания, и формирует интерфейс выбора поставщика.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C. В сформированном интерфейсе сотрудник выбирает необходимые продукты и их количество.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D. Система показывает интерфейс подтверждения выбора.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E. Сотрудник подтверждает выбор и система отправляет данные поставщику.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F. Поставщик присылает данные с подтверждением закупок и данные о дате и времени доставки, а также цене.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G. Система сохраняет во внутреннем хранилище информацию о заказе.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H. После доставки сотрудник выбирает сохранённый заказ и выбирает опцию Оплатить.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I. Сумма, равная сумме покупки, переводится поставщику на счёт.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Прецедент завершен.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lang w:val="ru-RU"/>
        </w:rPr>
      </w:pPr>
      <w:r>
        <w:rPr>
          <w:lang w:val="ru-RU"/>
        </w:rPr>
        <w:t>Альтернативный поток 1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E1-1. Сотрудник выбирает выбранный ранее продукт и удаляет его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E1-2. Переход к пункту E основного потока.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"/>
        </w:rPr>
        <w:t>2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E2-1. Сотрудник выбирает выбранный ранее продукт и изменяет его количество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E2-2. Переход к пункту E основного потока.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"/>
        </w:rPr>
        <w:t>3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E3-1. Сотрудник отменяет заказ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E3-2.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"/>
        </w:rPr>
        <w:t>4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F1-1. Поставщик не подтвержает заказ из-за отсутствия требуемого продукта.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F1-2. Сотрудник изменяет заказ, убирая из него отсутствующий у поставщика товар.</w:t>
      </w:r>
    </w:p>
    <w:p>
      <w:pPr>
        <w:pStyle w:val="4"/>
      </w:pPr>
      <w:r>
        <w:rPr>
          <w:rFonts w:hint="default"/>
          <w:lang w:val="ru-RU"/>
        </w:rPr>
        <w:t>F1-3. Возвращение к пункту D основного потока.</w:t>
      </w: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Пользователь</w:t>
            </w:r>
            <w:r>
              <w:rPr>
                <w:rFonts w:hint="default"/>
                <w:lang w:val="ru-RU"/>
              </w:rPr>
              <w:t xml:space="preserve"> обладает правами на заказ продуктов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Заказнные</w:t>
            </w:r>
            <w:r>
              <w:rPr>
                <w:rFonts w:hint="default"/>
                <w:lang w:val="ru-RU"/>
              </w:rPr>
              <w:t xml:space="preserve"> продукты доставлены в пункт питания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Пользовательский интерфейс должен быть отзывчивым, время на загрузку данных о поставщиках или продуктов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База данных, сетевые технологии, соединение с онлайн-</w:t>
            </w:r>
            <w:bookmarkStart w:id="0" w:name="_GoBack"/>
            <w:bookmarkEnd w:id="0"/>
            <w:r>
              <w:rPr>
                <w:rFonts w:hint="default"/>
                <w:lang w:val="ru-RU"/>
              </w:rPr>
              <w:t>банком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5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23.01.21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Пичугин</w:t>
            </w:r>
            <w:r>
              <w:rPr>
                <w:rFonts w:hint="default"/>
                <w:lang w:val="ru-RU"/>
              </w:rPr>
              <w:t xml:space="preserve"> А.Н.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747F0A09"/>
    <w:rsid w:val="76BFD897"/>
    <w:rsid w:val="EFF69F1D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25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2019-01-06T04:58:00Z</dcterms:created>
  <dc:creator>arti1208</dc:creator>
  <cp:lastModifiedBy>arti1208</cp:lastModifiedBy>
  <dcterms:modified xsi:type="dcterms:W3CDTF">2021-01-23T09:24:24Z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