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심사 의견서</w:t>
      </w:r>
    </w:p>
    <w:p>
      <w:pPr>
        <w:spacing w:after="300"/>
        <w:jc w:val="center"/>
      </w:pPr>
      <w:r>
        <w:rPr>
          <w:i/>
          <w:iCs/>
        </w:rPr>
        <w:t xml:space="preserve">논문 ID: JAIK-2026-005  |  심사일: 2026-05-23</w:t>
      </w:r>
    </w:p>
    <w:p>
      <w:pPr>
        <w:spacing w:after="100"/>
      </w:pPr>
      <w:r>
        <w:t xml:space="preserve">───────────────────────────────────────────────────────</w:t>
      </w:r>
    </w:p>
    <w:p>
      <w:r>
        <w:rPr>
          <w:b/>
          <w:bCs/>
        </w:rPr>
        <w:t xml:space="preserve">논문 제목: </w:t>
      </w:r>
      <w:r>
        <w:t xml:space="preserve">Thiol-Epoxy 클릭 화학 기반 고분자 합성 및 계면 소재 연구 동향</w:t>
      </w:r>
    </w:p>
    <w:p>
      <w:r>
        <w:rPr>
          <w:b/>
          <w:bCs/>
        </w:rPr>
        <w:t xml:space="preserve">저      자: </w:t>
      </w:r>
      <w:r>
        <w:t xml:space="preserve">이나경, 엄태준 (국립금오공과대학교 재료공학부 고분자공학전공)</w:t>
      </w:r>
    </w:p>
    <w:p>
      <w:r>
        <w:rPr>
          <w:b/>
          <w:bCs/>
        </w:rPr>
        <w:t xml:space="preserve">투고 저널: </w:t>
      </w:r>
      <w:r>
        <w:t xml:space="preserve">접착 및 계면 (Journal of Adhesion and Interface)</w:t>
      </w:r>
    </w:p>
    <w:p>
      <w:pPr>
        <w:spacing w:after="400"/>
      </w:pPr>
      <w:r>
        <w:t xml:space="preserve">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▶ 저자 제공용 심사의견</w:t>
      </w:r>
    </w:p>
    <w:p>
      <w:pPr>
        <w:spacing w:after="80"/>
      </w:pPr>
      <w:r>
        <w:t xml:space="preserve">본 리뷰 논문은 thiol-epoxy 클릭 반응을 Barner-Kowollik의 4대 기준으로 체계적으로 정리한 의미 있는 시도입니다.</w:t>
      </w:r>
    </w:p>
    <w:p>
      <w:pPr>
        <w:spacing w:after="80"/>
      </w:pPr>
      <w:r>
        <w:t xml:space="preserve">그러나 게재 승인을 위해 다음 사항의 대폭 수정이 필요합니다.</w:t>
      </w:r>
    </w:p>
    <w:p>
      <w:pPr>
        <w:spacing w:after="80"/>
      </w:pPr>
    </w:p>
    <w:p>
      <w:pPr>
        <w:spacing w:after="80"/>
      </w:pPr>
      <w:r>
        <w:t xml:space="preserve">【필수 수정사항】</w:t>
      </w:r>
    </w:p>
    <w:p>
      <w:pPr>
        <w:spacing w:after="80"/>
      </w:pPr>
    </w:p>
    <w:p>
      <w:pPr>
        <w:spacing w:after="80"/>
      </w:pPr>
      <w:r>
        <w:t xml:space="preserve">1. 자기/그룹 인용 비율 조정 (최우선 과제)</w:t>
      </w:r>
    </w:p>
    <w:p>
      <w:pPr>
        <w:spacing w:after="80"/>
      </w:pPr>
      <w:r>
        <w:t xml:space="preserve">현재 참고문헌 33편 중 Khan/Eom 그룹 논문이 19편(57.6%)으로 학술적 권고 수준(20%)을 크게 초과합니다.</w:t>
      </w:r>
    </w:p>
    <w:p>
      <w:pPr>
        <w:spacing w:after="80"/>
      </w:pPr>
      <w:r>
        <w:t xml:space="preserve">Bowman, Hawker, Konuray, Hayashi, Jin 등 외부 그룹의 논문을 최소 10편 이상 추가 인용하여</w:t>
      </w:r>
    </w:p>
    <w:p>
      <w:pPr>
        <w:spacing w:after="80"/>
      </w:pPr>
      <w:r>
        <w:t xml:space="preserve">그룹 인용 비율을 30% 미만으로 낮춰 주십시오.</w:t>
      </w:r>
    </w:p>
    <w:p>
      <w:pPr>
        <w:spacing w:after="80"/>
      </w:pPr>
    </w:p>
    <w:p>
      <w:pPr>
        <w:spacing w:after="80"/>
      </w:pPr>
      <w:r>
        <w:t xml:space="preserve">2. 최신 연구 동향 보강</w:t>
      </w:r>
    </w:p>
    <w:p>
      <w:pPr>
        <w:spacing w:after="80"/>
      </w:pPr>
      <w:r>
        <w:t xml:space="preserve">2020-2025년 타 그룹의 핵심 연구인 thiol-epoxy 기반 vitrimer/동적 공유결합 네트워크,</w:t>
      </w:r>
    </w:p>
    <w:p>
      <w:pPr>
        <w:spacing w:after="80"/>
      </w:pPr>
      <w:r>
        <w:t xml:space="preserve">DLP/SLA 3D printing 수지, self-healing 코팅 분야의 연구를 포함하는 절을 신설해 주십시오.</w:t>
      </w:r>
    </w:p>
    <w:p>
      <w:pPr>
        <w:spacing w:after="80"/>
      </w:pPr>
    </w:p>
    <w:p>
      <w:pPr>
        <w:spacing w:after="80"/>
      </w:pPr>
      <w:r>
        <w:t xml:space="preserve">3. 경쟁 반응 비교 및 한계점 논의</w:t>
      </w:r>
    </w:p>
    <w:p>
      <w:pPr>
        <w:spacing w:after="80"/>
      </w:pPr>
      <w:r>
        <w:t xml:space="preserve">amine-epoxy, thiol-ene, thiol-Michael과의 비교 분석표와 thiol-epoxy 반응의 한계점</w:t>
      </w:r>
    </w:p>
    <w:p>
      <w:pPr>
        <w:spacing w:after="80"/>
      </w:pPr>
      <w:r>
        <w:t xml:space="preserve">(thiol 산화·악취·발암성, oxygen inhibition 등) 및 미래 전망을 다루는 절을 추가해 주십시오.</w:t>
      </w:r>
    </w:p>
    <w:p>
      <w:pPr>
        <w:spacing w:after="80"/>
      </w:pPr>
    </w:p>
    <w:p>
      <w:pPr>
        <w:spacing w:after="80"/>
      </w:pPr>
      <w:r>
        <w:t xml:space="preserve">4. 학회지 스코프 적합성 확보</w:t>
      </w:r>
    </w:p>
    <w:p>
      <w:pPr>
        <w:spacing w:after="80"/>
      </w:pPr>
      <w:r>
        <w:t xml:space="preserve">「접착 및 계면」 학회지의 핵심 스코프인 '접착(adhesion)'과의 연결이 매우 약합니다.</w:t>
      </w:r>
    </w:p>
    <w:p>
      <w:pPr>
        <w:spacing w:after="80"/>
      </w:pPr>
      <w:r>
        <w:t xml:space="preserve">Thiol-epoxy를 epoxy 접착제 경화제 또는 계면 접착력 향상 소재로 활용한 연구</w:t>
      </w:r>
    </w:p>
    <w:p>
      <w:pPr>
        <w:spacing w:after="80"/>
      </w:pPr>
      <w:r>
        <w:t xml:space="preserve">(예: Jin &amp; Yamamoto, Prog. Polym. Sci., 2015)를 논의하는 절을 신설하고</w:t>
      </w:r>
    </w:p>
    <w:p>
      <w:pPr>
        <w:spacing w:after="80"/>
      </w:pPr>
      <w:r>
        <w:t xml:space="preserve">정량적 접착 평가 데이터를 보강해 주십시오.</w:t>
      </w:r>
    </w:p>
    <w:p>
      <w:pPr>
        <w:spacing w:after="80"/>
      </w:pPr>
    </w:p>
    <w:p>
      <w:pPr>
        <w:spacing w:after="80"/>
      </w:pPr>
      <w:r>
        <w:t xml:space="preserve">5. 학술 메타데이터 정정</w:t>
      </w:r>
    </w:p>
    <w:p>
      <w:pPr>
        <w:spacing w:after="80"/>
      </w:pPr>
      <w:r>
        <w:t xml:space="preserve">- 표지 헤더의 "제 18권 제 2호, 2017년" 표기를 즉시 수정 또는 삭제해 주십시오.</w:t>
      </w:r>
    </w:p>
    <w:p>
      <w:pPr>
        <w:spacing w:after="80"/>
      </w:pPr>
      <w:r>
        <w:t xml:space="preserve">- 접수/수정/채택일의 "202X년 월 일" placeholder를 실제 일자로 기입해 주십시오.</w:t>
      </w:r>
    </w:p>
    <w:p>
      <w:pPr>
        <w:spacing w:after="80"/>
      </w:pPr>
    </w:p>
    <w:p>
      <w:pPr>
        <w:spacing w:after="80"/>
      </w:pPr>
      <w:r>
        <w:t xml:space="preserve">【기술적 수정사항 (일부)】</w:t>
      </w:r>
    </w:p>
    <w:p>
      <w:pPr>
        <w:spacing w:after="80"/>
      </w:pPr>
      <w:r>
        <w:t xml:space="preserve">- 3장: "수평균 중합도 약 12,000"의 단위(DP 또는 Mn, g/mol)를 명확히 표기할 것</w:t>
      </w:r>
    </w:p>
    <w:p>
      <w:pPr>
        <w:spacing w:after="80"/>
      </w:pPr>
      <w:r>
        <w:t xml:space="preserve">- 5장: 반응 조건의 촉매 mol% 기준(thiol 대비? epoxy 대비?)을 명시할 것</w:t>
      </w:r>
    </w:p>
    <w:p>
      <w:pPr>
        <w:spacing w:after="80"/>
      </w:pPr>
      <w:r>
        <w:t xml:space="preserve">- 7장: 참고문헌 [21] (Buerkli et al.)이 ETH/Leroux 그룹 논문임을 명시할 것</w:t>
      </w:r>
    </w:p>
    <w:p>
      <w:pPr>
        <w:spacing w:after="80"/>
      </w:pPr>
      <w:r>
        <w:t xml:space="preserve">- Figure/Scheme 표기: 반응 메커니즘·합성 경로 도식은 "Scheme"으로 분류하여 통일할 것</w:t>
      </w:r>
    </w:p>
    <w:p>
      <w:pPr>
        <w:spacing w:after="80"/>
      </w:pPr>
      <w:r>
        <w:t xml:space="preserve">- 서론: Barner-Kowollik 기준과 Sharpless 원 기준의 관계를 명확히 정리하고,</w:t>
      </w:r>
    </w:p>
    <w:p>
      <w:pPr>
        <w:spacing w:after="80"/>
      </w:pPr>
      <w:r>
        <w:t xml:space="preserve">  기존 Khan 그룹 리뷰([11-13])와 본 리뷰의 차별화 포인트를 명시할 것</w:t>
      </w:r>
    </w:p>
    <w:p>
      <w:pPr>
        <w:spacing w:after="200"/>
      </w:pPr>
    </w:p>
    <w:p>
      <w:pPr>
        <w:spacing w:after="400"/>
      </w:pPr>
      <w:r>
        <w:t xml:space="preserve">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▶ 편집위원(장) 제공용 심사의견</w:t>
      </w:r>
    </w:p>
    <w:p>
      <w:pPr>
        <w:spacing w:after="80"/>
      </w:pPr>
      <w:r>
        <w:t xml:space="preserve">【편집위원(장)용 비밀 의견】</w:t>
      </w:r>
    </w:p>
    <w:p>
      <w:pPr>
        <w:spacing w:after="80"/>
      </w:pPr>
    </w:p>
    <w:p>
      <w:pPr>
        <w:spacing w:after="80"/>
      </w:pPr>
      <w:r>
        <w:t xml:space="preserve">본 논문은 국립금오공과대학교 엄태준 교수(교신저자)와 그 제자(이나경)가 투고한</w:t>
      </w:r>
    </w:p>
    <w:p>
      <w:pPr>
        <w:spacing w:after="80"/>
      </w:pPr>
      <w:r>
        <w:t xml:space="preserve">thiol-epoxy 클릭 화학 리뷰 논문입니다. 편집위원(장)께서 참고하시도록 다음 사항을 보고드립니다.</w:t>
      </w:r>
    </w:p>
    <w:p>
      <w:pPr>
        <w:spacing w:after="80"/>
      </w:pPr>
    </w:p>
    <w:p>
      <w:pPr>
        <w:spacing w:after="80"/>
      </w:pPr>
      <w:r>
        <w:t xml:space="preserve">◆ 저자 이해충돌 관련 주의사항</w:t>
      </w:r>
    </w:p>
    <w:p>
      <w:pPr>
        <w:spacing w:after="80"/>
      </w:pPr>
      <w:r>
        <w:t xml:space="preserve">교신저자 엄태준은 참고문헌 [17], [18], [20], [27]의 공저자이며, 모두 Khan 그룹의 논문입니다.</w:t>
      </w:r>
    </w:p>
    <w:p>
      <w:pPr>
        <w:spacing w:after="80"/>
      </w:pPr>
      <w:r>
        <w:t xml:space="preserve">전체 33편 중 Khan/Eom 그룹 논문이 19편(57.6%)으로, 이 리뷰는 사실상 Khan 그룹의</w:t>
      </w:r>
    </w:p>
    <w:p>
      <w:pPr>
        <w:spacing w:after="80"/>
      </w:pPr>
      <w:r>
        <w:t xml:space="preserve">그룹 업적 요약서에 가까운 성격을 지닙니다. 게재 허용 시 학회지 공정성에 대한</w:t>
      </w:r>
    </w:p>
    <w:p>
      <w:pPr>
        <w:spacing w:after="80"/>
      </w:pPr>
      <w:r>
        <w:t xml:space="preserve">외부 비판이 예상됩니다.</w:t>
      </w:r>
    </w:p>
    <w:p>
      <w:pPr>
        <w:spacing w:after="80"/>
      </w:pPr>
    </w:p>
    <w:p>
      <w:pPr>
        <w:spacing w:after="80"/>
      </w:pPr>
      <w:r>
        <w:t xml:space="preserve">◆ 학회지 스코프 적합성</w:t>
      </w:r>
    </w:p>
    <w:p>
      <w:pPr>
        <w:spacing w:after="80"/>
      </w:pPr>
      <w:r>
        <w:t xml:space="preserve">본 논문은 고분자 합성 화학 위주의 내용으로, 「접착 및 계면」 학회지의 핵심 키워드인</w:t>
      </w:r>
    </w:p>
    <w:p>
      <w:pPr>
        <w:spacing w:after="80"/>
      </w:pPr>
      <w:r>
        <w:t xml:space="preserve">접착(adhesion), 접착제(adhesive), 계면 강도(interfacial strength) 관련 내용이 거의 없습니다.</w:t>
      </w:r>
    </w:p>
    <w:p>
      <w:pPr>
        <w:spacing w:after="80"/>
      </w:pPr>
      <w:r>
        <w:t xml:space="preserve">게재를 허용할 경우 접착 분야 핵심 응용을 보강하는 것을 조건으로 명시하시기 바랍니다.</w:t>
      </w:r>
    </w:p>
    <w:p>
      <w:pPr>
        <w:spacing w:after="80"/>
      </w:pPr>
    </w:p>
    <w:p>
      <w:pPr>
        <w:spacing w:after="80"/>
      </w:pPr>
      <w:r>
        <w:t xml:space="preserve">◆ 독창성</w:t>
      </w:r>
    </w:p>
    <w:p>
      <w:pPr>
        <w:spacing w:after="80"/>
      </w:pPr>
      <w:r>
        <w:t xml:space="preserve">Khan 그룹 자체에서 동일 주제의 리뷰를 이미 세 편([11] 2016, [12] 2023, [13] 2022)</w:t>
      </w:r>
    </w:p>
    <w:p>
      <w:pPr>
        <w:spacing w:after="80"/>
      </w:pPr>
      <w:r>
        <w:t xml:space="preserve">출판한 상황에서, 본 리뷰의 학술적 기여가 한국어 소개 수준에 그치지 않도록</w:t>
      </w:r>
    </w:p>
    <w:p>
      <w:pPr>
        <w:spacing w:after="80"/>
      </w:pPr>
      <w:r>
        <w:t xml:space="preserve">차별화 요소를 강화할 것을 요구할 필요가 있습니다.</w:t>
      </w:r>
    </w:p>
    <w:p>
      <w:pPr>
        <w:spacing w:after="80"/>
      </w:pPr>
    </w:p>
    <w:p>
      <w:pPr>
        <w:spacing w:after="80"/>
      </w:pPr>
      <w:r>
        <w:t xml:space="preserve">◆ 판정 의견</w:t>
      </w:r>
    </w:p>
    <w:p>
      <w:pPr>
        <w:spacing w:after="80"/>
      </w:pPr>
      <w:r>
        <w:t xml:space="preserve">Major Revision으로 판정하며, 수정 후 재심을 권장합니다.</w:t>
      </w:r>
    </w:p>
    <w:p>
      <w:pPr>
        <w:spacing w:after="80"/>
      </w:pPr>
      <w:r>
        <w:t xml:space="preserve">저자들이 (a) group-citation 비율을 30% 미만으로 낮추고, (b) 최신 연구 트렌드를 보강하며,</w:t>
      </w:r>
    </w:p>
    <w:p>
      <w:pPr>
        <w:spacing w:after="80"/>
      </w:pPr>
      <w:r>
        <w:t xml:space="preserve">(c) 학회지 스코프 정합성을 확보하는 경우에만 게재를 재고할 것을 권고드립니다.</w:t>
      </w:r>
    </w:p>
    <w:p>
      <w:pPr>
        <w:spacing w:after="80"/>
      </w:pPr>
      <w:r>
        <w:t xml:space="preserve">현 상태로의 게재는 학회지 편집 공정성 면에서 바람직하지 않습니다.</w:t>
      </w:r>
    </w:p>
    <w:p>
      <w:pPr>
        <w:spacing w:after="80"/>
      </w:pPr>
    </w:p>
    <w:p>
      <w:pPr>
        <w:spacing w:after="80"/>
      </w:pPr>
      <w:r>
        <w:t xml:space="preserve">◆ 다음 라운드 심사 참여</w:t>
      </w:r>
    </w:p>
    <w:p>
      <w:pPr>
        <w:spacing w:after="80"/>
      </w:pPr>
      <w:r>
        <w:t xml:space="preserve">수정 논문의 재심사에 참여할 의향이 있습니다.</w:t>
      </w:r>
    </w:p>
    <w:p>
      <w:pPr>
        <w:spacing w:after="200"/>
      </w:pPr>
    </w:p>
    <w:p>
      <w:pPr>
        <w:spacing w:after="300"/>
      </w:pPr>
      <w:r>
        <w:t xml:space="preserve">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▶ 심사 판정</w:t>
      </w:r>
    </w:p>
    <w:p>
      <w:pPr>
        <w:spacing w:after="120"/>
      </w:pPr>
      <w:r>
        <w:rPr>
          <w:b/>
          <w:bCs/>
        </w:rPr>
        <w:t xml:space="preserve">심사:  </w:t>
      </w:r>
      <w:r>
        <w:t xml:space="preserve">○ 게재 가    ○ 수정 후 게재    </w:t>
      </w:r>
      <w:r>
        <w:rPr>
          <w:b/>
          <w:bCs/>
          <w:color w:val="C65911"/>
        </w:rPr>
        <w:t xml:space="preserve">● 수정 후 재심</w:t>
      </w:r>
      <w:r>
        <w:t xml:space="preserve">    ○ 게재 불가</w:t>
      </w:r>
    </w:p>
    <w:p>
      <w:pPr>
        <w:spacing w:after="60"/>
      </w:pPr>
      <w:r>
        <w:rPr>
          <w:b/>
          <w:bCs/>
        </w:rPr>
        <w:t xml:space="preserve">판정 근거:  </w:t>
      </w:r>
      <w:r>
        <w:t xml:space="preserve">그룹 인용 비율 57.6% 초과(최우선 수정), 최신 연구 누락, 경쟁 반응 비교 부재,</w:t>
      </w:r>
    </w:p>
    <w:p>
      <w:pPr>
        <w:spacing w:after="200"/>
      </w:pPr>
      <w:r>
        <w:t xml:space="preserve">학회지 스코프 적합성 부족, 메타데이터 오류. 상기 사항 대폭 수정 후 재심사 필요.</w:t>
      </w:r>
    </w:p>
    <w:p>
      <w:pPr>
        <w:spacing w:after="300"/>
      </w:pPr>
      <w:r>
        <w:rPr>
          <w:b/>
          <w:bCs/>
        </w:rPr>
        <w:t xml:space="preserve">다음 라운드에도 이 논문을 심사하시겠습니까?  </w:t>
      </w:r>
      <w:r>
        <w:rPr>
          <w:b/>
          <w:bCs/>
        </w:rPr>
        <w:t xml:space="preserve">● 예    ○ 아니오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i/>
          <w:iCs/>
        </w:rPr>
        <w:t xml:space="preserve">심사일: 2026년 5월 23일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2026-05-23T12:08:49.956Z</dcterms:created>
  <dcterms:modified xsi:type="dcterms:W3CDTF">2026-05-23T12:08:49.956Z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