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Referee: 1</w:t>
      </w:r>
    </w:p>
    <w:p>
      <w:pPr>
        <w:spacing w:before="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Comment 1</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The authors state that PVDF-N3 with different molecular weights (2, 3, and 5 kDa) was obtained by controlling pressure reduction. Could the authors clarify how pressure reduction directly influences molecular weight, and provide a detailed description of the control strategy and underlying mechanism.</w:t>
      </w:r>
    </w:p>
    <w:p>
      <w:pPr>
        <w:spacing w:before="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thank the reviewer for this insightful question. In our protocol, PVDF-N3 is synthesized by RAFT polymerization of VDF using an azide-functionalized xanthate as the chain-transfer agent (CTA), carried out in a sealed pressure vessel. Since VDF is a gaseous monomer (b.p.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84 °C), it is initially charged into the reactor at high pressure. As polymerization proceeds, VDF is consumed and incorporated into the growing polymer chains, which naturally causes the headspace pressure to decrease over time. The reaction is terminated when the pressure reaches a pre-defined target value; a higher target pressure corresponds to less VDF consumed and thus shorter chains (lower Mn), while a lower target pressure corresponds to greater monomer consumption and longer chains (higher Mn). By setting three different target pressures, we obtained PVDF-N3 samples with Mn values of approximately 2, 3, and 5 kDa. Since the azide group is introduced directly through the xanthate CTA, chain-end fidelity is maintained across all three samples (&gt;95% by 19F NMR), ensuring reliable reactivity in the subsequent CuAAC step for norbornene attachment. This approach for controlling Mn via monomer consumption in polymerization of VDF is well documented in the literature (Ameduri, Chem. Rev. 2009, 109, 6632; Kostov et al., Macromolecules 2011, 44, 1841).</w:t>
      </w:r>
    </w:p>
    <w:p>
      <w:pPr>
        <w:spacing w:before="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Changes in Supporting Information: We have added a brief description of the pressure monitoring procedure used to control the molecular weight of each PVDF-N3 sample.</w:t>
      </w:r>
    </w:p>
    <w:p>
      <w:pPr>
        <w:spacing w:before="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Referee: 2</w:t>
      </w:r>
    </w:p>
    <w:p>
      <w:pPr>
        <w:spacing w:before="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Comment 5</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The manuscript demonstrates enhanced triboelectric performance through bottlebrush polymer design. Could the authors provide systematic optimization data (e.g., varying PVDF side-chain lengths, different grafting densities, or alternative backbone chemistries) to confirm that the chosen architecture represents the optimal configuration?</w:t>
      </w:r>
    </w:p>
    <w:p>
      <w:pPr>
        <w:spacing w:before="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sincerely appreciate the reviewer's constructive suggestion. We address each of the three architectural variables below.</w:t>
      </w:r>
    </w:p>
    <w:p>
      <w:pPr>
        <w:spacing w:before="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Side-chain length. The effect of PVDF side-chain molecular weight has already been systematically investigated in this work. We prepared NB-PVDF macromonomers with Mn values of 2.0, 3.0, and 5.0 kDa and compared their triboelectric performance, demonstrating a clear dependence of device output on side-chain length (Figure X).</w:t>
      </w:r>
    </w:p>
    <w:p>
      <w:pPr>
        <w:spacing w:before="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Grafting density. While it is in principle possible to vary </w:t>
      </w:r>
      <w:r>
        <w:rPr>
          <w:rFonts w:ascii="Times New Roman" w:hAnsi="Times New Roman" w:cs="Times New Roman" w:eastAsia="Times New Roman"/>
          <w:color w:val="auto"/>
          <w:spacing w:val="0"/>
          <w:position w:val="0"/>
          <w:sz w:val="24"/>
          <w:shd w:fill="auto" w:val="clear"/>
        </w:rPr>
        <w:t xml:space="preserve">σ by copolymerizing NB-PVDF macromonomers with small-molecule norbornene (NB), the large molecular weight difference between the two comonomers leads to significant differences in their ROMP reactivity, making it difficult to achieve a random distribution of grafting points along the backbone and precise control over the overall BBP architecture (Zografos et al., ACS Macro Lett. 2021, 10, 1622). Beyond these synthetic constraints, the primary objective of this work is to maximize the alignment of densely packed PVDF side chains in order to enhance the β-phase fraction. For this purpose, a 100% grafting density</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where every norbornene repeat unit carries a PVDF side chain</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is the most favorable configuration, and we have added a brief statement to this effect in the manuscript.</w:t>
      </w:r>
    </w:p>
    <w:p>
      <w:pPr>
        <w:spacing w:before="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Backbone chemistry. The inherent characteristics of ROMP leave limited options beyond norbornene-based monomers. Furthermore, since the PVDF side chains are several thousand Da in length, the chemical nature of the backbone is not expected to significantly affect the triboelectric performance of the resulting BBP films.</w:t>
      </w:r>
    </w:p>
    <w:p>
      <w:pPr>
        <w:spacing w:before="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Changes in Manuscript (Section X, Page X): We have added a brief sentence noting that 100% grafting density is the optimal configuration for maximizing </w:t>
      </w:r>
      <w:r>
        <w:rPr>
          <w:rFonts w:ascii="Times New Roman" w:hAnsi="Times New Roman" w:cs="Times New Roman" w:eastAsia="Times New Roman"/>
          <w:color w:val="auto"/>
          <w:spacing w:val="0"/>
          <w:position w:val="0"/>
          <w:sz w:val="24"/>
          <w:shd w:fill="auto" w:val="clear"/>
        </w:rPr>
        <w:t xml:space="preserve">β-phase alignment through dense side-chain ordering</w:t>
      </w:r>
      <w:r>
        <w:rPr>
          <w:rFonts w:ascii="Times New Roman" w:hAnsi="Times New Roman" w:cs="Times New Roman" w:eastAsia="Times New Roman"/>
          <w:color w:val="auto"/>
          <w:spacing w:val="0"/>
          <w:position w:val="0"/>
          <w:sz w:val="24"/>
          <w:shd w:fill="auto" w:val="clear"/>
        </w:rPr>
        <w:t xml:space="preserv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