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9A5CF" w14:textId="3D179AFD" w:rsidR="00CE121E" w:rsidRPr="00AF63C1" w:rsidRDefault="005D4599">
      <w:pPr>
        <w:rPr>
          <w:b/>
          <w:bCs/>
        </w:rPr>
      </w:pPr>
      <w:r w:rsidRPr="00AF63C1">
        <w:rPr>
          <w:b/>
          <w:bCs/>
        </w:rPr>
        <w:t>District Energy Model (DEM): An open-source model for local energy system optimisation.</w:t>
      </w:r>
    </w:p>
    <w:p w14:paraId="10BD71A9" w14:textId="0BA8F896" w:rsidR="005D4599" w:rsidRDefault="009F7FD9">
      <w:r w:rsidRPr="009F7FD9">
        <w:rPr>
          <w:sz w:val="22"/>
          <w:szCs w:val="22"/>
        </w:rPr>
        <w:t>Authors: Ueli, Pascal, Somesh, Philipp</w:t>
      </w:r>
    </w:p>
    <w:p w14:paraId="0599B9E6" w14:textId="6FAA72C1" w:rsidR="005D4599" w:rsidRPr="009526F5" w:rsidRDefault="005D4599" w:rsidP="00552D64">
      <w:pPr>
        <w:spacing w:after="0" w:line="240" w:lineRule="auto"/>
        <w:contextualSpacing/>
        <w:rPr>
          <w:b/>
          <w:sz w:val="22"/>
          <w:szCs w:val="22"/>
        </w:rPr>
      </w:pPr>
      <w:r w:rsidRPr="009526F5">
        <w:rPr>
          <w:b/>
          <w:sz w:val="22"/>
          <w:szCs w:val="22"/>
        </w:rPr>
        <w:t>Summary</w:t>
      </w:r>
    </w:p>
    <w:p w14:paraId="0A8BB2D2" w14:textId="54943607" w:rsidR="009526F5" w:rsidRDefault="000D7EE1" w:rsidP="001776B2">
      <w:pPr>
        <w:spacing w:after="0" w:line="240" w:lineRule="auto"/>
        <w:contextualSpacing/>
        <w:jc w:val="both"/>
        <w:rPr>
          <w:sz w:val="22"/>
          <w:szCs w:val="22"/>
        </w:rPr>
      </w:pPr>
      <w:r>
        <w:rPr>
          <w:sz w:val="22"/>
          <w:szCs w:val="22"/>
        </w:rPr>
        <w:t>The transition from centrali</w:t>
      </w:r>
      <w:r w:rsidR="00C64C84">
        <w:rPr>
          <w:sz w:val="22"/>
          <w:szCs w:val="22"/>
        </w:rPr>
        <w:t>s</w:t>
      </w:r>
      <w:r>
        <w:rPr>
          <w:sz w:val="22"/>
          <w:szCs w:val="22"/>
        </w:rPr>
        <w:t>ed to decentrali</w:t>
      </w:r>
      <w:r w:rsidR="00C64C84">
        <w:rPr>
          <w:sz w:val="22"/>
          <w:szCs w:val="22"/>
        </w:rPr>
        <w:t>s</w:t>
      </w:r>
      <w:r>
        <w:rPr>
          <w:sz w:val="22"/>
          <w:szCs w:val="22"/>
        </w:rPr>
        <w:t xml:space="preserve">ed </w:t>
      </w:r>
      <w:r w:rsidR="00B7053F">
        <w:rPr>
          <w:sz w:val="22"/>
          <w:szCs w:val="22"/>
        </w:rPr>
        <w:t xml:space="preserve">energy systems </w:t>
      </w:r>
      <w:r w:rsidR="00877159">
        <w:rPr>
          <w:sz w:val="22"/>
          <w:szCs w:val="22"/>
        </w:rPr>
        <w:t>for</w:t>
      </w:r>
      <w:r w:rsidR="00B7053F">
        <w:rPr>
          <w:sz w:val="22"/>
          <w:szCs w:val="22"/>
        </w:rPr>
        <w:t xml:space="preserve"> achiev</w:t>
      </w:r>
      <w:r w:rsidR="00877159">
        <w:rPr>
          <w:sz w:val="22"/>
          <w:szCs w:val="22"/>
        </w:rPr>
        <w:t>ing</w:t>
      </w:r>
      <w:r w:rsidR="00B7053F">
        <w:rPr>
          <w:sz w:val="22"/>
          <w:szCs w:val="22"/>
        </w:rPr>
        <w:t xml:space="preserve"> net-zero </w:t>
      </w:r>
      <w:r w:rsidR="000247B0">
        <w:rPr>
          <w:sz w:val="22"/>
          <w:szCs w:val="22"/>
        </w:rPr>
        <w:t>emission targets</w:t>
      </w:r>
      <w:r w:rsidR="00B7053F">
        <w:rPr>
          <w:sz w:val="22"/>
          <w:szCs w:val="22"/>
        </w:rPr>
        <w:t xml:space="preserve"> requires the evaluation of potential </w:t>
      </w:r>
      <w:r w:rsidR="000247B0">
        <w:rPr>
          <w:sz w:val="22"/>
          <w:szCs w:val="22"/>
        </w:rPr>
        <w:t>future scenarios</w:t>
      </w:r>
      <w:r w:rsidR="00905023">
        <w:rPr>
          <w:sz w:val="22"/>
          <w:szCs w:val="22"/>
        </w:rPr>
        <w:t xml:space="preserve"> on various spatial scales</w:t>
      </w:r>
      <w:r w:rsidR="00877159">
        <w:rPr>
          <w:sz w:val="22"/>
          <w:szCs w:val="22"/>
        </w:rPr>
        <w:t xml:space="preserve"> [ref]</w:t>
      </w:r>
      <w:r w:rsidR="000247B0">
        <w:rPr>
          <w:sz w:val="22"/>
          <w:szCs w:val="22"/>
        </w:rPr>
        <w:t xml:space="preserve">. The </w:t>
      </w:r>
      <w:r w:rsidR="009D7DE8">
        <w:rPr>
          <w:sz w:val="22"/>
          <w:szCs w:val="22"/>
        </w:rPr>
        <w:t>*</w:t>
      </w:r>
      <w:r w:rsidR="000247B0" w:rsidRPr="00E1742E">
        <w:rPr>
          <w:i/>
          <w:iCs/>
          <w:sz w:val="22"/>
          <w:szCs w:val="22"/>
        </w:rPr>
        <w:t>District Energy Model (DEM)</w:t>
      </w:r>
      <w:r w:rsidR="009D7DE8">
        <w:rPr>
          <w:i/>
          <w:iCs/>
          <w:sz w:val="22"/>
          <w:szCs w:val="22"/>
        </w:rPr>
        <w:t>*</w:t>
      </w:r>
      <w:r w:rsidR="00F25625" w:rsidRPr="00F25625">
        <w:rPr>
          <w:sz w:val="22"/>
          <w:szCs w:val="22"/>
        </w:rPr>
        <w:t xml:space="preserve"> is a Python-based multi-energy system model designed to simulate energy flow</w:t>
      </w:r>
      <w:r w:rsidR="003314CA">
        <w:rPr>
          <w:sz w:val="22"/>
          <w:szCs w:val="22"/>
        </w:rPr>
        <w:t xml:space="preserve"> scenarios</w:t>
      </w:r>
      <w:r w:rsidR="00F25625">
        <w:rPr>
          <w:sz w:val="22"/>
          <w:szCs w:val="22"/>
        </w:rPr>
        <w:t xml:space="preserve"> </w:t>
      </w:r>
      <w:r w:rsidR="001776B2">
        <w:rPr>
          <w:sz w:val="22"/>
          <w:szCs w:val="22"/>
        </w:rPr>
        <w:t>from neighbourhood to regional scale</w:t>
      </w:r>
      <w:r w:rsidR="000247B0">
        <w:rPr>
          <w:sz w:val="22"/>
          <w:szCs w:val="22"/>
        </w:rPr>
        <w:t xml:space="preserve"> </w:t>
      </w:r>
      <w:r w:rsidR="001776B2">
        <w:rPr>
          <w:sz w:val="22"/>
          <w:szCs w:val="22"/>
        </w:rPr>
        <w:t>with a focus on</w:t>
      </w:r>
      <w:r w:rsidR="006712CF">
        <w:rPr>
          <w:sz w:val="22"/>
          <w:szCs w:val="22"/>
        </w:rPr>
        <w:t xml:space="preserve"> the integration of</w:t>
      </w:r>
      <w:r w:rsidR="001776B2">
        <w:rPr>
          <w:sz w:val="22"/>
          <w:szCs w:val="22"/>
        </w:rPr>
        <w:t xml:space="preserve"> decentralized renewable energy technologies</w:t>
      </w:r>
      <w:r w:rsidR="006712CF">
        <w:rPr>
          <w:sz w:val="22"/>
          <w:szCs w:val="22"/>
        </w:rPr>
        <w:t xml:space="preserve"> (e.g., solar, wind, biomass)</w:t>
      </w:r>
      <w:r w:rsidR="001776B2">
        <w:rPr>
          <w:sz w:val="22"/>
          <w:szCs w:val="22"/>
        </w:rPr>
        <w:t>.</w:t>
      </w:r>
      <w:r w:rsidR="00877159">
        <w:rPr>
          <w:sz w:val="22"/>
          <w:szCs w:val="22"/>
        </w:rPr>
        <w:t xml:space="preserve"> DEM </w:t>
      </w:r>
      <w:r w:rsidR="005A57A9">
        <w:rPr>
          <w:sz w:val="22"/>
          <w:szCs w:val="22"/>
        </w:rPr>
        <w:t xml:space="preserve">runs simulation </w:t>
      </w:r>
      <w:r w:rsidR="00C64C84">
        <w:rPr>
          <w:sz w:val="22"/>
          <w:szCs w:val="22"/>
        </w:rPr>
        <w:t xml:space="preserve">and optimisation </w:t>
      </w:r>
      <w:r w:rsidR="005A57A9">
        <w:rPr>
          <w:sz w:val="22"/>
          <w:szCs w:val="22"/>
        </w:rPr>
        <w:t>studies in hourly resolution using a "snapshot-year" approach [ref Mar</w:t>
      </w:r>
      <w:r w:rsidR="007D7DCC">
        <w:rPr>
          <w:sz w:val="22"/>
          <w:szCs w:val="22"/>
        </w:rPr>
        <w:t>e</w:t>
      </w:r>
      <w:r w:rsidR="005A57A9">
        <w:rPr>
          <w:sz w:val="22"/>
          <w:szCs w:val="22"/>
        </w:rPr>
        <w:t>chal].</w:t>
      </w:r>
      <w:r w:rsidR="00C92AFA">
        <w:rPr>
          <w:sz w:val="22"/>
          <w:szCs w:val="22"/>
        </w:rPr>
        <w:t xml:space="preserve"> For selected regions (e.g., Switzerland), </w:t>
      </w:r>
      <w:r w:rsidR="0082411E">
        <w:rPr>
          <w:sz w:val="22"/>
          <w:szCs w:val="22"/>
        </w:rPr>
        <w:t xml:space="preserve">compiled </w:t>
      </w:r>
      <w:r w:rsidR="0076006B">
        <w:rPr>
          <w:sz w:val="22"/>
          <w:szCs w:val="22"/>
        </w:rPr>
        <w:t xml:space="preserve">input data from public sources is </w:t>
      </w:r>
      <w:r w:rsidR="0082411E">
        <w:rPr>
          <w:sz w:val="22"/>
          <w:szCs w:val="22"/>
        </w:rPr>
        <w:t>provided</w:t>
      </w:r>
      <w:r w:rsidR="0076006B">
        <w:rPr>
          <w:sz w:val="22"/>
          <w:szCs w:val="22"/>
        </w:rPr>
        <w:t xml:space="preserve"> </w:t>
      </w:r>
      <w:r w:rsidR="00DB3BB9">
        <w:rPr>
          <w:sz w:val="22"/>
          <w:szCs w:val="22"/>
        </w:rPr>
        <w:t>to run studies without the need of collecting and compiling such data.</w:t>
      </w:r>
    </w:p>
    <w:p w14:paraId="108FBC4D" w14:textId="1B6BF749" w:rsidR="00BE26EE" w:rsidRPr="00EA5DA5" w:rsidRDefault="00BE26EE" w:rsidP="00BE26EE">
      <w:pPr>
        <w:pStyle w:val="Listenabsatz"/>
        <w:numPr>
          <w:ilvl w:val="0"/>
          <w:numId w:val="2"/>
        </w:numPr>
        <w:spacing w:after="0" w:line="240" w:lineRule="auto"/>
        <w:jc w:val="both"/>
        <w:rPr>
          <w:color w:val="EE0000"/>
          <w:sz w:val="22"/>
          <w:szCs w:val="22"/>
        </w:rPr>
      </w:pPr>
      <w:r w:rsidRPr="00EA5DA5">
        <w:rPr>
          <w:color w:val="EE0000"/>
          <w:sz w:val="22"/>
          <w:szCs w:val="22"/>
        </w:rPr>
        <w:t>Configuration Files and Data Files</w:t>
      </w:r>
    </w:p>
    <w:p w14:paraId="04DE5269" w14:textId="6986B02D" w:rsidR="008869BE" w:rsidRPr="00EA5DA5" w:rsidRDefault="00BE26EE" w:rsidP="00552D64">
      <w:pPr>
        <w:pStyle w:val="Listenabsatz"/>
        <w:numPr>
          <w:ilvl w:val="0"/>
          <w:numId w:val="2"/>
        </w:numPr>
        <w:spacing w:after="0" w:line="240" w:lineRule="auto"/>
        <w:jc w:val="both"/>
        <w:rPr>
          <w:color w:val="EE0000"/>
          <w:sz w:val="22"/>
          <w:szCs w:val="22"/>
        </w:rPr>
      </w:pPr>
      <w:r w:rsidRPr="00EA5DA5">
        <w:rPr>
          <w:color w:val="EE0000"/>
          <w:sz w:val="22"/>
          <w:szCs w:val="22"/>
        </w:rPr>
        <w:t xml:space="preserve">Command-line tools and </w:t>
      </w:r>
      <w:r w:rsidR="0084416D" w:rsidRPr="00EA5DA5">
        <w:rPr>
          <w:color w:val="EE0000"/>
          <w:sz w:val="22"/>
          <w:szCs w:val="22"/>
        </w:rPr>
        <w:t>Python API</w:t>
      </w:r>
    </w:p>
    <w:p w14:paraId="52220261" w14:textId="7C68806A" w:rsidR="008869BE" w:rsidRPr="008869BE" w:rsidRDefault="008869BE" w:rsidP="008869BE">
      <w:pPr>
        <w:pStyle w:val="Listenabsatz"/>
        <w:numPr>
          <w:ilvl w:val="0"/>
          <w:numId w:val="2"/>
        </w:numPr>
        <w:spacing w:after="0" w:line="240" w:lineRule="auto"/>
        <w:rPr>
          <w:sz w:val="22"/>
          <w:szCs w:val="22"/>
        </w:rPr>
      </w:pPr>
      <w:r>
        <w:rPr>
          <w:sz w:val="22"/>
          <w:szCs w:val="22"/>
        </w:rPr>
        <w:t xml:space="preserve">Energy-hub concept: </w:t>
      </w:r>
      <w:hyperlink r:id="rId5" w:history="1">
        <w:r w:rsidRPr="00462E44">
          <w:rPr>
            <w:rStyle w:val="Hyperlink"/>
            <w:sz w:val="22"/>
            <w:szCs w:val="22"/>
          </w:rPr>
          <w:t>https://doi.org/10.1016/j.rser.2017.07.030</w:t>
        </w:r>
      </w:hyperlink>
      <w:r>
        <w:rPr>
          <w:sz w:val="22"/>
          <w:szCs w:val="22"/>
        </w:rPr>
        <w:t xml:space="preserve"> </w:t>
      </w:r>
    </w:p>
    <w:p w14:paraId="46F88309" w14:textId="77777777" w:rsidR="00552D64" w:rsidRPr="009526F5" w:rsidRDefault="00552D64" w:rsidP="00552D64">
      <w:pPr>
        <w:spacing w:after="0" w:line="240" w:lineRule="auto"/>
        <w:contextualSpacing/>
        <w:rPr>
          <w:sz w:val="22"/>
          <w:szCs w:val="22"/>
        </w:rPr>
      </w:pPr>
    </w:p>
    <w:p w14:paraId="3421A5D2" w14:textId="2B597EF0" w:rsidR="001A0283" w:rsidRPr="001A0283" w:rsidRDefault="005D4599" w:rsidP="001A0283">
      <w:pPr>
        <w:spacing w:after="0" w:line="240" w:lineRule="auto"/>
        <w:contextualSpacing/>
        <w:rPr>
          <w:b/>
          <w:sz w:val="22"/>
          <w:szCs w:val="22"/>
        </w:rPr>
      </w:pPr>
      <w:r w:rsidRPr="009526F5">
        <w:rPr>
          <w:b/>
          <w:sz w:val="22"/>
          <w:szCs w:val="22"/>
        </w:rPr>
        <w:t>Statement of need</w:t>
      </w:r>
    </w:p>
    <w:p w14:paraId="57F6B55C" w14:textId="4FFA1225" w:rsidR="001A0283" w:rsidRPr="001A0283" w:rsidRDefault="001A0283" w:rsidP="001A0283">
      <w:pPr>
        <w:pStyle w:val="Listenabsatz"/>
        <w:numPr>
          <w:ilvl w:val="0"/>
          <w:numId w:val="1"/>
        </w:numPr>
        <w:spacing w:after="0" w:line="240" w:lineRule="auto"/>
        <w:rPr>
          <w:sz w:val="22"/>
          <w:szCs w:val="22"/>
        </w:rPr>
      </w:pPr>
      <w:r w:rsidRPr="001A0283">
        <w:rPr>
          <w:sz w:val="22"/>
          <w:szCs w:val="22"/>
        </w:rPr>
        <w:t xml:space="preserve">What stands out from a research perspective? Flexibility </w:t>
      </w:r>
      <w:proofErr w:type="gramStart"/>
      <w:r w:rsidRPr="001A0283">
        <w:rPr>
          <w:sz w:val="22"/>
          <w:szCs w:val="22"/>
        </w:rPr>
        <w:t>considerations;</w:t>
      </w:r>
      <w:proofErr w:type="gramEnd"/>
      <w:r w:rsidRPr="001A0283">
        <w:rPr>
          <w:sz w:val="22"/>
          <w:szCs w:val="22"/>
        </w:rPr>
        <w:t xml:space="preserve"> </w:t>
      </w:r>
      <w:r>
        <w:rPr>
          <w:sz w:val="22"/>
          <w:szCs w:val="22"/>
        </w:rPr>
        <w:t>l</w:t>
      </w:r>
      <w:r w:rsidRPr="001A0283">
        <w:rPr>
          <w:sz w:val="22"/>
          <w:szCs w:val="22"/>
        </w:rPr>
        <w:t>ocal boundaries, while also considering national electricity provision (as an interface model between local, regional, and national energy planning)</w:t>
      </w:r>
    </w:p>
    <w:p w14:paraId="2E986D2E" w14:textId="62C71BEE" w:rsidR="001A0283" w:rsidRPr="001A0283" w:rsidRDefault="001A0283" w:rsidP="001A0283">
      <w:pPr>
        <w:pStyle w:val="Listenabsatz"/>
        <w:numPr>
          <w:ilvl w:val="0"/>
          <w:numId w:val="1"/>
        </w:numPr>
        <w:spacing w:after="0" w:line="240" w:lineRule="auto"/>
        <w:rPr>
          <w:sz w:val="22"/>
          <w:szCs w:val="22"/>
        </w:rPr>
      </w:pPr>
      <w:r w:rsidRPr="001A0283">
        <w:rPr>
          <w:sz w:val="22"/>
          <w:szCs w:val="22"/>
        </w:rPr>
        <w:t>Availability of open-source data: pulling it together in one model</w:t>
      </w:r>
    </w:p>
    <w:p w14:paraId="28A140A0" w14:textId="26B1F95E" w:rsidR="001A0283" w:rsidRPr="001A0283" w:rsidRDefault="001A0283" w:rsidP="001A0283">
      <w:pPr>
        <w:pStyle w:val="Listenabsatz"/>
        <w:numPr>
          <w:ilvl w:val="0"/>
          <w:numId w:val="1"/>
        </w:numPr>
        <w:spacing w:after="0" w:line="240" w:lineRule="auto"/>
        <w:rPr>
          <w:sz w:val="22"/>
          <w:szCs w:val="22"/>
        </w:rPr>
      </w:pPr>
      <w:r w:rsidRPr="001A0283">
        <w:rPr>
          <w:sz w:val="22"/>
          <w:szCs w:val="22"/>
        </w:rPr>
        <w:t>Bottom-up demand consideration of individual buildings</w:t>
      </w:r>
    </w:p>
    <w:p w14:paraId="4D38F578" w14:textId="4F394483" w:rsidR="001A0283" w:rsidRPr="001A0283" w:rsidRDefault="001A0283" w:rsidP="001A0283">
      <w:pPr>
        <w:pStyle w:val="Listenabsatz"/>
        <w:numPr>
          <w:ilvl w:val="0"/>
          <w:numId w:val="1"/>
        </w:numPr>
        <w:spacing w:after="0" w:line="240" w:lineRule="auto"/>
        <w:rPr>
          <w:sz w:val="22"/>
          <w:szCs w:val="22"/>
        </w:rPr>
      </w:pPr>
      <w:r w:rsidRPr="001A0283">
        <w:rPr>
          <w:sz w:val="22"/>
          <w:szCs w:val="22"/>
        </w:rPr>
        <w:t>Focus on integration of local, decentralized energy sources and technologies</w:t>
      </w:r>
    </w:p>
    <w:p w14:paraId="1D2DD10A" w14:textId="58A59EE1" w:rsidR="001A0283" w:rsidRPr="001A0283" w:rsidRDefault="001A0283" w:rsidP="001A0283">
      <w:pPr>
        <w:pStyle w:val="Listenabsatz"/>
        <w:numPr>
          <w:ilvl w:val="0"/>
          <w:numId w:val="1"/>
        </w:numPr>
        <w:spacing w:after="0" w:line="240" w:lineRule="auto"/>
        <w:rPr>
          <w:sz w:val="22"/>
          <w:szCs w:val="22"/>
        </w:rPr>
      </w:pPr>
      <w:r w:rsidRPr="001A0283">
        <w:rPr>
          <w:sz w:val="22"/>
          <w:szCs w:val="22"/>
        </w:rPr>
        <w:t>Energy-planning on neighbourhood-scale</w:t>
      </w:r>
    </w:p>
    <w:p w14:paraId="01B93B50" w14:textId="39DFDF25" w:rsidR="001A0283" w:rsidRPr="001A0283" w:rsidRDefault="001A0283" w:rsidP="001A0283">
      <w:pPr>
        <w:pStyle w:val="Listenabsatz"/>
        <w:numPr>
          <w:ilvl w:val="0"/>
          <w:numId w:val="1"/>
        </w:numPr>
        <w:spacing w:after="0" w:line="240" w:lineRule="auto"/>
        <w:rPr>
          <w:sz w:val="22"/>
          <w:szCs w:val="22"/>
        </w:rPr>
      </w:pPr>
      <w:r w:rsidRPr="001A0283">
        <w:rPr>
          <w:sz w:val="22"/>
          <w:szCs w:val="22"/>
        </w:rPr>
        <w:t>No extensive modelling required, yet flexible in scenario creation.</w:t>
      </w:r>
    </w:p>
    <w:p w14:paraId="3A2514E6" w14:textId="715CF4E1" w:rsidR="001A0283" w:rsidRPr="001A0283" w:rsidRDefault="001A0283" w:rsidP="001A0283">
      <w:pPr>
        <w:pStyle w:val="Listenabsatz"/>
        <w:numPr>
          <w:ilvl w:val="0"/>
          <w:numId w:val="1"/>
        </w:numPr>
        <w:spacing w:after="0" w:line="240" w:lineRule="auto"/>
        <w:rPr>
          <w:sz w:val="22"/>
          <w:szCs w:val="22"/>
        </w:rPr>
      </w:pPr>
      <w:r w:rsidRPr="001A0283">
        <w:rPr>
          <w:sz w:val="22"/>
          <w:szCs w:val="22"/>
        </w:rPr>
        <w:t>Pre-configured with standard values for the Swiss energy system</w:t>
      </w:r>
    </w:p>
    <w:p w14:paraId="3B9F952C" w14:textId="602D1782" w:rsidR="001A0283" w:rsidRPr="001A0283" w:rsidRDefault="001A0283" w:rsidP="001A0283">
      <w:pPr>
        <w:pStyle w:val="Listenabsatz"/>
        <w:numPr>
          <w:ilvl w:val="0"/>
          <w:numId w:val="1"/>
        </w:numPr>
        <w:spacing w:after="0" w:line="240" w:lineRule="auto"/>
        <w:rPr>
          <w:sz w:val="22"/>
          <w:szCs w:val="22"/>
        </w:rPr>
      </w:pPr>
      <w:r w:rsidRPr="001A0283">
        <w:rPr>
          <w:sz w:val="22"/>
          <w:szCs w:val="22"/>
        </w:rPr>
        <w:t xml:space="preserve">Automated parametrisation: Provided for Switzerland; Other countries to be added </w:t>
      </w:r>
      <w:r w:rsidRPr="001A0283">
        <w:rPr>
          <w:sz w:val="22"/>
          <w:szCs w:val="22"/>
        </w:rPr>
        <w:t> can also be added by users, as the required data structure is provided</w:t>
      </w:r>
    </w:p>
    <w:p w14:paraId="742A8CC0" w14:textId="1458F4DF" w:rsidR="001A0283" w:rsidRPr="001A0283" w:rsidRDefault="001A0283" w:rsidP="001A0283">
      <w:pPr>
        <w:pStyle w:val="Listenabsatz"/>
        <w:numPr>
          <w:ilvl w:val="0"/>
          <w:numId w:val="1"/>
        </w:numPr>
        <w:spacing w:after="0" w:line="240" w:lineRule="auto"/>
        <w:rPr>
          <w:sz w:val="22"/>
          <w:szCs w:val="22"/>
        </w:rPr>
      </w:pPr>
      <w:r w:rsidRPr="001A0283">
        <w:rPr>
          <w:sz w:val="22"/>
          <w:szCs w:val="22"/>
        </w:rPr>
        <w:t>Selection of custom district</w:t>
      </w:r>
    </w:p>
    <w:p w14:paraId="7F413165" w14:textId="301DF8F5" w:rsidR="001A0283" w:rsidRPr="001A0283" w:rsidRDefault="001A0283" w:rsidP="001A0283">
      <w:pPr>
        <w:pStyle w:val="Listenabsatz"/>
        <w:numPr>
          <w:ilvl w:val="0"/>
          <w:numId w:val="1"/>
        </w:numPr>
        <w:spacing w:after="0" w:line="240" w:lineRule="auto"/>
        <w:rPr>
          <w:sz w:val="22"/>
          <w:szCs w:val="22"/>
        </w:rPr>
      </w:pPr>
      <w:r w:rsidRPr="001A0283">
        <w:rPr>
          <w:sz w:val="22"/>
          <w:szCs w:val="22"/>
        </w:rPr>
        <w:t>Optimisation optional</w:t>
      </w:r>
    </w:p>
    <w:p w14:paraId="17415D9D" w14:textId="77777777" w:rsidR="00E719C4" w:rsidRDefault="00E719C4" w:rsidP="00E719C4">
      <w:pPr>
        <w:spacing w:after="0" w:line="240" w:lineRule="auto"/>
        <w:rPr>
          <w:sz w:val="22"/>
          <w:szCs w:val="22"/>
        </w:rPr>
      </w:pPr>
    </w:p>
    <w:p w14:paraId="0E788D3F" w14:textId="005574FA" w:rsidR="00E719C4" w:rsidRDefault="00615483" w:rsidP="001B6054">
      <w:pPr>
        <w:spacing w:after="0" w:line="240" w:lineRule="auto"/>
        <w:jc w:val="both"/>
        <w:rPr>
          <w:sz w:val="22"/>
          <w:szCs w:val="22"/>
        </w:rPr>
      </w:pPr>
      <w:r>
        <w:rPr>
          <w:sz w:val="22"/>
          <w:szCs w:val="22"/>
        </w:rPr>
        <w:t>Many</w:t>
      </w:r>
      <w:r w:rsidR="00E719C4">
        <w:rPr>
          <w:sz w:val="22"/>
          <w:szCs w:val="22"/>
        </w:rPr>
        <w:t xml:space="preserve"> </w:t>
      </w:r>
      <w:r w:rsidR="00D47E43">
        <w:rPr>
          <w:sz w:val="22"/>
          <w:szCs w:val="22"/>
        </w:rPr>
        <w:t>open-source</w:t>
      </w:r>
      <w:r>
        <w:rPr>
          <w:sz w:val="22"/>
          <w:szCs w:val="22"/>
        </w:rPr>
        <w:t xml:space="preserve"> energy system</w:t>
      </w:r>
      <w:r w:rsidR="00D47E43">
        <w:rPr>
          <w:sz w:val="22"/>
          <w:szCs w:val="22"/>
        </w:rPr>
        <w:t xml:space="preserve"> </w:t>
      </w:r>
      <w:r w:rsidR="00E719C4">
        <w:rPr>
          <w:sz w:val="22"/>
          <w:szCs w:val="22"/>
        </w:rPr>
        <w:t>modelling frameworks exist, such as e.g.,</w:t>
      </w:r>
      <w:r w:rsidR="00E03D8D">
        <w:rPr>
          <w:sz w:val="22"/>
          <w:szCs w:val="22"/>
        </w:rPr>
        <w:t xml:space="preserve"> SESMG</w:t>
      </w:r>
      <w:r w:rsidR="00D47E43">
        <w:rPr>
          <w:sz w:val="22"/>
          <w:szCs w:val="22"/>
        </w:rPr>
        <w:t xml:space="preserve"> [ref]</w:t>
      </w:r>
      <w:r w:rsidR="00E03D8D">
        <w:rPr>
          <w:sz w:val="22"/>
          <w:szCs w:val="22"/>
        </w:rPr>
        <w:t>, EHTOS.FINE</w:t>
      </w:r>
      <w:r w:rsidR="00D47E43">
        <w:rPr>
          <w:sz w:val="22"/>
          <w:szCs w:val="22"/>
        </w:rPr>
        <w:t xml:space="preserve"> [ref], REHO [ref], </w:t>
      </w:r>
      <w:proofErr w:type="gramStart"/>
      <w:r w:rsidR="00D47E43">
        <w:rPr>
          <w:sz w:val="22"/>
          <w:szCs w:val="22"/>
        </w:rPr>
        <w:t>(..</w:t>
      </w:r>
      <w:proofErr w:type="gramEnd"/>
      <w:r w:rsidR="00D47E43">
        <w:rPr>
          <w:sz w:val="22"/>
          <w:szCs w:val="22"/>
        </w:rPr>
        <w:t>find more)</w:t>
      </w:r>
      <w:r w:rsidR="00E719C4">
        <w:rPr>
          <w:sz w:val="22"/>
          <w:szCs w:val="22"/>
        </w:rPr>
        <w:t>.</w:t>
      </w:r>
      <w:r>
        <w:rPr>
          <w:sz w:val="22"/>
          <w:szCs w:val="22"/>
        </w:rPr>
        <w:t xml:space="preserve"> Each model has strengths and weaknesses and specific </w:t>
      </w:r>
      <w:r w:rsidR="00595A1B">
        <w:rPr>
          <w:sz w:val="22"/>
          <w:szCs w:val="22"/>
        </w:rPr>
        <w:t>scopes of application.</w:t>
      </w:r>
      <w:r w:rsidR="007772BE">
        <w:rPr>
          <w:sz w:val="22"/>
          <w:szCs w:val="22"/>
        </w:rPr>
        <w:t xml:space="preserve"> </w:t>
      </w:r>
      <w:r w:rsidR="00593E8E">
        <w:rPr>
          <w:sz w:val="22"/>
          <w:szCs w:val="22"/>
        </w:rPr>
        <w:t>While</w:t>
      </w:r>
      <w:r w:rsidR="007772BE">
        <w:rPr>
          <w:sz w:val="22"/>
          <w:szCs w:val="22"/>
        </w:rPr>
        <w:t xml:space="preserve"> </w:t>
      </w:r>
      <w:r w:rsidR="00DA17C4">
        <w:rPr>
          <w:sz w:val="22"/>
          <w:szCs w:val="22"/>
        </w:rPr>
        <w:t xml:space="preserve">these models provide valuable frameworks for evaluating multi-energy systems on various spatial and temporal scales, they require the user to provide </w:t>
      </w:r>
      <w:r w:rsidR="00300DCD">
        <w:rPr>
          <w:sz w:val="22"/>
          <w:szCs w:val="22"/>
        </w:rPr>
        <w:t>input data such as demand profiles</w:t>
      </w:r>
      <w:r w:rsidR="00DF4269">
        <w:rPr>
          <w:sz w:val="22"/>
          <w:szCs w:val="22"/>
        </w:rPr>
        <w:t>, cost information, or technology specifications.</w:t>
      </w:r>
      <w:r w:rsidR="00E058C8">
        <w:rPr>
          <w:sz w:val="22"/>
          <w:szCs w:val="22"/>
        </w:rPr>
        <w:t xml:space="preserve"> A large portion of the work when </w:t>
      </w:r>
      <w:r w:rsidR="00F44AE7">
        <w:rPr>
          <w:sz w:val="22"/>
          <w:szCs w:val="22"/>
        </w:rPr>
        <w:t xml:space="preserve">creating simulation studies using a modelling framework goes into the collection and generation of </w:t>
      </w:r>
      <w:r w:rsidR="008D3F4A">
        <w:rPr>
          <w:sz w:val="22"/>
          <w:szCs w:val="22"/>
        </w:rPr>
        <w:t>such data</w:t>
      </w:r>
      <w:r w:rsidR="00F500BC">
        <w:rPr>
          <w:sz w:val="22"/>
          <w:szCs w:val="22"/>
        </w:rPr>
        <w:t>. DEM eliminates the need for this work as it</w:t>
      </w:r>
      <w:r w:rsidR="00797056">
        <w:rPr>
          <w:sz w:val="22"/>
          <w:szCs w:val="22"/>
        </w:rPr>
        <w:t xml:space="preserve"> already provides</w:t>
      </w:r>
      <w:r w:rsidR="0097346B">
        <w:rPr>
          <w:sz w:val="22"/>
          <w:szCs w:val="22"/>
        </w:rPr>
        <w:t xml:space="preserve"> this type of data for selected regions</w:t>
      </w:r>
      <w:r w:rsidR="00E9475C">
        <w:rPr>
          <w:sz w:val="22"/>
          <w:szCs w:val="22"/>
        </w:rPr>
        <w:t xml:space="preserve"> and therefore greatly reduces the workload for the modeller.</w:t>
      </w:r>
      <w:r w:rsidR="0097346B">
        <w:rPr>
          <w:sz w:val="22"/>
          <w:szCs w:val="22"/>
        </w:rPr>
        <w:t xml:space="preserve"> </w:t>
      </w:r>
      <w:r w:rsidR="00E9475C">
        <w:rPr>
          <w:sz w:val="22"/>
          <w:szCs w:val="22"/>
        </w:rPr>
        <w:t xml:space="preserve">The </w:t>
      </w:r>
      <w:r w:rsidR="008D3F4A">
        <w:rPr>
          <w:sz w:val="22"/>
          <w:szCs w:val="22"/>
        </w:rPr>
        <w:t xml:space="preserve">provided </w:t>
      </w:r>
      <w:r w:rsidR="00E9475C">
        <w:rPr>
          <w:sz w:val="22"/>
          <w:szCs w:val="22"/>
        </w:rPr>
        <w:t>data</w:t>
      </w:r>
      <w:r w:rsidR="00797056">
        <w:rPr>
          <w:sz w:val="22"/>
          <w:szCs w:val="22"/>
        </w:rPr>
        <w:t xml:space="preserve"> has been collected from various public sources and </w:t>
      </w:r>
      <w:r w:rsidR="00E9475C">
        <w:rPr>
          <w:sz w:val="22"/>
          <w:szCs w:val="22"/>
        </w:rPr>
        <w:t>pre-</w:t>
      </w:r>
      <w:r w:rsidR="00797056">
        <w:rPr>
          <w:sz w:val="22"/>
          <w:szCs w:val="22"/>
        </w:rPr>
        <w:t xml:space="preserve">processed </w:t>
      </w:r>
      <w:r w:rsidR="00CA5E2F">
        <w:rPr>
          <w:sz w:val="22"/>
          <w:szCs w:val="22"/>
        </w:rPr>
        <w:t xml:space="preserve">for use in simulation studies. </w:t>
      </w:r>
      <w:r w:rsidR="0097346B">
        <w:rPr>
          <w:sz w:val="22"/>
          <w:szCs w:val="22"/>
        </w:rPr>
        <w:t>Therefore,</w:t>
      </w:r>
      <w:r w:rsidR="00944F97">
        <w:rPr>
          <w:sz w:val="22"/>
          <w:szCs w:val="22"/>
        </w:rPr>
        <w:t xml:space="preserve"> </w:t>
      </w:r>
      <w:r w:rsidR="004316EB">
        <w:rPr>
          <w:sz w:val="22"/>
          <w:szCs w:val="22"/>
        </w:rPr>
        <w:t>simulation and optimisation studies can be run in DEM with only min</w:t>
      </w:r>
      <w:r w:rsidR="00631E4F">
        <w:rPr>
          <w:sz w:val="22"/>
          <w:szCs w:val="22"/>
        </w:rPr>
        <w:t>imal configuration</w:t>
      </w:r>
      <w:r w:rsidR="004316EB">
        <w:rPr>
          <w:sz w:val="22"/>
          <w:szCs w:val="22"/>
        </w:rPr>
        <w:t xml:space="preserve"> requirements</w:t>
      </w:r>
      <w:r w:rsidR="00631E4F">
        <w:rPr>
          <w:sz w:val="22"/>
          <w:szCs w:val="22"/>
        </w:rPr>
        <w:t xml:space="preserve"> (e.g., which buildings to consider)</w:t>
      </w:r>
      <w:r w:rsidR="00475868">
        <w:rPr>
          <w:sz w:val="22"/>
          <w:szCs w:val="22"/>
        </w:rPr>
        <w:t xml:space="preserve">, while still maintaining maximum flexibility of substituting any of the </w:t>
      </w:r>
      <w:r w:rsidR="00944F97">
        <w:rPr>
          <w:sz w:val="22"/>
          <w:szCs w:val="22"/>
        </w:rPr>
        <w:t>pre-configured data with custom data and</w:t>
      </w:r>
      <w:r w:rsidR="00F60C0D">
        <w:rPr>
          <w:sz w:val="22"/>
          <w:szCs w:val="22"/>
        </w:rPr>
        <w:t xml:space="preserve"> </w:t>
      </w:r>
      <w:r w:rsidR="00944F97">
        <w:rPr>
          <w:sz w:val="22"/>
          <w:szCs w:val="22"/>
        </w:rPr>
        <w:t>configurations</w:t>
      </w:r>
      <w:r w:rsidR="004A055C">
        <w:rPr>
          <w:sz w:val="22"/>
          <w:szCs w:val="22"/>
        </w:rPr>
        <w:t xml:space="preserve"> if the need arises</w:t>
      </w:r>
      <w:r w:rsidR="00944F97">
        <w:rPr>
          <w:sz w:val="22"/>
          <w:szCs w:val="22"/>
        </w:rPr>
        <w:t>.</w:t>
      </w:r>
    </w:p>
    <w:p w14:paraId="18824111" w14:textId="1AA83383" w:rsidR="00E3693F" w:rsidRPr="00E719C4" w:rsidRDefault="00E3693F" w:rsidP="001B6054">
      <w:pPr>
        <w:spacing w:after="0" w:line="240" w:lineRule="auto"/>
        <w:jc w:val="both"/>
        <w:rPr>
          <w:sz w:val="22"/>
          <w:szCs w:val="22"/>
        </w:rPr>
      </w:pPr>
      <w:r>
        <w:rPr>
          <w:sz w:val="22"/>
          <w:szCs w:val="22"/>
        </w:rPr>
        <w:t xml:space="preserve">While an optimisation study is very useful to determine optimal </w:t>
      </w:r>
      <w:r w:rsidR="00BE77BE">
        <w:rPr>
          <w:sz w:val="22"/>
          <w:szCs w:val="22"/>
        </w:rPr>
        <w:t xml:space="preserve">technology design and operation, many energy provision scenarios can be simulated without applying optimisation. Therefore, DEM can also be run as a simulation </w:t>
      </w:r>
      <w:r w:rsidR="00DD1D42">
        <w:rPr>
          <w:sz w:val="22"/>
          <w:szCs w:val="22"/>
        </w:rPr>
        <w:t>without optimisation for various scenarios.</w:t>
      </w:r>
      <w:r w:rsidR="00F52F44">
        <w:rPr>
          <w:sz w:val="22"/>
          <w:szCs w:val="22"/>
        </w:rPr>
        <w:t xml:space="preserve"> This allows for short computation times and fast result generation.</w:t>
      </w:r>
    </w:p>
    <w:p w14:paraId="758A107A" w14:textId="77777777" w:rsidR="003645E9" w:rsidRDefault="003645E9" w:rsidP="003645E9">
      <w:pPr>
        <w:spacing w:after="0" w:line="240" w:lineRule="auto"/>
        <w:rPr>
          <w:sz w:val="22"/>
          <w:szCs w:val="22"/>
        </w:rPr>
      </w:pPr>
    </w:p>
    <w:p w14:paraId="2ED501D9" w14:textId="5E88D218" w:rsidR="003645E9" w:rsidRPr="003645E9" w:rsidRDefault="003645E9" w:rsidP="003645E9">
      <w:pPr>
        <w:spacing w:after="0" w:line="240" w:lineRule="auto"/>
        <w:rPr>
          <w:b/>
          <w:sz w:val="22"/>
          <w:szCs w:val="22"/>
        </w:rPr>
      </w:pPr>
      <w:r w:rsidRPr="003645E9">
        <w:rPr>
          <w:b/>
          <w:sz w:val="22"/>
          <w:szCs w:val="22"/>
        </w:rPr>
        <w:t>[Research and future development]</w:t>
      </w:r>
    </w:p>
    <w:p w14:paraId="568A0FE1" w14:textId="77777777" w:rsidR="00552D64" w:rsidRPr="009526F5" w:rsidRDefault="00552D64" w:rsidP="00552D64">
      <w:pPr>
        <w:spacing w:after="0" w:line="240" w:lineRule="auto"/>
        <w:contextualSpacing/>
        <w:rPr>
          <w:sz w:val="22"/>
          <w:szCs w:val="22"/>
        </w:rPr>
      </w:pPr>
    </w:p>
    <w:p w14:paraId="001EC74A" w14:textId="4D45A94E" w:rsidR="005D4599" w:rsidRPr="009526F5" w:rsidRDefault="005D4599" w:rsidP="00552D64">
      <w:pPr>
        <w:spacing w:after="0" w:line="240" w:lineRule="auto"/>
        <w:contextualSpacing/>
        <w:rPr>
          <w:b/>
          <w:sz w:val="22"/>
          <w:szCs w:val="22"/>
        </w:rPr>
      </w:pPr>
      <w:r w:rsidRPr="009526F5">
        <w:rPr>
          <w:b/>
          <w:sz w:val="22"/>
          <w:szCs w:val="22"/>
        </w:rPr>
        <w:lastRenderedPageBreak/>
        <w:t>Acknowledgements</w:t>
      </w:r>
    </w:p>
    <w:p w14:paraId="17909268" w14:textId="3998F584" w:rsidR="009526F5" w:rsidRDefault="00D45889" w:rsidP="00D45889">
      <w:pPr>
        <w:spacing w:after="0" w:line="240" w:lineRule="auto"/>
        <w:contextualSpacing/>
        <w:rPr>
          <w:sz w:val="22"/>
          <w:szCs w:val="22"/>
        </w:rPr>
      </w:pPr>
      <w:r w:rsidRPr="00D45889">
        <w:rPr>
          <w:sz w:val="22"/>
          <w:szCs w:val="22"/>
        </w:rPr>
        <w:t>The research published in this publication was carried out with the support of the Swiss Federal Office</w:t>
      </w:r>
      <w:r>
        <w:rPr>
          <w:sz w:val="22"/>
          <w:szCs w:val="22"/>
        </w:rPr>
        <w:t xml:space="preserve"> </w:t>
      </w:r>
      <w:r w:rsidRPr="00D45889">
        <w:rPr>
          <w:sz w:val="22"/>
          <w:szCs w:val="22"/>
        </w:rPr>
        <w:t>of Energy as part of the SWEET consortium EDGE. The authors bear sole responsibility for the</w:t>
      </w:r>
      <w:r>
        <w:rPr>
          <w:sz w:val="22"/>
          <w:szCs w:val="22"/>
        </w:rPr>
        <w:t xml:space="preserve"> </w:t>
      </w:r>
      <w:r w:rsidRPr="00D45889">
        <w:rPr>
          <w:sz w:val="22"/>
          <w:szCs w:val="22"/>
        </w:rPr>
        <w:t>conclusions and the results presented in this publication.</w:t>
      </w:r>
    </w:p>
    <w:p w14:paraId="0C7D5E4F" w14:textId="77777777" w:rsidR="00552D64" w:rsidRPr="009526F5" w:rsidRDefault="00552D64" w:rsidP="00552D64">
      <w:pPr>
        <w:spacing w:after="0" w:line="240" w:lineRule="auto"/>
        <w:contextualSpacing/>
        <w:rPr>
          <w:sz w:val="22"/>
          <w:szCs w:val="22"/>
        </w:rPr>
      </w:pPr>
    </w:p>
    <w:p w14:paraId="4718CCB8" w14:textId="22B75910" w:rsidR="005D4599" w:rsidRDefault="005D4599" w:rsidP="00552D64">
      <w:pPr>
        <w:spacing w:after="0" w:line="240" w:lineRule="auto"/>
        <w:contextualSpacing/>
        <w:rPr>
          <w:b/>
          <w:sz w:val="22"/>
          <w:szCs w:val="22"/>
        </w:rPr>
      </w:pPr>
      <w:r w:rsidRPr="009526F5">
        <w:rPr>
          <w:b/>
          <w:sz w:val="22"/>
          <w:szCs w:val="22"/>
        </w:rPr>
        <w:t>References</w:t>
      </w:r>
    </w:p>
    <w:p w14:paraId="68F2DCEB" w14:textId="77777777" w:rsidR="008E58F2" w:rsidRDefault="008E58F2" w:rsidP="00552D64">
      <w:pPr>
        <w:spacing w:after="0" w:line="240" w:lineRule="auto"/>
        <w:contextualSpacing/>
        <w:rPr>
          <w:b/>
          <w:sz w:val="22"/>
          <w:szCs w:val="22"/>
        </w:rPr>
      </w:pPr>
    </w:p>
    <w:p w14:paraId="7A9B13B1" w14:textId="77777777" w:rsidR="008E58F2" w:rsidRDefault="008E58F2" w:rsidP="00552D64">
      <w:pPr>
        <w:spacing w:after="0" w:line="240" w:lineRule="auto"/>
        <w:contextualSpacing/>
        <w:rPr>
          <w:b/>
          <w:sz w:val="22"/>
          <w:szCs w:val="22"/>
        </w:rPr>
      </w:pPr>
    </w:p>
    <w:p w14:paraId="4422FFDE" w14:textId="33003E51" w:rsidR="008E58F2" w:rsidRDefault="008E58F2" w:rsidP="00552D64">
      <w:pPr>
        <w:spacing w:after="0" w:line="240" w:lineRule="auto"/>
        <w:contextualSpacing/>
        <w:rPr>
          <w:b/>
          <w:sz w:val="22"/>
          <w:szCs w:val="22"/>
        </w:rPr>
      </w:pPr>
      <w:r>
        <w:rPr>
          <w:b/>
          <w:sz w:val="22"/>
          <w:szCs w:val="22"/>
        </w:rPr>
        <w:t xml:space="preserve">Add something </w:t>
      </w:r>
      <w:proofErr w:type="gramStart"/>
      <w:r>
        <w:rPr>
          <w:b/>
          <w:sz w:val="22"/>
          <w:szCs w:val="22"/>
        </w:rPr>
        <w:t>similar to</w:t>
      </w:r>
      <w:proofErr w:type="gramEnd"/>
      <w:r>
        <w:rPr>
          <w:b/>
          <w:sz w:val="22"/>
          <w:szCs w:val="22"/>
        </w:rPr>
        <w:t xml:space="preserve"> this (linking to documentation): </w:t>
      </w:r>
    </w:p>
    <w:p w14:paraId="41A34844" w14:textId="77777777" w:rsidR="008E58F2" w:rsidRPr="008E58F2" w:rsidRDefault="008E58F2" w:rsidP="00552D64">
      <w:pPr>
        <w:spacing w:after="0" w:line="240" w:lineRule="auto"/>
        <w:contextualSpacing/>
        <w:rPr>
          <w:bCs/>
          <w:sz w:val="22"/>
          <w:szCs w:val="22"/>
        </w:rPr>
      </w:pPr>
    </w:p>
    <w:p w14:paraId="2B6ECF23" w14:textId="199780DA" w:rsidR="008E58F2" w:rsidRDefault="008E58F2" w:rsidP="00552D64">
      <w:pPr>
        <w:spacing w:after="0" w:line="240" w:lineRule="auto"/>
        <w:contextualSpacing/>
        <w:rPr>
          <w:bCs/>
          <w:sz w:val="22"/>
          <w:szCs w:val="22"/>
        </w:rPr>
      </w:pPr>
      <w:r w:rsidRPr="008E58F2">
        <w:rPr>
          <w:bCs/>
          <w:sz w:val="22"/>
          <w:szCs w:val="22"/>
        </w:rPr>
        <w:t xml:space="preserve">"The SESMG comes with a detailed documentation, including step-by-step instructions, explanations of all </w:t>
      </w:r>
      <w:proofErr w:type="spellStart"/>
      <w:r w:rsidRPr="008E58F2">
        <w:rPr>
          <w:bCs/>
          <w:sz w:val="22"/>
          <w:szCs w:val="22"/>
        </w:rPr>
        <w:t>modeling</w:t>
      </w:r>
      <w:proofErr w:type="spellEnd"/>
      <w:r w:rsidRPr="008E58F2">
        <w:rPr>
          <w:bCs/>
          <w:sz w:val="22"/>
          <w:szCs w:val="22"/>
        </w:rPr>
        <w:t xml:space="preserve"> methods, and troubleshooting with known application errors. In addition, the documentation includes an ongoing list of peer review publications, conference proceedings, study works, research projects, and other publications related to the SESMG."</w:t>
      </w:r>
    </w:p>
    <w:p w14:paraId="7D26DB5C" w14:textId="77777777" w:rsidR="00A557AC" w:rsidRDefault="00A557AC" w:rsidP="00552D64">
      <w:pPr>
        <w:spacing w:after="0" w:line="240" w:lineRule="auto"/>
        <w:contextualSpacing/>
        <w:rPr>
          <w:bCs/>
          <w:sz w:val="22"/>
          <w:szCs w:val="22"/>
        </w:rPr>
      </w:pPr>
    </w:p>
    <w:p w14:paraId="45400B5F" w14:textId="3D245CF3" w:rsidR="00A557AC" w:rsidRPr="008E58F2" w:rsidRDefault="00A557AC" w:rsidP="00A557AC">
      <w:pPr>
        <w:spacing w:after="0" w:line="240" w:lineRule="auto"/>
        <w:contextualSpacing/>
        <w:rPr>
          <w:bCs/>
          <w:sz w:val="22"/>
          <w:szCs w:val="22"/>
        </w:rPr>
      </w:pPr>
      <w:r>
        <w:rPr>
          <w:bCs/>
          <w:sz w:val="22"/>
          <w:szCs w:val="22"/>
        </w:rPr>
        <w:t>"</w:t>
      </w:r>
      <w:r w:rsidRPr="00A557AC">
        <w:rPr>
          <w:bCs/>
          <w:sz w:val="22"/>
          <w:szCs w:val="22"/>
        </w:rPr>
        <w:t xml:space="preserve">REHO is deployed as an open-source and collaborative Python library, available as a </w:t>
      </w:r>
      <w:proofErr w:type="spellStart"/>
      <w:r w:rsidRPr="00A557AC">
        <w:rPr>
          <w:bCs/>
          <w:sz w:val="22"/>
          <w:szCs w:val="22"/>
        </w:rPr>
        <w:t>PyPI</w:t>
      </w:r>
      <w:proofErr w:type="spellEnd"/>
      <w:r w:rsidR="00FF5660">
        <w:rPr>
          <w:bCs/>
          <w:sz w:val="22"/>
          <w:szCs w:val="22"/>
        </w:rPr>
        <w:t xml:space="preserve"> </w:t>
      </w:r>
      <w:r w:rsidRPr="00A557AC">
        <w:rPr>
          <w:bCs/>
          <w:sz w:val="22"/>
          <w:szCs w:val="22"/>
        </w:rPr>
        <w:t xml:space="preserve">package and supported by comprehensive documentation. The documentation website </w:t>
      </w:r>
      <w:r>
        <w:rPr>
          <w:bCs/>
          <w:sz w:val="22"/>
          <w:szCs w:val="22"/>
        </w:rPr>
        <w:t>i</w:t>
      </w:r>
      <w:r w:rsidRPr="00A557AC">
        <w:rPr>
          <w:bCs/>
          <w:sz w:val="22"/>
          <w:szCs w:val="22"/>
        </w:rPr>
        <w:t>ncludes</w:t>
      </w:r>
      <w:r>
        <w:rPr>
          <w:bCs/>
          <w:sz w:val="22"/>
          <w:szCs w:val="22"/>
        </w:rPr>
        <w:t xml:space="preserve"> </w:t>
      </w:r>
      <w:r w:rsidRPr="00A557AC">
        <w:rPr>
          <w:bCs/>
          <w:sz w:val="22"/>
          <w:szCs w:val="22"/>
        </w:rPr>
        <w:t>step-by-step instructions, details about the mathematical background and model foundations,</w:t>
      </w:r>
      <w:r>
        <w:rPr>
          <w:bCs/>
          <w:sz w:val="22"/>
          <w:szCs w:val="22"/>
        </w:rPr>
        <w:t xml:space="preserve"> </w:t>
      </w:r>
      <w:r w:rsidRPr="00A557AC">
        <w:rPr>
          <w:bCs/>
          <w:sz w:val="22"/>
          <w:szCs w:val="22"/>
        </w:rPr>
        <w:t>as well as a list of academic publications, conference proceedings, research projects, and other</w:t>
      </w:r>
      <w:r>
        <w:rPr>
          <w:bCs/>
          <w:sz w:val="22"/>
          <w:szCs w:val="22"/>
        </w:rPr>
        <w:t xml:space="preserve"> </w:t>
      </w:r>
      <w:r w:rsidRPr="00A557AC">
        <w:rPr>
          <w:bCs/>
          <w:sz w:val="22"/>
          <w:szCs w:val="22"/>
        </w:rPr>
        <w:t>works related to REHO.</w:t>
      </w:r>
      <w:r>
        <w:rPr>
          <w:bCs/>
          <w:sz w:val="22"/>
          <w:szCs w:val="22"/>
        </w:rPr>
        <w:t>"</w:t>
      </w:r>
    </w:p>
    <w:sectPr w:rsidR="00A557AC" w:rsidRPr="008E58F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02D38"/>
    <w:multiLevelType w:val="hybridMultilevel"/>
    <w:tmpl w:val="91748772"/>
    <w:lvl w:ilvl="0" w:tplc="0F685E06">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64C24314"/>
    <w:multiLevelType w:val="hybridMultilevel"/>
    <w:tmpl w:val="A322E0E8"/>
    <w:lvl w:ilvl="0" w:tplc="D43A7582">
      <w:numFmt w:val="bullet"/>
      <w:lvlText w:val="-"/>
      <w:lvlJc w:val="left"/>
      <w:pPr>
        <w:ind w:left="720" w:hanging="360"/>
      </w:pPr>
      <w:rPr>
        <w:rFonts w:ascii="Aptos" w:eastAsiaTheme="minorHAnsi" w:hAnsi="Aptos" w:cstheme="minorBid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503467817">
    <w:abstractNumId w:val="1"/>
  </w:num>
  <w:num w:numId="2" w16cid:durableId="1576355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93B"/>
    <w:rsid w:val="0002068C"/>
    <w:rsid w:val="000247B0"/>
    <w:rsid w:val="0003279F"/>
    <w:rsid w:val="00032D12"/>
    <w:rsid w:val="000B47D3"/>
    <w:rsid w:val="000D7EE1"/>
    <w:rsid w:val="00111CCA"/>
    <w:rsid w:val="00134BDD"/>
    <w:rsid w:val="00151B28"/>
    <w:rsid w:val="001776B2"/>
    <w:rsid w:val="001821D4"/>
    <w:rsid w:val="001A0283"/>
    <w:rsid w:val="001A4BA8"/>
    <w:rsid w:val="001B6054"/>
    <w:rsid w:val="001C2BBE"/>
    <w:rsid w:val="002110B3"/>
    <w:rsid w:val="0029320E"/>
    <w:rsid w:val="002B22B6"/>
    <w:rsid w:val="002E57D4"/>
    <w:rsid w:val="002E670D"/>
    <w:rsid w:val="00300DCD"/>
    <w:rsid w:val="0031172B"/>
    <w:rsid w:val="00326F26"/>
    <w:rsid w:val="00327F61"/>
    <w:rsid w:val="003314CA"/>
    <w:rsid w:val="003645E9"/>
    <w:rsid w:val="004134E8"/>
    <w:rsid w:val="004316EB"/>
    <w:rsid w:val="00475868"/>
    <w:rsid w:val="00492DF6"/>
    <w:rsid w:val="004A055C"/>
    <w:rsid w:val="00552D64"/>
    <w:rsid w:val="00593E8E"/>
    <w:rsid w:val="00595A1B"/>
    <w:rsid w:val="005A2151"/>
    <w:rsid w:val="005A57A9"/>
    <w:rsid w:val="005A793B"/>
    <w:rsid w:val="005C41EE"/>
    <w:rsid w:val="005D4599"/>
    <w:rsid w:val="00615483"/>
    <w:rsid w:val="00631E4F"/>
    <w:rsid w:val="006712CF"/>
    <w:rsid w:val="006D2573"/>
    <w:rsid w:val="006D3A49"/>
    <w:rsid w:val="007217BB"/>
    <w:rsid w:val="00723C6D"/>
    <w:rsid w:val="0076006B"/>
    <w:rsid w:val="007772BE"/>
    <w:rsid w:val="0078419A"/>
    <w:rsid w:val="00787602"/>
    <w:rsid w:val="00797056"/>
    <w:rsid w:val="007B35E8"/>
    <w:rsid w:val="007D7DCC"/>
    <w:rsid w:val="0082411E"/>
    <w:rsid w:val="0084416D"/>
    <w:rsid w:val="00877159"/>
    <w:rsid w:val="00880D94"/>
    <w:rsid w:val="008869BE"/>
    <w:rsid w:val="008A26BA"/>
    <w:rsid w:val="008D3F4A"/>
    <w:rsid w:val="008E58F2"/>
    <w:rsid w:val="00905023"/>
    <w:rsid w:val="00926860"/>
    <w:rsid w:val="00932D25"/>
    <w:rsid w:val="00944F97"/>
    <w:rsid w:val="009526F5"/>
    <w:rsid w:val="0097346B"/>
    <w:rsid w:val="009736A4"/>
    <w:rsid w:val="00993CBC"/>
    <w:rsid w:val="009A677D"/>
    <w:rsid w:val="009C4CA3"/>
    <w:rsid w:val="009D7DE8"/>
    <w:rsid w:val="009F7FD9"/>
    <w:rsid w:val="00A04359"/>
    <w:rsid w:val="00A173A7"/>
    <w:rsid w:val="00A37EBC"/>
    <w:rsid w:val="00A557AC"/>
    <w:rsid w:val="00A573BC"/>
    <w:rsid w:val="00A6308A"/>
    <w:rsid w:val="00A84D83"/>
    <w:rsid w:val="00A855B9"/>
    <w:rsid w:val="00AD121D"/>
    <w:rsid w:val="00AF63C1"/>
    <w:rsid w:val="00B67FAC"/>
    <w:rsid w:val="00B7053F"/>
    <w:rsid w:val="00BA0491"/>
    <w:rsid w:val="00BA329C"/>
    <w:rsid w:val="00BE26EE"/>
    <w:rsid w:val="00BE77BE"/>
    <w:rsid w:val="00C46EB8"/>
    <w:rsid w:val="00C538E1"/>
    <w:rsid w:val="00C64C84"/>
    <w:rsid w:val="00C83B52"/>
    <w:rsid w:val="00C85E93"/>
    <w:rsid w:val="00C92AFA"/>
    <w:rsid w:val="00C96FAC"/>
    <w:rsid w:val="00CA5E2F"/>
    <w:rsid w:val="00CE121E"/>
    <w:rsid w:val="00CE227D"/>
    <w:rsid w:val="00D45889"/>
    <w:rsid w:val="00D47E43"/>
    <w:rsid w:val="00D508A3"/>
    <w:rsid w:val="00D90163"/>
    <w:rsid w:val="00DA17C4"/>
    <w:rsid w:val="00DB3BB9"/>
    <w:rsid w:val="00DD1D42"/>
    <w:rsid w:val="00DF4269"/>
    <w:rsid w:val="00E03D8D"/>
    <w:rsid w:val="00E058C8"/>
    <w:rsid w:val="00E1742E"/>
    <w:rsid w:val="00E3693F"/>
    <w:rsid w:val="00E719C4"/>
    <w:rsid w:val="00E9475C"/>
    <w:rsid w:val="00EA5DA5"/>
    <w:rsid w:val="00EE3A50"/>
    <w:rsid w:val="00EF0285"/>
    <w:rsid w:val="00F25625"/>
    <w:rsid w:val="00F35851"/>
    <w:rsid w:val="00F44AE7"/>
    <w:rsid w:val="00F500BC"/>
    <w:rsid w:val="00F52991"/>
    <w:rsid w:val="00F52F44"/>
    <w:rsid w:val="00F60C0D"/>
    <w:rsid w:val="00FE31D4"/>
    <w:rsid w:val="00FF5660"/>
    <w:rsid w:val="00FF5B3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45AC7"/>
  <w15:chartTrackingRefBased/>
  <w15:docId w15:val="{7C904CB3-81C2-436A-A9F6-C89624ED6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ZA"/>
    </w:rPr>
  </w:style>
  <w:style w:type="paragraph" w:styleId="berschrift1">
    <w:name w:val="heading 1"/>
    <w:basedOn w:val="Standard"/>
    <w:next w:val="Standard"/>
    <w:link w:val="berschrift1Zchn"/>
    <w:uiPriority w:val="9"/>
    <w:qFormat/>
    <w:rsid w:val="005A79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A79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A793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A793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A793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A793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A793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A793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A793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A793B"/>
    <w:rPr>
      <w:rFonts w:asciiTheme="majorHAnsi" w:eastAsiaTheme="majorEastAsia" w:hAnsiTheme="majorHAnsi" w:cstheme="majorBidi"/>
      <w:color w:val="0F4761" w:themeColor="accent1" w:themeShade="BF"/>
      <w:sz w:val="40"/>
      <w:szCs w:val="40"/>
      <w:lang w:val="en-ZA"/>
    </w:rPr>
  </w:style>
  <w:style w:type="character" w:customStyle="1" w:styleId="berschrift2Zchn">
    <w:name w:val="Überschrift 2 Zchn"/>
    <w:basedOn w:val="Absatz-Standardschriftart"/>
    <w:link w:val="berschrift2"/>
    <w:uiPriority w:val="9"/>
    <w:semiHidden/>
    <w:rsid w:val="005A793B"/>
    <w:rPr>
      <w:rFonts w:asciiTheme="majorHAnsi" w:eastAsiaTheme="majorEastAsia" w:hAnsiTheme="majorHAnsi" w:cstheme="majorBidi"/>
      <w:color w:val="0F4761" w:themeColor="accent1" w:themeShade="BF"/>
      <w:sz w:val="32"/>
      <w:szCs w:val="32"/>
      <w:lang w:val="en-ZA"/>
    </w:rPr>
  </w:style>
  <w:style w:type="character" w:customStyle="1" w:styleId="berschrift3Zchn">
    <w:name w:val="Überschrift 3 Zchn"/>
    <w:basedOn w:val="Absatz-Standardschriftart"/>
    <w:link w:val="berschrift3"/>
    <w:uiPriority w:val="9"/>
    <w:semiHidden/>
    <w:rsid w:val="005A793B"/>
    <w:rPr>
      <w:rFonts w:eastAsiaTheme="majorEastAsia" w:cstheme="majorBidi"/>
      <w:color w:val="0F4761" w:themeColor="accent1" w:themeShade="BF"/>
      <w:sz w:val="28"/>
      <w:szCs w:val="28"/>
      <w:lang w:val="en-ZA"/>
    </w:rPr>
  </w:style>
  <w:style w:type="character" w:customStyle="1" w:styleId="berschrift4Zchn">
    <w:name w:val="Überschrift 4 Zchn"/>
    <w:basedOn w:val="Absatz-Standardschriftart"/>
    <w:link w:val="berschrift4"/>
    <w:uiPriority w:val="9"/>
    <w:semiHidden/>
    <w:rsid w:val="005A793B"/>
    <w:rPr>
      <w:rFonts w:eastAsiaTheme="majorEastAsia" w:cstheme="majorBidi"/>
      <w:i/>
      <w:iCs/>
      <w:color w:val="0F4761" w:themeColor="accent1" w:themeShade="BF"/>
      <w:lang w:val="en-ZA"/>
    </w:rPr>
  </w:style>
  <w:style w:type="character" w:customStyle="1" w:styleId="berschrift5Zchn">
    <w:name w:val="Überschrift 5 Zchn"/>
    <w:basedOn w:val="Absatz-Standardschriftart"/>
    <w:link w:val="berschrift5"/>
    <w:uiPriority w:val="9"/>
    <w:semiHidden/>
    <w:rsid w:val="005A793B"/>
    <w:rPr>
      <w:rFonts w:eastAsiaTheme="majorEastAsia" w:cstheme="majorBidi"/>
      <w:color w:val="0F4761" w:themeColor="accent1" w:themeShade="BF"/>
      <w:lang w:val="en-ZA"/>
    </w:rPr>
  </w:style>
  <w:style w:type="character" w:customStyle="1" w:styleId="berschrift6Zchn">
    <w:name w:val="Überschrift 6 Zchn"/>
    <w:basedOn w:val="Absatz-Standardschriftart"/>
    <w:link w:val="berschrift6"/>
    <w:uiPriority w:val="9"/>
    <w:semiHidden/>
    <w:rsid w:val="005A793B"/>
    <w:rPr>
      <w:rFonts w:eastAsiaTheme="majorEastAsia" w:cstheme="majorBidi"/>
      <w:i/>
      <w:iCs/>
      <w:color w:val="595959" w:themeColor="text1" w:themeTint="A6"/>
      <w:lang w:val="en-ZA"/>
    </w:rPr>
  </w:style>
  <w:style w:type="character" w:customStyle="1" w:styleId="berschrift7Zchn">
    <w:name w:val="Überschrift 7 Zchn"/>
    <w:basedOn w:val="Absatz-Standardschriftart"/>
    <w:link w:val="berschrift7"/>
    <w:uiPriority w:val="9"/>
    <w:semiHidden/>
    <w:rsid w:val="005A793B"/>
    <w:rPr>
      <w:rFonts w:eastAsiaTheme="majorEastAsia" w:cstheme="majorBidi"/>
      <w:color w:val="595959" w:themeColor="text1" w:themeTint="A6"/>
      <w:lang w:val="en-ZA"/>
    </w:rPr>
  </w:style>
  <w:style w:type="character" w:customStyle="1" w:styleId="berschrift8Zchn">
    <w:name w:val="Überschrift 8 Zchn"/>
    <w:basedOn w:val="Absatz-Standardschriftart"/>
    <w:link w:val="berschrift8"/>
    <w:uiPriority w:val="9"/>
    <w:semiHidden/>
    <w:rsid w:val="005A793B"/>
    <w:rPr>
      <w:rFonts w:eastAsiaTheme="majorEastAsia" w:cstheme="majorBidi"/>
      <w:i/>
      <w:iCs/>
      <w:color w:val="272727" w:themeColor="text1" w:themeTint="D8"/>
      <w:lang w:val="en-ZA"/>
    </w:rPr>
  </w:style>
  <w:style w:type="character" w:customStyle="1" w:styleId="berschrift9Zchn">
    <w:name w:val="Überschrift 9 Zchn"/>
    <w:basedOn w:val="Absatz-Standardschriftart"/>
    <w:link w:val="berschrift9"/>
    <w:uiPriority w:val="9"/>
    <w:semiHidden/>
    <w:rsid w:val="005A793B"/>
    <w:rPr>
      <w:rFonts w:eastAsiaTheme="majorEastAsia" w:cstheme="majorBidi"/>
      <w:color w:val="272727" w:themeColor="text1" w:themeTint="D8"/>
      <w:lang w:val="en-ZA"/>
    </w:rPr>
  </w:style>
  <w:style w:type="paragraph" w:styleId="Titel">
    <w:name w:val="Title"/>
    <w:basedOn w:val="Standard"/>
    <w:next w:val="Standard"/>
    <w:link w:val="TitelZchn"/>
    <w:uiPriority w:val="10"/>
    <w:qFormat/>
    <w:rsid w:val="005A7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A793B"/>
    <w:rPr>
      <w:rFonts w:asciiTheme="majorHAnsi" w:eastAsiaTheme="majorEastAsia" w:hAnsiTheme="majorHAnsi" w:cstheme="majorBidi"/>
      <w:spacing w:val="-10"/>
      <w:kern w:val="28"/>
      <w:sz w:val="56"/>
      <w:szCs w:val="56"/>
      <w:lang w:val="en-ZA"/>
    </w:rPr>
  </w:style>
  <w:style w:type="paragraph" w:styleId="Untertitel">
    <w:name w:val="Subtitle"/>
    <w:basedOn w:val="Standard"/>
    <w:next w:val="Standard"/>
    <w:link w:val="UntertitelZchn"/>
    <w:uiPriority w:val="11"/>
    <w:qFormat/>
    <w:rsid w:val="005A793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A793B"/>
    <w:rPr>
      <w:rFonts w:eastAsiaTheme="majorEastAsia" w:cstheme="majorBidi"/>
      <w:color w:val="595959" w:themeColor="text1" w:themeTint="A6"/>
      <w:spacing w:val="15"/>
      <w:sz w:val="28"/>
      <w:szCs w:val="28"/>
      <w:lang w:val="en-ZA"/>
    </w:rPr>
  </w:style>
  <w:style w:type="paragraph" w:styleId="Zitat">
    <w:name w:val="Quote"/>
    <w:basedOn w:val="Standard"/>
    <w:next w:val="Standard"/>
    <w:link w:val="ZitatZchn"/>
    <w:uiPriority w:val="29"/>
    <w:qFormat/>
    <w:rsid w:val="005A793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A793B"/>
    <w:rPr>
      <w:i/>
      <w:iCs/>
      <w:color w:val="404040" w:themeColor="text1" w:themeTint="BF"/>
      <w:lang w:val="en-ZA"/>
    </w:rPr>
  </w:style>
  <w:style w:type="paragraph" w:styleId="Listenabsatz">
    <w:name w:val="List Paragraph"/>
    <w:basedOn w:val="Standard"/>
    <w:uiPriority w:val="34"/>
    <w:qFormat/>
    <w:rsid w:val="005A793B"/>
    <w:pPr>
      <w:ind w:left="720"/>
      <w:contextualSpacing/>
    </w:pPr>
  </w:style>
  <w:style w:type="character" w:styleId="IntensiveHervorhebung">
    <w:name w:val="Intense Emphasis"/>
    <w:basedOn w:val="Absatz-Standardschriftart"/>
    <w:uiPriority w:val="21"/>
    <w:qFormat/>
    <w:rsid w:val="005A793B"/>
    <w:rPr>
      <w:i/>
      <w:iCs/>
      <w:color w:val="0F4761" w:themeColor="accent1" w:themeShade="BF"/>
    </w:rPr>
  </w:style>
  <w:style w:type="paragraph" w:styleId="IntensivesZitat">
    <w:name w:val="Intense Quote"/>
    <w:basedOn w:val="Standard"/>
    <w:next w:val="Standard"/>
    <w:link w:val="IntensivesZitatZchn"/>
    <w:uiPriority w:val="30"/>
    <w:qFormat/>
    <w:rsid w:val="005A79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A793B"/>
    <w:rPr>
      <w:i/>
      <w:iCs/>
      <w:color w:val="0F4761" w:themeColor="accent1" w:themeShade="BF"/>
      <w:lang w:val="en-ZA"/>
    </w:rPr>
  </w:style>
  <w:style w:type="character" w:styleId="IntensiverVerweis">
    <w:name w:val="Intense Reference"/>
    <w:basedOn w:val="Absatz-Standardschriftart"/>
    <w:uiPriority w:val="32"/>
    <w:qFormat/>
    <w:rsid w:val="005A793B"/>
    <w:rPr>
      <w:b/>
      <w:bCs/>
      <w:smallCaps/>
      <w:color w:val="0F4761" w:themeColor="accent1" w:themeShade="BF"/>
      <w:spacing w:val="5"/>
    </w:rPr>
  </w:style>
  <w:style w:type="character" w:styleId="Hyperlink">
    <w:name w:val="Hyperlink"/>
    <w:basedOn w:val="Absatz-Standardschriftart"/>
    <w:uiPriority w:val="99"/>
    <w:unhideWhenUsed/>
    <w:rsid w:val="008869BE"/>
    <w:rPr>
      <w:color w:val="467886" w:themeColor="hyperlink"/>
      <w:u w:val="single"/>
    </w:rPr>
  </w:style>
  <w:style w:type="character" w:styleId="NichtaufgelsteErwhnung">
    <w:name w:val="Unresolved Mention"/>
    <w:basedOn w:val="Absatz-Standardschriftart"/>
    <w:uiPriority w:val="99"/>
    <w:semiHidden/>
    <w:unhideWhenUsed/>
    <w:rsid w:val="008869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16/j.rser.2017.07.030"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618</Words>
  <Characters>3896</Characters>
  <Application>Microsoft Office Word</Application>
  <DocSecurity>0</DocSecurity>
  <Lines>32</Lines>
  <Paragraphs>9</Paragraphs>
  <ScaleCrop>false</ScaleCrop>
  <Company>Hochschule Luzern</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Schilt Ueli HSLU T&amp;A</dc:creator>
  <cp:keywords/>
  <dc:description/>
  <cp:lastModifiedBy>Schilt Ueli HSLU T&amp;A</cp:lastModifiedBy>
  <cp:revision>99</cp:revision>
  <dcterms:created xsi:type="dcterms:W3CDTF">2025-12-02T08:37:00Z</dcterms:created>
  <dcterms:modified xsi:type="dcterms:W3CDTF">2025-12-03T07:19:00Z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8b0afbd-3cf7-4707-aee4-8dc9d855de29_Enabled">
    <vt:lpwstr>true</vt:lpwstr>
  </property>
  <property fmtid="{D5CDD505-2E9C-101B-9397-08002B2CF9AE}" pid="3" name="MSIP_Label_e8b0afbd-3cf7-4707-aee4-8dc9d855de29_SetDate">
    <vt:lpwstr>2025-12-02T08:38:09Z</vt:lpwstr>
  </property>
  <property fmtid="{D5CDD505-2E9C-101B-9397-08002B2CF9AE}" pid="4" name="MSIP_Label_e8b0afbd-3cf7-4707-aee4-8dc9d855de29_Method">
    <vt:lpwstr>Standard</vt:lpwstr>
  </property>
  <property fmtid="{D5CDD505-2E9C-101B-9397-08002B2CF9AE}" pid="5" name="MSIP_Label_e8b0afbd-3cf7-4707-aee4-8dc9d855de29_Name">
    <vt:lpwstr>intern</vt:lpwstr>
  </property>
  <property fmtid="{D5CDD505-2E9C-101B-9397-08002B2CF9AE}" pid="6" name="MSIP_Label_e8b0afbd-3cf7-4707-aee4-8dc9d855de29_SiteId">
    <vt:lpwstr>75a34008-d7d1-4924-8e78-31fea86f6e68</vt:lpwstr>
  </property>
  <property fmtid="{D5CDD505-2E9C-101B-9397-08002B2CF9AE}" pid="7" name="MSIP_Label_e8b0afbd-3cf7-4707-aee4-8dc9d855de29_ActionId">
    <vt:lpwstr>34431513-c224-446b-ad01-5c3d8fe51815</vt:lpwstr>
  </property>
  <property fmtid="{D5CDD505-2E9C-101B-9397-08002B2CF9AE}" pid="8" name="MSIP_Label_e8b0afbd-3cf7-4707-aee4-8dc9d855de29_ContentBits">
    <vt:lpwstr>0</vt:lpwstr>
  </property>
  <property fmtid="{D5CDD505-2E9C-101B-9397-08002B2CF9AE}" pid="9" name="MSIP_Label_e8b0afbd-3cf7-4707-aee4-8dc9d855de29_Tag">
    <vt:lpwstr>10, 3, 0, 1</vt:lpwstr>
  </property>
</Properties>
</file>