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C337B8" w14:paraId="3E28721E"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0D1B2A"/>
            <w:tcMar>
              <w:top w:w="1200" w:type="dxa"/>
              <w:left w:w="1440" w:type="dxa"/>
              <w:bottom w:w="900" w:type="dxa"/>
              <w:right w:w="1440" w:type="dxa"/>
            </w:tcMar>
          </w:tcPr>
          <w:p w14:paraId="44BCD665" w14:textId="19250287" w:rsidR="00C337B8" w:rsidRDefault="00000000">
            <w:pPr>
              <w:spacing w:after="120"/>
            </w:pPr>
            <w:r>
              <w:rPr>
                <w:b/>
                <w:bCs/>
                <w:color w:val="CCFBF1"/>
                <w:spacing w:val="80"/>
                <w:sz w:val="18"/>
                <w:szCs w:val="18"/>
              </w:rPr>
              <w:t xml:space="preserve">CAPSTONE </w:t>
            </w:r>
            <w:proofErr w:type="gramStart"/>
            <w:r>
              <w:rPr>
                <w:b/>
                <w:bCs/>
                <w:color w:val="CCFBF1"/>
                <w:spacing w:val="80"/>
                <w:sz w:val="18"/>
                <w:szCs w:val="18"/>
              </w:rPr>
              <w:t>PROJECT  ·</w:t>
            </w:r>
            <w:proofErr w:type="gramEnd"/>
            <w:r>
              <w:rPr>
                <w:b/>
                <w:bCs/>
                <w:color w:val="CCFBF1"/>
                <w:spacing w:val="80"/>
                <w:sz w:val="18"/>
                <w:szCs w:val="18"/>
              </w:rPr>
              <w:t xml:space="preserve">  2026</w:t>
            </w:r>
            <w:r w:rsidR="001118EA">
              <w:t xml:space="preserve"> </w:t>
            </w:r>
          </w:p>
          <w:p w14:paraId="3F5F1608" w14:textId="3BDEB914" w:rsidR="001118EA" w:rsidRDefault="001118EA">
            <w:pPr>
              <w:spacing w:after="60"/>
            </w:pPr>
            <w:r>
              <w:rPr>
                <w:b/>
                <w:bCs/>
                <w:noProof/>
                <w:color w:val="FFFFFF"/>
                <w:sz w:val="72"/>
                <w:szCs w:val="72"/>
              </w:rPr>
              <w:drawing>
                <wp:anchor distT="0" distB="0" distL="114300" distR="114300" simplePos="0" relativeHeight="251675648" behindDoc="1" locked="0" layoutInCell="1" allowOverlap="1" wp14:anchorId="1CF3D876" wp14:editId="511C1AAF">
                  <wp:simplePos x="0" y="0"/>
                  <wp:positionH relativeFrom="column">
                    <wp:posOffset>-596900</wp:posOffset>
                  </wp:positionH>
                  <wp:positionV relativeFrom="paragraph">
                    <wp:posOffset>171450</wp:posOffset>
                  </wp:positionV>
                  <wp:extent cx="596900" cy="596900"/>
                  <wp:effectExtent l="0" t="0" r="0" b="0"/>
                  <wp:wrapThrough wrapText="bothSides">
                    <wp:wrapPolygon edited="0">
                      <wp:start x="10340" y="2757"/>
                      <wp:lineTo x="5515" y="6204"/>
                      <wp:lineTo x="689" y="12409"/>
                      <wp:lineTo x="689" y="17923"/>
                      <wp:lineTo x="13787" y="17923"/>
                      <wp:lineTo x="16545" y="15166"/>
                      <wp:lineTo x="20681" y="6894"/>
                      <wp:lineTo x="20681" y="6204"/>
                      <wp:lineTo x="14477" y="2757"/>
                      <wp:lineTo x="10340" y="2757"/>
                    </wp:wrapPolygon>
                  </wp:wrapThrough>
                  <wp:docPr id="558025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900" cy="59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79C70C" w14:textId="6BB31439" w:rsidR="00C337B8" w:rsidRDefault="00000000">
            <w:pPr>
              <w:spacing w:after="60"/>
            </w:pPr>
            <w:proofErr w:type="spellStart"/>
            <w:r>
              <w:rPr>
                <w:b/>
                <w:bCs/>
                <w:color w:val="FFFFFF"/>
                <w:sz w:val="72"/>
                <w:szCs w:val="72"/>
              </w:rPr>
              <w:t>Bluestock</w:t>
            </w:r>
            <w:proofErr w:type="spellEnd"/>
            <w:r>
              <w:rPr>
                <w:b/>
                <w:bCs/>
                <w:color w:val="FFFFFF"/>
                <w:sz w:val="72"/>
                <w:szCs w:val="72"/>
              </w:rPr>
              <w:t xml:space="preserve"> Fintech</w:t>
            </w:r>
          </w:p>
          <w:p w14:paraId="29D5CF7B" w14:textId="6C0D5434" w:rsidR="00C337B8" w:rsidRDefault="00000000">
            <w:pPr>
              <w:spacing w:after="120"/>
            </w:pPr>
            <w:r>
              <w:rPr>
                <w:b/>
                <w:bCs/>
                <w:color w:val="CCFBF1"/>
                <w:sz w:val="44"/>
                <w:szCs w:val="44"/>
              </w:rPr>
              <w:t>Mutual Fund Analytics Capstone</w:t>
            </w:r>
          </w:p>
          <w:p w14:paraId="0A857D66" w14:textId="77777777" w:rsidR="00C337B8" w:rsidRDefault="00000000">
            <w:pPr>
              <w:pBdr>
                <w:bottom w:val="single" w:sz="6" w:space="2" w:color="0D9488"/>
              </w:pBdr>
            </w:pPr>
            <w:r>
              <w:rPr>
                <w:i/>
                <w:iCs/>
                <w:color w:val="94A3B8"/>
                <w:sz w:val="24"/>
                <w:szCs w:val="24"/>
              </w:rPr>
              <w:t>End-to-End Analytics and Business Intelligence Solution</w:t>
            </w:r>
          </w:p>
        </w:tc>
      </w:tr>
      <w:tr w:rsidR="00C337B8" w14:paraId="763DA8CD"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8FAFC"/>
            <w:tcMar>
              <w:top w:w="600" w:type="dxa"/>
              <w:left w:w="1440" w:type="dxa"/>
              <w:bottom w:w="0" w:type="dxa"/>
              <w:right w:w="144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337B8" w14:paraId="55761952"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0AECE5A" w14:textId="77777777" w:rsidR="00C337B8" w:rsidRDefault="00000000">
                  <w:r>
                    <w:rPr>
                      <w:b/>
                      <w:bCs/>
                      <w:color w:val="0D1B2A"/>
                    </w:rPr>
                    <w:t>Prepared By</w:t>
                  </w:r>
                </w:p>
              </w:tc>
              <w:tc>
                <w:tcPr>
                  <w:tcW w:w="6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D2F2A49" w14:textId="77777777" w:rsidR="00C337B8" w:rsidRDefault="00000000">
                  <w:r>
                    <w:rPr>
                      <w:color w:val="1E293B"/>
                    </w:rPr>
                    <w:t>Hemant Singh Rajput</w:t>
                  </w:r>
                </w:p>
              </w:tc>
            </w:tr>
            <w:tr w:rsidR="00C337B8" w14:paraId="75898C79"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EB640B9" w14:textId="77777777" w:rsidR="00C337B8" w:rsidRDefault="00000000">
                  <w:r>
                    <w:rPr>
                      <w:b/>
                      <w:bCs/>
                      <w:color w:val="0D1B2A"/>
                    </w:rPr>
                    <w:t>Institute</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0DDBC32" w14:textId="77777777" w:rsidR="00C337B8" w:rsidRDefault="00000000">
                  <w:r>
                    <w:rPr>
                      <w:color w:val="1E293B"/>
                    </w:rPr>
                    <w:t>Maulana Azad National Institute of Technology (MANIT), Bhopal</w:t>
                  </w:r>
                </w:p>
              </w:tc>
            </w:tr>
            <w:tr w:rsidR="00C337B8" w14:paraId="5736D7F3"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8DEF4A5" w14:textId="77777777" w:rsidR="00C337B8" w:rsidRDefault="00000000">
                  <w:r>
                    <w:rPr>
                      <w:b/>
                      <w:bCs/>
                      <w:color w:val="0D1B2A"/>
                    </w:rPr>
                    <w:t>Program</w:t>
                  </w:r>
                </w:p>
              </w:tc>
              <w:tc>
                <w:tcPr>
                  <w:tcW w:w="6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C5C2CFD" w14:textId="17A8EF71" w:rsidR="00C337B8" w:rsidRDefault="00000000">
                  <w:proofErr w:type="spellStart"/>
                  <w:proofErr w:type="gramStart"/>
                  <w:r>
                    <w:rPr>
                      <w:color w:val="1E293B"/>
                    </w:rPr>
                    <w:t>B.Tech</w:t>
                  </w:r>
                  <w:proofErr w:type="spellEnd"/>
                  <w:proofErr w:type="gramEnd"/>
                  <w:r>
                    <w:rPr>
                      <w:color w:val="1E293B"/>
                    </w:rPr>
                    <w:t xml:space="preserve"> — Computer Science and Engineering (CSE), Year </w:t>
                  </w:r>
                  <w:r w:rsidR="0059590D">
                    <w:rPr>
                      <w:color w:val="1E293B"/>
                    </w:rPr>
                    <w:t>IV</w:t>
                  </w:r>
                </w:p>
              </w:tc>
            </w:tr>
            <w:tr w:rsidR="00C337B8" w14:paraId="04962BD9"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E0770A6" w14:textId="77777777" w:rsidR="00C337B8" w:rsidRDefault="00000000">
                  <w:r>
                    <w:rPr>
                      <w:b/>
                      <w:bCs/>
                      <w:color w:val="0D1B2A"/>
                    </w:rPr>
                    <w:t>Submission Date</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E79754F" w14:textId="77777777" w:rsidR="00C337B8" w:rsidRDefault="00000000">
                  <w:r>
                    <w:rPr>
                      <w:color w:val="1E293B"/>
                    </w:rPr>
                    <w:t>12 June 2026</w:t>
                  </w:r>
                </w:p>
              </w:tc>
            </w:tr>
            <w:tr w:rsidR="00C337B8" w14:paraId="15E633E3"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01CD6A3" w14:textId="77777777" w:rsidR="00C337B8" w:rsidRDefault="00000000">
                  <w:r>
                    <w:rPr>
                      <w:b/>
                      <w:bCs/>
                      <w:color w:val="0D1B2A"/>
                    </w:rPr>
                    <w:t>Project Domain</w:t>
                  </w:r>
                </w:p>
              </w:tc>
              <w:tc>
                <w:tcPr>
                  <w:tcW w:w="6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D62E489" w14:textId="77777777" w:rsidR="00C337B8" w:rsidRDefault="00000000">
                  <w:r>
                    <w:rPr>
                      <w:color w:val="1E293B"/>
                    </w:rPr>
                    <w:t>Financial Analytics · Business Intelligence · Data Engineering</w:t>
                  </w:r>
                </w:p>
              </w:tc>
            </w:tr>
            <w:tr w:rsidR="00C337B8" w14:paraId="5146F2FC"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B615652" w14:textId="77777777" w:rsidR="00C337B8" w:rsidRDefault="00000000">
                  <w:r>
                    <w:rPr>
                      <w:b/>
                      <w:bCs/>
                      <w:color w:val="0D1B2A"/>
                    </w:rPr>
                    <w:t>Technologies Used</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0394CE0" w14:textId="77777777" w:rsidR="00C337B8" w:rsidRDefault="00000000">
                  <w:r>
                    <w:rPr>
                      <w:color w:val="1E293B"/>
                    </w:rPr>
                    <w:t xml:space="preserve">Python, Pandas, NumPy, SQLite, </w:t>
                  </w:r>
                  <w:proofErr w:type="spellStart"/>
                  <w:r>
                    <w:rPr>
                      <w:color w:val="1E293B"/>
                    </w:rPr>
                    <w:t>SQLAlchemy</w:t>
                  </w:r>
                  <w:proofErr w:type="spellEnd"/>
                  <w:r>
                    <w:rPr>
                      <w:color w:val="1E293B"/>
                    </w:rPr>
                    <w:t>, Plotly, Matplotlib, Seaborn, Power BI</w:t>
                  </w:r>
                </w:p>
              </w:tc>
            </w:tr>
            <w:tr w:rsidR="00C337B8" w14:paraId="760BC0ED"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9E47D92" w14:textId="77777777" w:rsidR="00C337B8" w:rsidRDefault="00000000">
                  <w:r>
                    <w:rPr>
                      <w:b/>
                      <w:bCs/>
                      <w:color w:val="0D1B2A"/>
                    </w:rPr>
                    <w:t>Datasets</w:t>
                  </w:r>
                </w:p>
              </w:tc>
              <w:tc>
                <w:tcPr>
                  <w:tcW w:w="65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DB22394" w14:textId="77777777" w:rsidR="00C337B8" w:rsidRDefault="00000000">
                  <w:r>
                    <w:rPr>
                      <w:color w:val="1E293B"/>
                    </w:rPr>
                    <w:t>10 datasets — Fund Master, NAV History, AUM, SIP Inflows, Transactions, Portfolio Holdings, Benchmarks</w:t>
                  </w:r>
                </w:p>
              </w:tc>
            </w:tr>
            <w:tr w:rsidR="00C337B8" w14:paraId="1552A2C9"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BF52DF9" w14:textId="77777777" w:rsidR="00C337B8" w:rsidRDefault="00000000">
                  <w:r>
                    <w:rPr>
                      <w:b/>
                      <w:bCs/>
                      <w:color w:val="0D1B2A"/>
                    </w:rPr>
                    <w:t>Analysis Period</w:t>
                  </w:r>
                </w:p>
              </w:tc>
              <w:tc>
                <w:tcPr>
                  <w:tcW w:w="65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7F17642" w14:textId="77777777" w:rsidR="00C337B8" w:rsidRDefault="00000000">
                  <w:r>
                    <w:rPr>
                      <w:color w:val="1E293B"/>
                    </w:rPr>
                    <w:t>January 2022 – March 2026 · 40 Mutual Fund Schemes · 26.12 Crore Folio Records</w:t>
                  </w:r>
                </w:p>
              </w:tc>
            </w:tr>
          </w:tbl>
          <w:p w14:paraId="1E3BC693" w14:textId="1E750FFD" w:rsidR="00C337B8" w:rsidRDefault="00C337B8"/>
        </w:tc>
      </w:tr>
      <w:tr w:rsidR="00C337B8" w14:paraId="2884D8B8"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8FAFC"/>
            <w:tcMar>
              <w:top w:w="800" w:type="dxa"/>
              <w:left w:w="1440" w:type="dxa"/>
              <w:bottom w:w="600" w:type="dxa"/>
              <w:right w:w="1440" w:type="dxa"/>
            </w:tcMar>
          </w:tcPr>
          <w:p w14:paraId="3681B18A" w14:textId="77777777" w:rsidR="00C337B8" w:rsidRDefault="00000000">
            <w:pPr>
              <w:pBdr>
                <w:top w:val="single" w:sz="2" w:space="2" w:color="CBD5E1"/>
              </w:pBdr>
              <w:spacing w:before="100"/>
              <w:jc w:val="center"/>
            </w:pPr>
            <w:r>
              <w:rPr>
                <w:i/>
                <w:iCs/>
                <w:color w:val="94A3B8"/>
                <w:sz w:val="17"/>
                <w:szCs w:val="17"/>
              </w:rPr>
              <w:t xml:space="preserve">Confidential — Submitted for Academic Evaluation </w:t>
            </w:r>
            <w:proofErr w:type="gramStart"/>
            <w:r>
              <w:rPr>
                <w:i/>
                <w:iCs/>
                <w:color w:val="94A3B8"/>
                <w:sz w:val="17"/>
                <w:szCs w:val="17"/>
              </w:rPr>
              <w:t>Only  ·</w:t>
            </w:r>
            <w:proofErr w:type="gramEnd"/>
            <w:r>
              <w:rPr>
                <w:i/>
                <w:iCs/>
                <w:color w:val="94A3B8"/>
                <w:sz w:val="17"/>
                <w:szCs w:val="17"/>
              </w:rPr>
              <w:t xml:space="preserve">  </w:t>
            </w:r>
            <w:proofErr w:type="spellStart"/>
            <w:r>
              <w:rPr>
                <w:i/>
                <w:iCs/>
                <w:color w:val="94A3B8"/>
                <w:sz w:val="17"/>
                <w:szCs w:val="17"/>
              </w:rPr>
              <w:t>Bluestock</w:t>
            </w:r>
            <w:proofErr w:type="spellEnd"/>
            <w:r>
              <w:rPr>
                <w:i/>
                <w:iCs/>
                <w:color w:val="94A3B8"/>
                <w:sz w:val="17"/>
                <w:szCs w:val="17"/>
              </w:rPr>
              <w:t xml:space="preserve"> Fintech Internship Program</w:t>
            </w:r>
          </w:p>
        </w:tc>
      </w:tr>
    </w:tbl>
    <w:p w14:paraId="0B7ADFAB" w14:textId="16F45C9E" w:rsidR="00C337B8" w:rsidRDefault="00C337B8">
      <w:pPr>
        <w:sectPr w:rsidR="00C337B8">
          <w:pgSz w:w="12240" w:h="15840"/>
          <w:pgMar w:top="0" w:right="0" w:bottom="0" w:left="0" w:header="708" w:footer="708" w:gutter="0"/>
          <w:cols w:space="720"/>
          <w:docGrid w:linePitch="360"/>
        </w:sectPr>
      </w:pPr>
    </w:p>
    <w:p w14:paraId="03E347EA" w14:textId="77777777" w:rsidR="00C337B8" w:rsidRDefault="00000000">
      <w:pPr>
        <w:pStyle w:val="Heading1"/>
        <w:pBdr>
          <w:bottom w:val="single" w:sz="12" w:space="2" w:color="0D9488"/>
        </w:pBdr>
      </w:pPr>
      <w:bookmarkStart w:id="0" w:name="_Toc232150544"/>
      <w:r>
        <w:lastRenderedPageBreak/>
        <w:t>Table of Contents</w:t>
      </w:r>
      <w:bookmarkEnd w:id="0"/>
    </w:p>
    <w:sdt>
      <w:sdtPr>
        <w:alias w:val="Table of Contents"/>
        <w:id w:val="40110678"/>
      </w:sdtPr>
      <w:sdtEndPr>
        <w:rPr>
          <w:rFonts w:cs="Calibri"/>
          <w:szCs w:val="22"/>
        </w:rPr>
      </w:sdtEndPr>
      <w:sdtContent>
        <w:p w14:paraId="414A969A" w14:textId="77777777" w:rsidR="0059590D" w:rsidRDefault="00000000">
          <w:pPr>
            <w:pStyle w:val="TOC1"/>
            <w:tabs>
              <w:tab w:val="right" w:leader="dot" w:pos="10070"/>
            </w:tabs>
            <w:rPr>
              <w:noProof/>
            </w:rPr>
          </w:pPr>
          <w:r>
            <w:fldChar w:fldCharType="begin"/>
          </w:r>
          <w:r>
            <w:instrText>TOC \h \o "1-3"</w:instrText>
          </w:r>
          <w:r>
            <w:fldChar w:fldCharType="separate"/>
          </w:r>
          <w:hyperlink w:anchor="_Toc232150544" w:history="1">
            <w:r w:rsidR="0059590D" w:rsidRPr="00EA7105">
              <w:rPr>
                <w:rStyle w:val="Hyperlink"/>
                <w:noProof/>
              </w:rPr>
              <w:t>Table of Contents</w:t>
            </w:r>
            <w:r w:rsidR="0059590D">
              <w:rPr>
                <w:noProof/>
              </w:rPr>
              <w:tab/>
            </w:r>
            <w:r w:rsidR="0059590D">
              <w:rPr>
                <w:noProof/>
              </w:rPr>
              <w:fldChar w:fldCharType="begin"/>
            </w:r>
            <w:r w:rsidR="0059590D">
              <w:rPr>
                <w:noProof/>
              </w:rPr>
              <w:instrText xml:space="preserve"> PAGEREF _Toc232150544 \h </w:instrText>
            </w:r>
            <w:r w:rsidR="0059590D">
              <w:rPr>
                <w:noProof/>
              </w:rPr>
            </w:r>
            <w:r w:rsidR="0059590D">
              <w:rPr>
                <w:noProof/>
              </w:rPr>
              <w:fldChar w:fldCharType="separate"/>
            </w:r>
            <w:r w:rsidR="0059590D">
              <w:rPr>
                <w:noProof/>
              </w:rPr>
              <w:t>1</w:t>
            </w:r>
            <w:r w:rsidR="0059590D">
              <w:rPr>
                <w:noProof/>
              </w:rPr>
              <w:fldChar w:fldCharType="end"/>
            </w:r>
          </w:hyperlink>
        </w:p>
        <w:p w14:paraId="65806D6E" w14:textId="77777777" w:rsidR="0059590D" w:rsidRDefault="0059590D">
          <w:pPr>
            <w:pStyle w:val="TOC1"/>
            <w:tabs>
              <w:tab w:val="right" w:leader="dot" w:pos="10070"/>
            </w:tabs>
            <w:rPr>
              <w:noProof/>
            </w:rPr>
          </w:pPr>
          <w:hyperlink w:anchor="_Toc232150545" w:history="1">
            <w:r w:rsidRPr="00EA7105">
              <w:rPr>
                <w:rStyle w:val="Hyperlink"/>
                <w:noProof/>
              </w:rPr>
              <w:t>1. Executive Summary</w:t>
            </w:r>
            <w:r>
              <w:rPr>
                <w:noProof/>
              </w:rPr>
              <w:tab/>
            </w:r>
            <w:r>
              <w:rPr>
                <w:noProof/>
              </w:rPr>
              <w:fldChar w:fldCharType="begin"/>
            </w:r>
            <w:r>
              <w:rPr>
                <w:noProof/>
              </w:rPr>
              <w:instrText xml:space="preserve"> PAGEREF _Toc232150545 \h </w:instrText>
            </w:r>
            <w:r>
              <w:rPr>
                <w:noProof/>
              </w:rPr>
            </w:r>
            <w:r>
              <w:rPr>
                <w:noProof/>
              </w:rPr>
              <w:fldChar w:fldCharType="separate"/>
            </w:r>
            <w:r>
              <w:rPr>
                <w:noProof/>
              </w:rPr>
              <w:t>1</w:t>
            </w:r>
            <w:r>
              <w:rPr>
                <w:noProof/>
              </w:rPr>
              <w:fldChar w:fldCharType="end"/>
            </w:r>
          </w:hyperlink>
        </w:p>
        <w:p w14:paraId="0AF30CDA" w14:textId="77777777" w:rsidR="0059590D" w:rsidRDefault="0059590D">
          <w:pPr>
            <w:pStyle w:val="TOC1"/>
            <w:tabs>
              <w:tab w:val="right" w:leader="dot" w:pos="10070"/>
            </w:tabs>
            <w:rPr>
              <w:noProof/>
            </w:rPr>
          </w:pPr>
          <w:hyperlink w:anchor="_Toc232150546" w:history="1">
            <w:r w:rsidRPr="00EA7105">
              <w:rPr>
                <w:rStyle w:val="Hyperlink"/>
                <w:noProof/>
              </w:rPr>
              <w:t>2. Project Introduction &amp; Objectives</w:t>
            </w:r>
            <w:r>
              <w:rPr>
                <w:noProof/>
              </w:rPr>
              <w:tab/>
            </w:r>
            <w:r>
              <w:rPr>
                <w:noProof/>
              </w:rPr>
              <w:fldChar w:fldCharType="begin"/>
            </w:r>
            <w:r>
              <w:rPr>
                <w:noProof/>
              </w:rPr>
              <w:instrText xml:space="preserve"> PAGEREF _Toc232150546 \h </w:instrText>
            </w:r>
            <w:r>
              <w:rPr>
                <w:noProof/>
              </w:rPr>
            </w:r>
            <w:r>
              <w:rPr>
                <w:noProof/>
              </w:rPr>
              <w:fldChar w:fldCharType="separate"/>
            </w:r>
            <w:r>
              <w:rPr>
                <w:noProof/>
              </w:rPr>
              <w:t>1</w:t>
            </w:r>
            <w:r>
              <w:rPr>
                <w:noProof/>
              </w:rPr>
              <w:fldChar w:fldCharType="end"/>
            </w:r>
          </w:hyperlink>
        </w:p>
        <w:p w14:paraId="2940AC49" w14:textId="77777777" w:rsidR="0059590D" w:rsidRDefault="0059590D">
          <w:pPr>
            <w:pStyle w:val="TOC2"/>
            <w:tabs>
              <w:tab w:val="right" w:leader="dot" w:pos="10070"/>
            </w:tabs>
            <w:rPr>
              <w:noProof/>
            </w:rPr>
          </w:pPr>
          <w:hyperlink w:anchor="_Toc232150547" w:history="1">
            <w:r w:rsidRPr="00EA7105">
              <w:rPr>
                <w:rStyle w:val="Hyperlink"/>
                <w:noProof/>
              </w:rPr>
              <w:t>2.1 Problem Statement</w:t>
            </w:r>
            <w:r>
              <w:rPr>
                <w:noProof/>
              </w:rPr>
              <w:tab/>
            </w:r>
            <w:r>
              <w:rPr>
                <w:noProof/>
              </w:rPr>
              <w:fldChar w:fldCharType="begin"/>
            </w:r>
            <w:r>
              <w:rPr>
                <w:noProof/>
              </w:rPr>
              <w:instrText xml:space="preserve"> PAGEREF _Toc232150547 \h </w:instrText>
            </w:r>
            <w:r>
              <w:rPr>
                <w:noProof/>
              </w:rPr>
            </w:r>
            <w:r>
              <w:rPr>
                <w:noProof/>
              </w:rPr>
              <w:fldChar w:fldCharType="separate"/>
            </w:r>
            <w:r>
              <w:rPr>
                <w:noProof/>
              </w:rPr>
              <w:t>1</w:t>
            </w:r>
            <w:r>
              <w:rPr>
                <w:noProof/>
              </w:rPr>
              <w:fldChar w:fldCharType="end"/>
            </w:r>
          </w:hyperlink>
        </w:p>
        <w:p w14:paraId="311E42FD" w14:textId="77777777" w:rsidR="0059590D" w:rsidRDefault="0059590D">
          <w:pPr>
            <w:pStyle w:val="TOC2"/>
            <w:tabs>
              <w:tab w:val="right" w:leader="dot" w:pos="10070"/>
            </w:tabs>
            <w:rPr>
              <w:noProof/>
            </w:rPr>
          </w:pPr>
          <w:hyperlink w:anchor="_Toc232150548" w:history="1">
            <w:r w:rsidRPr="00EA7105">
              <w:rPr>
                <w:rStyle w:val="Hyperlink"/>
                <w:noProof/>
              </w:rPr>
              <w:t>2.2 Primary Objectives</w:t>
            </w:r>
            <w:r>
              <w:rPr>
                <w:noProof/>
              </w:rPr>
              <w:tab/>
            </w:r>
            <w:r>
              <w:rPr>
                <w:noProof/>
              </w:rPr>
              <w:fldChar w:fldCharType="begin"/>
            </w:r>
            <w:r>
              <w:rPr>
                <w:noProof/>
              </w:rPr>
              <w:instrText xml:space="preserve"> PAGEREF _Toc232150548 \h </w:instrText>
            </w:r>
            <w:r>
              <w:rPr>
                <w:noProof/>
              </w:rPr>
            </w:r>
            <w:r>
              <w:rPr>
                <w:noProof/>
              </w:rPr>
              <w:fldChar w:fldCharType="separate"/>
            </w:r>
            <w:r>
              <w:rPr>
                <w:noProof/>
              </w:rPr>
              <w:t>1</w:t>
            </w:r>
            <w:r>
              <w:rPr>
                <w:noProof/>
              </w:rPr>
              <w:fldChar w:fldCharType="end"/>
            </w:r>
          </w:hyperlink>
        </w:p>
        <w:p w14:paraId="70FCAEE9" w14:textId="77777777" w:rsidR="0059590D" w:rsidRDefault="0059590D">
          <w:pPr>
            <w:pStyle w:val="TOC2"/>
            <w:tabs>
              <w:tab w:val="right" w:leader="dot" w:pos="10070"/>
            </w:tabs>
            <w:rPr>
              <w:noProof/>
            </w:rPr>
          </w:pPr>
          <w:hyperlink w:anchor="_Toc232150549" w:history="1">
            <w:r w:rsidRPr="00EA7105">
              <w:rPr>
                <w:rStyle w:val="Hyperlink"/>
                <w:noProof/>
              </w:rPr>
              <w:t>2.3 Technology Stack</w:t>
            </w:r>
            <w:r>
              <w:rPr>
                <w:noProof/>
              </w:rPr>
              <w:tab/>
            </w:r>
            <w:r>
              <w:rPr>
                <w:noProof/>
              </w:rPr>
              <w:fldChar w:fldCharType="begin"/>
            </w:r>
            <w:r>
              <w:rPr>
                <w:noProof/>
              </w:rPr>
              <w:instrText xml:space="preserve"> PAGEREF _Toc232150549 \h </w:instrText>
            </w:r>
            <w:r>
              <w:rPr>
                <w:noProof/>
              </w:rPr>
            </w:r>
            <w:r>
              <w:rPr>
                <w:noProof/>
              </w:rPr>
              <w:fldChar w:fldCharType="separate"/>
            </w:r>
            <w:r>
              <w:rPr>
                <w:noProof/>
              </w:rPr>
              <w:t>1</w:t>
            </w:r>
            <w:r>
              <w:rPr>
                <w:noProof/>
              </w:rPr>
              <w:fldChar w:fldCharType="end"/>
            </w:r>
          </w:hyperlink>
        </w:p>
        <w:p w14:paraId="28CF1A08" w14:textId="77777777" w:rsidR="0059590D" w:rsidRDefault="0059590D">
          <w:pPr>
            <w:pStyle w:val="TOC1"/>
            <w:tabs>
              <w:tab w:val="right" w:leader="dot" w:pos="10070"/>
            </w:tabs>
            <w:rPr>
              <w:noProof/>
            </w:rPr>
          </w:pPr>
          <w:hyperlink w:anchor="_Toc232150550" w:history="1">
            <w:r w:rsidRPr="00EA7105">
              <w:rPr>
                <w:rStyle w:val="Hyperlink"/>
                <w:noProof/>
              </w:rPr>
              <w:t>3. Data Inventory &amp; Source Analysis</w:t>
            </w:r>
            <w:r>
              <w:rPr>
                <w:noProof/>
              </w:rPr>
              <w:tab/>
            </w:r>
            <w:r>
              <w:rPr>
                <w:noProof/>
              </w:rPr>
              <w:fldChar w:fldCharType="begin"/>
            </w:r>
            <w:r>
              <w:rPr>
                <w:noProof/>
              </w:rPr>
              <w:instrText xml:space="preserve"> PAGEREF _Toc232150550 \h </w:instrText>
            </w:r>
            <w:r>
              <w:rPr>
                <w:noProof/>
              </w:rPr>
            </w:r>
            <w:r>
              <w:rPr>
                <w:noProof/>
              </w:rPr>
              <w:fldChar w:fldCharType="separate"/>
            </w:r>
            <w:r>
              <w:rPr>
                <w:noProof/>
              </w:rPr>
              <w:t>1</w:t>
            </w:r>
            <w:r>
              <w:rPr>
                <w:noProof/>
              </w:rPr>
              <w:fldChar w:fldCharType="end"/>
            </w:r>
          </w:hyperlink>
        </w:p>
        <w:p w14:paraId="2C266246" w14:textId="77777777" w:rsidR="0059590D" w:rsidRDefault="0059590D">
          <w:pPr>
            <w:pStyle w:val="TOC1"/>
            <w:tabs>
              <w:tab w:val="right" w:leader="dot" w:pos="10070"/>
            </w:tabs>
            <w:rPr>
              <w:noProof/>
            </w:rPr>
          </w:pPr>
          <w:hyperlink w:anchor="_Toc232150551" w:history="1">
            <w:r w:rsidRPr="00EA7105">
              <w:rPr>
                <w:rStyle w:val="Hyperlink"/>
                <w:noProof/>
              </w:rPr>
              <w:t>4. Data Engineering &amp; ETL Pipeline</w:t>
            </w:r>
            <w:r>
              <w:rPr>
                <w:noProof/>
              </w:rPr>
              <w:tab/>
            </w:r>
            <w:r>
              <w:rPr>
                <w:noProof/>
              </w:rPr>
              <w:fldChar w:fldCharType="begin"/>
            </w:r>
            <w:r>
              <w:rPr>
                <w:noProof/>
              </w:rPr>
              <w:instrText xml:space="preserve"> PAGEREF _Toc232150551 \h </w:instrText>
            </w:r>
            <w:r>
              <w:rPr>
                <w:noProof/>
              </w:rPr>
            </w:r>
            <w:r>
              <w:rPr>
                <w:noProof/>
              </w:rPr>
              <w:fldChar w:fldCharType="separate"/>
            </w:r>
            <w:r>
              <w:rPr>
                <w:noProof/>
              </w:rPr>
              <w:t>1</w:t>
            </w:r>
            <w:r>
              <w:rPr>
                <w:noProof/>
              </w:rPr>
              <w:fldChar w:fldCharType="end"/>
            </w:r>
          </w:hyperlink>
        </w:p>
        <w:p w14:paraId="5794E834" w14:textId="77777777" w:rsidR="0059590D" w:rsidRDefault="0059590D">
          <w:pPr>
            <w:pStyle w:val="TOC2"/>
            <w:tabs>
              <w:tab w:val="right" w:leader="dot" w:pos="10070"/>
            </w:tabs>
            <w:rPr>
              <w:noProof/>
            </w:rPr>
          </w:pPr>
          <w:hyperlink w:anchor="_Toc232150552" w:history="1">
            <w:r w:rsidRPr="00EA7105">
              <w:rPr>
                <w:rStyle w:val="Hyperlink"/>
                <w:noProof/>
              </w:rPr>
              <w:t>4.1 Data Cleaning &amp; Validation Framework</w:t>
            </w:r>
            <w:r>
              <w:rPr>
                <w:noProof/>
              </w:rPr>
              <w:tab/>
            </w:r>
            <w:r>
              <w:rPr>
                <w:noProof/>
              </w:rPr>
              <w:fldChar w:fldCharType="begin"/>
            </w:r>
            <w:r>
              <w:rPr>
                <w:noProof/>
              </w:rPr>
              <w:instrText xml:space="preserve"> PAGEREF _Toc232150552 \h </w:instrText>
            </w:r>
            <w:r>
              <w:rPr>
                <w:noProof/>
              </w:rPr>
            </w:r>
            <w:r>
              <w:rPr>
                <w:noProof/>
              </w:rPr>
              <w:fldChar w:fldCharType="separate"/>
            </w:r>
            <w:r>
              <w:rPr>
                <w:noProof/>
              </w:rPr>
              <w:t>1</w:t>
            </w:r>
            <w:r>
              <w:rPr>
                <w:noProof/>
              </w:rPr>
              <w:fldChar w:fldCharType="end"/>
            </w:r>
          </w:hyperlink>
        </w:p>
        <w:p w14:paraId="069CE564" w14:textId="77777777" w:rsidR="0059590D" w:rsidRDefault="0059590D">
          <w:pPr>
            <w:pStyle w:val="TOC2"/>
            <w:tabs>
              <w:tab w:val="right" w:leader="dot" w:pos="10070"/>
            </w:tabs>
            <w:rPr>
              <w:noProof/>
            </w:rPr>
          </w:pPr>
          <w:hyperlink w:anchor="_Toc232150553" w:history="1">
            <w:r w:rsidRPr="00EA7105">
              <w:rPr>
                <w:rStyle w:val="Hyperlink"/>
                <w:noProof/>
              </w:rPr>
              <w:t>4.2 NAV Processing Pipeline</w:t>
            </w:r>
            <w:r>
              <w:rPr>
                <w:noProof/>
              </w:rPr>
              <w:tab/>
            </w:r>
            <w:r>
              <w:rPr>
                <w:noProof/>
              </w:rPr>
              <w:fldChar w:fldCharType="begin"/>
            </w:r>
            <w:r>
              <w:rPr>
                <w:noProof/>
              </w:rPr>
              <w:instrText xml:space="preserve"> PAGEREF _Toc232150553 \h </w:instrText>
            </w:r>
            <w:r>
              <w:rPr>
                <w:noProof/>
              </w:rPr>
            </w:r>
            <w:r>
              <w:rPr>
                <w:noProof/>
              </w:rPr>
              <w:fldChar w:fldCharType="separate"/>
            </w:r>
            <w:r>
              <w:rPr>
                <w:noProof/>
              </w:rPr>
              <w:t>1</w:t>
            </w:r>
            <w:r>
              <w:rPr>
                <w:noProof/>
              </w:rPr>
              <w:fldChar w:fldCharType="end"/>
            </w:r>
          </w:hyperlink>
        </w:p>
        <w:p w14:paraId="4C18E047" w14:textId="77777777" w:rsidR="0059590D" w:rsidRDefault="0059590D">
          <w:pPr>
            <w:pStyle w:val="TOC2"/>
            <w:tabs>
              <w:tab w:val="right" w:leader="dot" w:pos="10070"/>
            </w:tabs>
            <w:rPr>
              <w:noProof/>
            </w:rPr>
          </w:pPr>
          <w:hyperlink w:anchor="_Toc232150554" w:history="1">
            <w:r w:rsidRPr="00EA7105">
              <w:rPr>
                <w:rStyle w:val="Hyperlink"/>
                <w:noProof/>
              </w:rPr>
              <w:t>4.3 Database Architecture — Star Schema</w:t>
            </w:r>
            <w:r>
              <w:rPr>
                <w:noProof/>
              </w:rPr>
              <w:tab/>
            </w:r>
            <w:r>
              <w:rPr>
                <w:noProof/>
              </w:rPr>
              <w:fldChar w:fldCharType="begin"/>
            </w:r>
            <w:r>
              <w:rPr>
                <w:noProof/>
              </w:rPr>
              <w:instrText xml:space="preserve"> PAGEREF _Toc232150554 \h </w:instrText>
            </w:r>
            <w:r>
              <w:rPr>
                <w:noProof/>
              </w:rPr>
            </w:r>
            <w:r>
              <w:rPr>
                <w:noProof/>
              </w:rPr>
              <w:fldChar w:fldCharType="separate"/>
            </w:r>
            <w:r>
              <w:rPr>
                <w:noProof/>
              </w:rPr>
              <w:t>1</w:t>
            </w:r>
            <w:r>
              <w:rPr>
                <w:noProof/>
              </w:rPr>
              <w:fldChar w:fldCharType="end"/>
            </w:r>
          </w:hyperlink>
        </w:p>
        <w:p w14:paraId="7160F169" w14:textId="77777777" w:rsidR="0059590D" w:rsidRDefault="0059590D">
          <w:pPr>
            <w:pStyle w:val="TOC1"/>
            <w:tabs>
              <w:tab w:val="right" w:leader="dot" w:pos="10070"/>
            </w:tabs>
            <w:rPr>
              <w:noProof/>
            </w:rPr>
          </w:pPr>
          <w:hyperlink w:anchor="_Toc232150555" w:history="1">
            <w:r w:rsidRPr="00EA7105">
              <w:rPr>
                <w:rStyle w:val="Hyperlink"/>
                <w:noProof/>
              </w:rPr>
              <w:t>5. Exploratory Data Analysis (EDA)</w:t>
            </w:r>
            <w:r>
              <w:rPr>
                <w:noProof/>
              </w:rPr>
              <w:tab/>
            </w:r>
            <w:r>
              <w:rPr>
                <w:noProof/>
              </w:rPr>
              <w:fldChar w:fldCharType="begin"/>
            </w:r>
            <w:r>
              <w:rPr>
                <w:noProof/>
              </w:rPr>
              <w:instrText xml:space="preserve"> PAGEREF _Toc232150555 \h </w:instrText>
            </w:r>
            <w:r>
              <w:rPr>
                <w:noProof/>
              </w:rPr>
            </w:r>
            <w:r>
              <w:rPr>
                <w:noProof/>
              </w:rPr>
              <w:fldChar w:fldCharType="separate"/>
            </w:r>
            <w:r>
              <w:rPr>
                <w:noProof/>
              </w:rPr>
              <w:t>1</w:t>
            </w:r>
            <w:r>
              <w:rPr>
                <w:noProof/>
              </w:rPr>
              <w:fldChar w:fldCharType="end"/>
            </w:r>
          </w:hyperlink>
        </w:p>
        <w:p w14:paraId="2F1A3F62" w14:textId="77777777" w:rsidR="0059590D" w:rsidRDefault="0059590D">
          <w:pPr>
            <w:pStyle w:val="TOC2"/>
            <w:tabs>
              <w:tab w:val="right" w:leader="dot" w:pos="10070"/>
            </w:tabs>
            <w:rPr>
              <w:noProof/>
            </w:rPr>
          </w:pPr>
          <w:hyperlink w:anchor="_Toc232150556" w:history="1">
            <w:r w:rsidRPr="00EA7105">
              <w:rPr>
                <w:rStyle w:val="Hyperlink"/>
                <w:noProof/>
              </w:rPr>
              <w:t>5.1 NAV Trend Analysis (2022–2026)</w:t>
            </w:r>
            <w:r>
              <w:rPr>
                <w:noProof/>
              </w:rPr>
              <w:tab/>
            </w:r>
            <w:r>
              <w:rPr>
                <w:noProof/>
              </w:rPr>
              <w:fldChar w:fldCharType="begin"/>
            </w:r>
            <w:r>
              <w:rPr>
                <w:noProof/>
              </w:rPr>
              <w:instrText xml:space="preserve"> PAGEREF _Toc232150556 \h </w:instrText>
            </w:r>
            <w:r>
              <w:rPr>
                <w:noProof/>
              </w:rPr>
            </w:r>
            <w:r>
              <w:rPr>
                <w:noProof/>
              </w:rPr>
              <w:fldChar w:fldCharType="separate"/>
            </w:r>
            <w:r>
              <w:rPr>
                <w:noProof/>
              </w:rPr>
              <w:t>1</w:t>
            </w:r>
            <w:r>
              <w:rPr>
                <w:noProof/>
              </w:rPr>
              <w:fldChar w:fldCharType="end"/>
            </w:r>
          </w:hyperlink>
        </w:p>
        <w:p w14:paraId="1CFE5E5B" w14:textId="77777777" w:rsidR="0059590D" w:rsidRDefault="0059590D">
          <w:pPr>
            <w:pStyle w:val="TOC2"/>
            <w:tabs>
              <w:tab w:val="right" w:leader="dot" w:pos="10070"/>
            </w:tabs>
            <w:rPr>
              <w:noProof/>
            </w:rPr>
          </w:pPr>
          <w:hyperlink w:anchor="_Toc232150557" w:history="1">
            <w:r w:rsidRPr="00EA7105">
              <w:rPr>
                <w:rStyle w:val="Hyperlink"/>
                <w:noProof/>
              </w:rPr>
              <w:t>5.2 AUM Growth Analysis</w:t>
            </w:r>
            <w:r>
              <w:rPr>
                <w:noProof/>
              </w:rPr>
              <w:tab/>
            </w:r>
            <w:r>
              <w:rPr>
                <w:noProof/>
              </w:rPr>
              <w:fldChar w:fldCharType="begin"/>
            </w:r>
            <w:r>
              <w:rPr>
                <w:noProof/>
              </w:rPr>
              <w:instrText xml:space="preserve"> PAGEREF _Toc232150557 \h </w:instrText>
            </w:r>
            <w:r>
              <w:rPr>
                <w:noProof/>
              </w:rPr>
            </w:r>
            <w:r>
              <w:rPr>
                <w:noProof/>
              </w:rPr>
              <w:fldChar w:fldCharType="separate"/>
            </w:r>
            <w:r>
              <w:rPr>
                <w:noProof/>
              </w:rPr>
              <w:t>1</w:t>
            </w:r>
            <w:r>
              <w:rPr>
                <w:noProof/>
              </w:rPr>
              <w:fldChar w:fldCharType="end"/>
            </w:r>
          </w:hyperlink>
        </w:p>
        <w:p w14:paraId="65769509" w14:textId="77777777" w:rsidR="0059590D" w:rsidRDefault="0059590D">
          <w:pPr>
            <w:pStyle w:val="TOC2"/>
            <w:tabs>
              <w:tab w:val="right" w:leader="dot" w:pos="10070"/>
            </w:tabs>
            <w:rPr>
              <w:noProof/>
            </w:rPr>
          </w:pPr>
          <w:hyperlink w:anchor="_Toc232150558" w:history="1">
            <w:r w:rsidRPr="00EA7105">
              <w:rPr>
                <w:rStyle w:val="Hyperlink"/>
                <w:noProof/>
              </w:rPr>
              <w:t>5.3 SIP Inflow Analysis</w:t>
            </w:r>
            <w:r>
              <w:rPr>
                <w:noProof/>
              </w:rPr>
              <w:tab/>
            </w:r>
            <w:r>
              <w:rPr>
                <w:noProof/>
              </w:rPr>
              <w:fldChar w:fldCharType="begin"/>
            </w:r>
            <w:r>
              <w:rPr>
                <w:noProof/>
              </w:rPr>
              <w:instrText xml:space="preserve"> PAGEREF _Toc232150558 \h </w:instrText>
            </w:r>
            <w:r>
              <w:rPr>
                <w:noProof/>
              </w:rPr>
            </w:r>
            <w:r>
              <w:rPr>
                <w:noProof/>
              </w:rPr>
              <w:fldChar w:fldCharType="separate"/>
            </w:r>
            <w:r>
              <w:rPr>
                <w:noProof/>
              </w:rPr>
              <w:t>1</w:t>
            </w:r>
            <w:r>
              <w:rPr>
                <w:noProof/>
              </w:rPr>
              <w:fldChar w:fldCharType="end"/>
            </w:r>
          </w:hyperlink>
        </w:p>
        <w:p w14:paraId="11405B28" w14:textId="77777777" w:rsidR="0059590D" w:rsidRDefault="0059590D">
          <w:pPr>
            <w:pStyle w:val="TOC2"/>
            <w:tabs>
              <w:tab w:val="right" w:leader="dot" w:pos="10070"/>
            </w:tabs>
            <w:rPr>
              <w:noProof/>
            </w:rPr>
          </w:pPr>
          <w:hyperlink w:anchor="_Toc232150559" w:history="1">
            <w:r w:rsidRPr="00EA7105">
              <w:rPr>
                <w:rStyle w:val="Hyperlink"/>
                <w:noProof/>
              </w:rPr>
              <w:t>5.4 Industry Folio Count &amp; Retail Penetration</w:t>
            </w:r>
            <w:r>
              <w:rPr>
                <w:noProof/>
              </w:rPr>
              <w:tab/>
            </w:r>
            <w:r>
              <w:rPr>
                <w:noProof/>
              </w:rPr>
              <w:fldChar w:fldCharType="begin"/>
            </w:r>
            <w:r>
              <w:rPr>
                <w:noProof/>
              </w:rPr>
              <w:instrText xml:space="preserve"> PAGEREF _Toc232150559 \h </w:instrText>
            </w:r>
            <w:r>
              <w:rPr>
                <w:noProof/>
              </w:rPr>
            </w:r>
            <w:r>
              <w:rPr>
                <w:noProof/>
              </w:rPr>
              <w:fldChar w:fldCharType="separate"/>
            </w:r>
            <w:r>
              <w:rPr>
                <w:noProof/>
              </w:rPr>
              <w:t>1</w:t>
            </w:r>
            <w:r>
              <w:rPr>
                <w:noProof/>
              </w:rPr>
              <w:fldChar w:fldCharType="end"/>
            </w:r>
          </w:hyperlink>
        </w:p>
        <w:p w14:paraId="6CF5BBAF" w14:textId="77777777" w:rsidR="0059590D" w:rsidRDefault="0059590D">
          <w:pPr>
            <w:pStyle w:val="TOC2"/>
            <w:tabs>
              <w:tab w:val="right" w:leader="dot" w:pos="10070"/>
            </w:tabs>
            <w:rPr>
              <w:noProof/>
            </w:rPr>
          </w:pPr>
          <w:hyperlink w:anchor="_Toc232150560" w:history="1">
            <w:r w:rsidRPr="00EA7105">
              <w:rPr>
                <w:rStyle w:val="Hyperlink"/>
                <w:noProof/>
              </w:rPr>
              <w:t>5.5 Category Inflow Heatmap</w:t>
            </w:r>
            <w:r>
              <w:rPr>
                <w:noProof/>
              </w:rPr>
              <w:tab/>
            </w:r>
            <w:r>
              <w:rPr>
                <w:noProof/>
              </w:rPr>
              <w:fldChar w:fldCharType="begin"/>
            </w:r>
            <w:r>
              <w:rPr>
                <w:noProof/>
              </w:rPr>
              <w:instrText xml:space="preserve"> PAGEREF _Toc232150560 \h </w:instrText>
            </w:r>
            <w:r>
              <w:rPr>
                <w:noProof/>
              </w:rPr>
            </w:r>
            <w:r>
              <w:rPr>
                <w:noProof/>
              </w:rPr>
              <w:fldChar w:fldCharType="separate"/>
            </w:r>
            <w:r>
              <w:rPr>
                <w:noProof/>
              </w:rPr>
              <w:t>1</w:t>
            </w:r>
            <w:r>
              <w:rPr>
                <w:noProof/>
              </w:rPr>
              <w:fldChar w:fldCharType="end"/>
            </w:r>
          </w:hyperlink>
        </w:p>
        <w:p w14:paraId="2A2E2495" w14:textId="77777777" w:rsidR="0059590D" w:rsidRDefault="0059590D">
          <w:pPr>
            <w:pStyle w:val="TOC1"/>
            <w:tabs>
              <w:tab w:val="right" w:leader="dot" w:pos="10070"/>
            </w:tabs>
            <w:rPr>
              <w:noProof/>
            </w:rPr>
          </w:pPr>
          <w:hyperlink w:anchor="_Toc232150561" w:history="1">
            <w:r w:rsidRPr="00EA7105">
              <w:rPr>
                <w:rStyle w:val="Hyperlink"/>
                <w:noProof/>
              </w:rPr>
              <w:t>6. Performance &amp; Risk Analytics Framework</w:t>
            </w:r>
            <w:r>
              <w:rPr>
                <w:noProof/>
              </w:rPr>
              <w:tab/>
            </w:r>
            <w:r>
              <w:rPr>
                <w:noProof/>
              </w:rPr>
              <w:fldChar w:fldCharType="begin"/>
            </w:r>
            <w:r>
              <w:rPr>
                <w:noProof/>
              </w:rPr>
              <w:instrText xml:space="preserve"> PAGEREF _Toc232150561 \h </w:instrText>
            </w:r>
            <w:r>
              <w:rPr>
                <w:noProof/>
              </w:rPr>
            </w:r>
            <w:r>
              <w:rPr>
                <w:noProof/>
              </w:rPr>
              <w:fldChar w:fldCharType="separate"/>
            </w:r>
            <w:r>
              <w:rPr>
                <w:noProof/>
              </w:rPr>
              <w:t>1</w:t>
            </w:r>
            <w:r>
              <w:rPr>
                <w:noProof/>
              </w:rPr>
              <w:fldChar w:fldCharType="end"/>
            </w:r>
          </w:hyperlink>
        </w:p>
        <w:p w14:paraId="473E3348" w14:textId="77777777" w:rsidR="0059590D" w:rsidRDefault="0059590D">
          <w:pPr>
            <w:pStyle w:val="TOC2"/>
            <w:tabs>
              <w:tab w:val="right" w:leader="dot" w:pos="10070"/>
            </w:tabs>
            <w:rPr>
              <w:noProof/>
            </w:rPr>
          </w:pPr>
          <w:hyperlink w:anchor="_Toc232150562" w:history="1">
            <w:r w:rsidRPr="00EA7105">
              <w:rPr>
                <w:rStyle w:val="Hyperlink"/>
                <w:noProof/>
              </w:rPr>
              <w:t>6.1 Daily Return Computation</w:t>
            </w:r>
            <w:r>
              <w:rPr>
                <w:noProof/>
              </w:rPr>
              <w:tab/>
            </w:r>
            <w:r>
              <w:rPr>
                <w:noProof/>
              </w:rPr>
              <w:fldChar w:fldCharType="begin"/>
            </w:r>
            <w:r>
              <w:rPr>
                <w:noProof/>
              </w:rPr>
              <w:instrText xml:space="preserve"> PAGEREF _Toc232150562 \h </w:instrText>
            </w:r>
            <w:r>
              <w:rPr>
                <w:noProof/>
              </w:rPr>
            </w:r>
            <w:r>
              <w:rPr>
                <w:noProof/>
              </w:rPr>
              <w:fldChar w:fldCharType="separate"/>
            </w:r>
            <w:r>
              <w:rPr>
                <w:noProof/>
              </w:rPr>
              <w:t>1</w:t>
            </w:r>
            <w:r>
              <w:rPr>
                <w:noProof/>
              </w:rPr>
              <w:fldChar w:fldCharType="end"/>
            </w:r>
          </w:hyperlink>
        </w:p>
        <w:p w14:paraId="3842321D" w14:textId="77777777" w:rsidR="0059590D" w:rsidRDefault="0059590D">
          <w:pPr>
            <w:pStyle w:val="TOC2"/>
            <w:tabs>
              <w:tab w:val="right" w:leader="dot" w:pos="10070"/>
            </w:tabs>
            <w:rPr>
              <w:noProof/>
            </w:rPr>
          </w:pPr>
          <w:hyperlink w:anchor="_Toc232150563" w:history="1">
            <w:r w:rsidRPr="00EA7105">
              <w:rPr>
                <w:rStyle w:val="Hyperlink"/>
                <w:noProof/>
              </w:rPr>
              <w:t>6.2 Compound Annual Growth Rate (CAGR)</w:t>
            </w:r>
            <w:r>
              <w:rPr>
                <w:noProof/>
              </w:rPr>
              <w:tab/>
            </w:r>
            <w:r>
              <w:rPr>
                <w:noProof/>
              </w:rPr>
              <w:fldChar w:fldCharType="begin"/>
            </w:r>
            <w:r>
              <w:rPr>
                <w:noProof/>
              </w:rPr>
              <w:instrText xml:space="preserve"> PAGEREF _Toc232150563 \h </w:instrText>
            </w:r>
            <w:r>
              <w:rPr>
                <w:noProof/>
              </w:rPr>
            </w:r>
            <w:r>
              <w:rPr>
                <w:noProof/>
              </w:rPr>
              <w:fldChar w:fldCharType="separate"/>
            </w:r>
            <w:r>
              <w:rPr>
                <w:noProof/>
              </w:rPr>
              <w:t>1</w:t>
            </w:r>
            <w:r>
              <w:rPr>
                <w:noProof/>
              </w:rPr>
              <w:fldChar w:fldCharType="end"/>
            </w:r>
          </w:hyperlink>
        </w:p>
        <w:p w14:paraId="5E895E05" w14:textId="77777777" w:rsidR="0059590D" w:rsidRDefault="0059590D">
          <w:pPr>
            <w:pStyle w:val="TOC2"/>
            <w:tabs>
              <w:tab w:val="right" w:leader="dot" w:pos="10070"/>
            </w:tabs>
            <w:rPr>
              <w:noProof/>
            </w:rPr>
          </w:pPr>
          <w:hyperlink w:anchor="_Toc232150564" w:history="1">
            <w:r w:rsidRPr="00EA7105">
              <w:rPr>
                <w:rStyle w:val="Hyperlink"/>
                <w:noProof/>
              </w:rPr>
              <w:t>6.3 Sharpe Ratio — Risk-Adjusted Return</w:t>
            </w:r>
            <w:r>
              <w:rPr>
                <w:noProof/>
              </w:rPr>
              <w:tab/>
            </w:r>
            <w:r>
              <w:rPr>
                <w:noProof/>
              </w:rPr>
              <w:fldChar w:fldCharType="begin"/>
            </w:r>
            <w:r>
              <w:rPr>
                <w:noProof/>
              </w:rPr>
              <w:instrText xml:space="preserve"> PAGEREF _Toc232150564 \h </w:instrText>
            </w:r>
            <w:r>
              <w:rPr>
                <w:noProof/>
              </w:rPr>
            </w:r>
            <w:r>
              <w:rPr>
                <w:noProof/>
              </w:rPr>
              <w:fldChar w:fldCharType="separate"/>
            </w:r>
            <w:r>
              <w:rPr>
                <w:noProof/>
              </w:rPr>
              <w:t>1</w:t>
            </w:r>
            <w:r>
              <w:rPr>
                <w:noProof/>
              </w:rPr>
              <w:fldChar w:fldCharType="end"/>
            </w:r>
          </w:hyperlink>
        </w:p>
        <w:p w14:paraId="56E8DDB3" w14:textId="77777777" w:rsidR="0059590D" w:rsidRDefault="0059590D">
          <w:pPr>
            <w:pStyle w:val="TOC2"/>
            <w:tabs>
              <w:tab w:val="right" w:leader="dot" w:pos="10070"/>
            </w:tabs>
            <w:rPr>
              <w:noProof/>
            </w:rPr>
          </w:pPr>
          <w:hyperlink w:anchor="_Toc232150565" w:history="1">
            <w:r w:rsidRPr="00EA7105">
              <w:rPr>
                <w:rStyle w:val="Hyperlink"/>
                <w:noProof/>
              </w:rPr>
              <w:t>6.4 Sortino Ratio — Downside Risk-Adjusted Return</w:t>
            </w:r>
            <w:r>
              <w:rPr>
                <w:noProof/>
              </w:rPr>
              <w:tab/>
            </w:r>
            <w:r>
              <w:rPr>
                <w:noProof/>
              </w:rPr>
              <w:fldChar w:fldCharType="begin"/>
            </w:r>
            <w:r>
              <w:rPr>
                <w:noProof/>
              </w:rPr>
              <w:instrText xml:space="preserve"> PAGEREF _Toc232150565 \h </w:instrText>
            </w:r>
            <w:r>
              <w:rPr>
                <w:noProof/>
              </w:rPr>
            </w:r>
            <w:r>
              <w:rPr>
                <w:noProof/>
              </w:rPr>
              <w:fldChar w:fldCharType="separate"/>
            </w:r>
            <w:r>
              <w:rPr>
                <w:noProof/>
              </w:rPr>
              <w:t>1</w:t>
            </w:r>
            <w:r>
              <w:rPr>
                <w:noProof/>
              </w:rPr>
              <w:fldChar w:fldCharType="end"/>
            </w:r>
          </w:hyperlink>
        </w:p>
        <w:p w14:paraId="3E8E0DD8" w14:textId="77777777" w:rsidR="0059590D" w:rsidRDefault="0059590D">
          <w:pPr>
            <w:pStyle w:val="TOC2"/>
            <w:tabs>
              <w:tab w:val="right" w:leader="dot" w:pos="10070"/>
            </w:tabs>
            <w:rPr>
              <w:noProof/>
            </w:rPr>
          </w:pPr>
          <w:hyperlink w:anchor="_Toc232150566" w:history="1">
            <w:r w:rsidRPr="00EA7105">
              <w:rPr>
                <w:rStyle w:val="Hyperlink"/>
                <w:noProof/>
              </w:rPr>
              <w:t>6.5 Alpha &amp; Beta — Benchmark Sensitivity Analysis</w:t>
            </w:r>
            <w:r>
              <w:rPr>
                <w:noProof/>
              </w:rPr>
              <w:tab/>
            </w:r>
            <w:r>
              <w:rPr>
                <w:noProof/>
              </w:rPr>
              <w:fldChar w:fldCharType="begin"/>
            </w:r>
            <w:r>
              <w:rPr>
                <w:noProof/>
              </w:rPr>
              <w:instrText xml:space="preserve"> PAGEREF _Toc232150566 \h </w:instrText>
            </w:r>
            <w:r>
              <w:rPr>
                <w:noProof/>
              </w:rPr>
            </w:r>
            <w:r>
              <w:rPr>
                <w:noProof/>
              </w:rPr>
              <w:fldChar w:fldCharType="separate"/>
            </w:r>
            <w:r>
              <w:rPr>
                <w:noProof/>
              </w:rPr>
              <w:t>1</w:t>
            </w:r>
            <w:r>
              <w:rPr>
                <w:noProof/>
              </w:rPr>
              <w:fldChar w:fldCharType="end"/>
            </w:r>
          </w:hyperlink>
        </w:p>
        <w:p w14:paraId="6AB5EDEF" w14:textId="77777777" w:rsidR="0059590D" w:rsidRDefault="0059590D">
          <w:pPr>
            <w:pStyle w:val="TOC2"/>
            <w:tabs>
              <w:tab w:val="right" w:leader="dot" w:pos="10070"/>
            </w:tabs>
            <w:rPr>
              <w:noProof/>
            </w:rPr>
          </w:pPr>
          <w:hyperlink w:anchor="_Toc232150567" w:history="1">
            <w:r w:rsidRPr="00EA7105">
              <w:rPr>
                <w:rStyle w:val="Hyperlink"/>
                <w:noProof/>
              </w:rPr>
              <w:t>6.6 Maximum Drawdown</w:t>
            </w:r>
            <w:r>
              <w:rPr>
                <w:noProof/>
              </w:rPr>
              <w:tab/>
            </w:r>
            <w:r>
              <w:rPr>
                <w:noProof/>
              </w:rPr>
              <w:fldChar w:fldCharType="begin"/>
            </w:r>
            <w:r>
              <w:rPr>
                <w:noProof/>
              </w:rPr>
              <w:instrText xml:space="preserve"> PAGEREF _Toc232150567 \h </w:instrText>
            </w:r>
            <w:r>
              <w:rPr>
                <w:noProof/>
              </w:rPr>
            </w:r>
            <w:r>
              <w:rPr>
                <w:noProof/>
              </w:rPr>
              <w:fldChar w:fldCharType="separate"/>
            </w:r>
            <w:r>
              <w:rPr>
                <w:noProof/>
              </w:rPr>
              <w:t>1</w:t>
            </w:r>
            <w:r>
              <w:rPr>
                <w:noProof/>
              </w:rPr>
              <w:fldChar w:fldCharType="end"/>
            </w:r>
          </w:hyperlink>
        </w:p>
        <w:p w14:paraId="6075DB30" w14:textId="77777777" w:rsidR="0059590D" w:rsidRDefault="0059590D">
          <w:pPr>
            <w:pStyle w:val="TOC1"/>
            <w:tabs>
              <w:tab w:val="right" w:leader="dot" w:pos="10070"/>
            </w:tabs>
            <w:rPr>
              <w:noProof/>
            </w:rPr>
          </w:pPr>
          <w:hyperlink w:anchor="_Toc232150568" w:history="1">
            <w:r w:rsidRPr="00EA7105">
              <w:rPr>
                <w:rStyle w:val="Hyperlink"/>
                <w:noProof/>
              </w:rPr>
              <w:t>7. Advanced Analytics &amp; Investor Intelligence</w:t>
            </w:r>
            <w:r>
              <w:rPr>
                <w:noProof/>
              </w:rPr>
              <w:tab/>
            </w:r>
            <w:r>
              <w:rPr>
                <w:noProof/>
              </w:rPr>
              <w:fldChar w:fldCharType="begin"/>
            </w:r>
            <w:r>
              <w:rPr>
                <w:noProof/>
              </w:rPr>
              <w:instrText xml:space="preserve"> PAGEREF _Toc232150568 \h </w:instrText>
            </w:r>
            <w:r>
              <w:rPr>
                <w:noProof/>
              </w:rPr>
            </w:r>
            <w:r>
              <w:rPr>
                <w:noProof/>
              </w:rPr>
              <w:fldChar w:fldCharType="separate"/>
            </w:r>
            <w:r>
              <w:rPr>
                <w:noProof/>
              </w:rPr>
              <w:t>1</w:t>
            </w:r>
            <w:r>
              <w:rPr>
                <w:noProof/>
              </w:rPr>
              <w:fldChar w:fldCharType="end"/>
            </w:r>
          </w:hyperlink>
        </w:p>
        <w:p w14:paraId="2466B9D3" w14:textId="77777777" w:rsidR="0059590D" w:rsidRDefault="0059590D">
          <w:pPr>
            <w:pStyle w:val="TOC2"/>
            <w:tabs>
              <w:tab w:val="right" w:leader="dot" w:pos="10070"/>
            </w:tabs>
            <w:rPr>
              <w:noProof/>
            </w:rPr>
          </w:pPr>
          <w:hyperlink w:anchor="_Toc232150569" w:history="1">
            <w:r w:rsidRPr="00EA7105">
              <w:rPr>
                <w:rStyle w:val="Hyperlink"/>
                <w:noProof/>
              </w:rPr>
              <w:t>7.1 Value at Risk (VaR) — 95% Historical</w:t>
            </w:r>
            <w:r>
              <w:rPr>
                <w:noProof/>
              </w:rPr>
              <w:tab/>
            </w:r>
            <w:r>
              <w:rPr>
                <w:noProof/>
              </w:rPr>
              <w:fldChar w:fldCharType="begin"/>
            </w:r>
            <w:r>
              <w:rPr>
                <w:noProof/>
              </w:rPr>
              <w:instrText xml:space="preserve"> PAGEREF _Toc232150569 \h </w:instrText>
            </w:r>
            <w:r>
              <w:rPr>
                <w:noProof/>
              </w:rPr>
            </w:r>
            <w:r>
              <w:rPr>
                <w:noProof/>
              </w:rPr>
              <w:fldChar w:fldCharType="separate"/>
            </w:r>
            <w:r>
              <w:rPr>
                <w:noProof/>
              </w:rPr>
              <w:t>1</w:t>
            </w:r>
            <w:r>
              <w:rPr>
                <w:noProof/>
              </w:rPr>
              <w:fldChar w:fldCharType="end"/>
            </w:r>
          </w:hyperlink>
        </w:p>
        <w:p w14:paraId="13F39106" w14:textId="77777777" w:rsidR="0059590D" w:rsidRDefault="0059590D">
          <w:pPr>
            <w:pStyle w:val="TOC2"/>
            <w:tabs>
              <w:tab w:val="right" w:leader="dot" w:pos="10070"/>
            </w:tabs>
            <w:rPr>
              <w:noProof/>
            </w:rPr>
          </w:pPr>
          <w:hyperlink w:anchor="_Toc232150570" w:history="1">
            <w:r w:rsidRPr="00EA7105">
              <w:rPr>
                <w:rStyle w:val="Hyperlink"/>
                <w:noProof/>
              </w:rPr>
              <w:t>7.2 Conditional Value at Risk (CVaR) — Expected Shortfall</w:t>
            </w:r>
            <w:r>
              <w:rPr>
                <w:noProof/>
              </w:rPr>
              <w:tab/>
            </w:r>
            <w:r>
              <w:rPr>
                <w:noProof/>
              </w:rPr>
              <w:fldChar w:fldCharType="begin"/>
            </w:r>
            <w:r>
              <w:rPr>
                <w:noProof/>
              </w:rPr>
              <w:instrText xml:space="preserve"> PAGEREF _Toc232150570 \h </w:instrText>
            </w:r>
            <w:r>
              <w:rPr>
                <w:noProof/>
              </w:rPr>
            </w:r>
            <w:r>
              <w:rPr>
                <w:noProof/>
              </w:rPr>
              <w:fldChar w:fldCharType="separate"/>
            </w:r>
            <w:r>
              <w:rPr>
                <w:noProof/>
              </w:rPr>
              <w:t>1</w:t>
            </w:r>
            <w:r>
              <w:rPr>
                <w:noProof/>
              </w:rPr>
              <w:fldChar w:fldCharType="end"/>
            </w:r>
          </w:hyperlink>
        </w:p>
        <w:p w14:paraId="020F3D98" w14:textId="77777777" w:rsidR="0059590D" w:rsidRDefault="0059590D">
          <w:pPr>
            <w:pStyle w:val="TOC2"/>
            <w:tabs>
              <w:tab w:val="right" w:leader="dot" w:pos="10070"/>
            </w:tabs>
            <w:rPr>
              <w:noProof/>
            </w:rPr>
          </w:pPr>
          <w:hyperlink w:anchor="_Toc232150571" w:history="1">
            <w:r w:rsidRPr="00EA7105">
              <w:rPr>
                <w:rStyle w:val="Hyperlink"/>
                <w:noProof/>
              </w:rPr>
              <w:t>7.3 Rolling 90-Day Sharpe Ratio</w:t>
            </w:r>
            <w:r>
              <w:rPr>
                <w:noProof/>
              </w:rPr>
              <w:tab/>
            </w:r>
            <w:r>
              <w:rPr>
                <w:noProof/>
              </w:rPr>
              <w:fldChar w:fldCharType="begin"/>
            </w:r>
            <w:r>
              <w:rPr>
                <w:noProof/>
              </w:rPr>
              <w:instrText xml:space="preserve"> PAGEREF _Toc232150571 \h </w:instrText>
            </w:r>
            <w:r>
              <w:rPr>
                <w:noProof/>
              </w:rPr>
            </w:r>
            <w:r>
              <w:rPr>
                <w:noProof/>
              </w:rPr>
              <w:fldChar w:fldCharType="separate"/>
            </w:r>
            <w:r>
              <w:rPr>
                <w:noProof/>
              </w:rPr>
              <w:t>1</w:t>
            </w:r>
            <w:r>
              <w:rPr>
                <w:noProof/>
              </w:rPr>
              <w:fldChar w:fldCharType="end"/>
            </w:r>
          </w:hyperlink>
        </w:p>
        <w:p w14:paraId="1DBA9C5B" w14:textId="77777777" w:rsidR="0059590D" w:rsidRDefault="0059590D">
          <w:pPr>
            <w:pStyle w:val="TOC2"/>
            <w:tabs>
              <w:tab w:val="right" w:leader="dot" w:pos="10070"/>
            </w:tabs>
            <w:rPr>
              <w:noProof/>
            </w:rPr>
          </w:pPr>
          <w:hyperlink w:anchor="_Toc232150572" w:history="1">
            <w:r w:rsidRPr="00EA7105">
              <w:rPr>
                <w:rStyle w:val="Hyperlink"/>
                <w:noProof/>
              </w:rPr>
              <w:t>7.4 Investor Cohort Analysis</w:t>
            </w:r>
            <w:r>
              <w:rPr>
                <w:noProof/>
              </w:rPr>
              <w:tab/>
            </w:r>
            <w:r>
              <w:rPr>
                <w:noProof/>
              </w:rPr>
              <w:fldChar w:fldCharType="begin"/>
            </w:r>
            <w:r>
              <w:rPr>
                <w:noProof/>
              </w:rPr>
              <w:instrText xml:space="preserve"> PAGEREF _Toc232150572 \h </w:instrText>
            </w:r>
            <w:r>
              <w:rPr>
                <w:noProof/>
              </w:rPr>
            </w:r>
            <w:r>
              <w:rPr>
                <w:noProof/>
              </w:rPr>
              <w:fldChar w:fldCharType="separate"/>
            </w:r>
            <w:r>
              <w:rPr>
                <w:noProof/>
              </w:rPr>
              <w:t>1</w:t>
            </w:r>
            <w:r>
              <w:rPr>
                <w:noProof/>
              </w:rPr>
              <w:fldChar w:fldCharType="end"/>
            </w:r>
          </w:hyperlink>
        </w:p>
        <w:p w14:paraId="1B0D0204" w14:textId="77777777" w:rsidR="0059590D" w:rsidRDefault="0059590D">
          <w:pPr>
            <w:pStyle w:val="TOC2"/>
            <w:tabs>
              <w:tab w:val="right" w:leader="dot" w:pos="10070"/>
            </w:tabs>
            <w:rPr>
              <w:noProof/>
            </w:rPr>
          </w:pPr>
          <w:hyperlink w:anchor="_Toc232150573" w:history="1">
            <w:r w:rsidRPr="00EA7105">
              <w:rPr>
                <w:rStyle w:val="Hyperlink"/>
                <w:noProof/>
              </w:rPr>
              <w:t>7.5 SIP Continuity Analysis</w:t>
            </w:r>
            <w:r>
              <w:rPr>
                <w:noProof/>
              </w:rPr>
              <w:tab/>
            </w:r>
            <w:r>
              <w:rPr>
                <w:noProof/>
              </w:rPr>
              <w:fldChar w:fldCharType="begin"/>
            </w:r>
            <w:r>
              <w:rPr>
                <w:noProof/>
              </w:rPr>
              <w:instrText xml:space="preserve"> PAGEREF _Toc232150573 \h </w:instrText>
            </w:r>
            <w:r>
              <w:rPr>
                <w:noProof/>
              </w:rPr>
            </w:r>
            <w:r>
              <w:rPr>
                <w:noProof/>
              </w:rPr>
              <w:fldChar w:fldCharType="separate"/>
            </w:r>
            <w:r>
              <w:rPr>
                <w:noProof/>
              </w:rPr>
              <w:t>1</w:t>
            </w:r>
            <w:r>
              <w:rPr>
                <w:noProof/>
              </w:rPr>
              <w:fldChar w:fldCharType="end"/>
            </w:r>
          </w:hyperlink>
        </w:p>
        <w:p w14:paraId="5D130B59" w14:textId="77777777" w:rsidR="0059590D" w:rsidRDefault="0059590D">
          <w:pPr>
            <w:pStyle w:val="TOC2"/>
            <w:tabs>
              <w:tab w:val="right" w:leader="dot" w:pos="10070"/>
            </w:tabs>
            <w:rPr>
              <w:noProof/>
            </w:rPr>
          </w:pPr>
          <w:hyperlink w:anchor="_Toc232150574" w:history="1">
            <w:r w:rsidRPr="00EA7105">
              <w:rPr>
                <w:rStyle w:val="Hyperlink"/>
                <w:noProof/>
              </w:rPr>
              <w:t>7.6 Portfolio Concentration — Herfindahl-Hirschman Index (HHI)</w:t>
            </w:r>
            <w:r>
              <w:rPr>
                <w:noProof/>
              </w:rPr>
              <w:tab/>
            </w:r>
            <w:r>
              <w:rPr>
                <w:noProof/>
              </w:rPr>
              <w:fldChar w:fldCharType="begin"/>
            </w:r>
            <w:r>
              <w:rPr>
                <w:noProof/>
              </w:rPr>
              <w:instrText xml:space="preserve"> PAGEREF _Toc232150574 \h </w:instrText>
            </w:r>
            <w:r>
              <w:rPr>
                <w:noProof/>
              </w:rPr>
            </w:r>
            <w:r>
              <w:rPr>
                <w:noProof/>
              </w:rPr>
              <w:fldChar w:fldCharType="separate"/>
            </w:r>
            <w:r>
              <w:rPr>
                <w:noProof/>
              </w:rPr>
              <w:t>1</w:t>
            </w:r>
            <w:r>
              <w:rPr>
                <w:noProof/>
              </w:rPr>
              <w:fldChar w:fldCharType="end"/>
            </w:r>
          </w:hyperlink>
        </w:p>
        <w:p w14:paraId="3EA74281" w14:textId="77777777" w:rsidR="0059590D" w:rsidRDefault="0059590D">
          <w:pPr>
            <w:pStyle w:val="TOC1"/>
            <w:tabs>
              <w:tab w:val="right" w:leader="dot" w:pos="10070"/>
            </w:tabs>
            <w:rPr>
              <w:noProof/>
            </w:rPr>
          </w:pPr>
          <w:hyperlink w:anchor="_Toc232150575" w:history="1">
            <w:r w:rsidRPr="00EA7105">
              <w:rPr>
                <w:rStyle w:val="Hyperlink"/>
                <w:noProof/>
              </w:rPr>
              <w:t>8. Power BI Dashboard — 4-Page Overview</w:t>
            </w:r>
            <w:r>
              <w:rPr>
                <w:noProof/>
              </w:rPr>
              <w:tab/>
            </w:r>
            <w:r>
              <w:rPr>
                <w:noProof/>
              </w:rPr>
              <w:fldChar w:fldCharType="begin"/>
            </w:r>
            <w:r>
              <w:rPr>
                <w:noProof/>
              </w:rPr>
              <w:instrText xml:space="preserve"> PAGEREF _Toc232150575 \h </w:instrText>
            </w:r>
            <w:r>
              <w:rPr>
                <w:noProof/>
              </w:rPr>
            </w:r>
            <w:r>
              <w:rPr>
                <w:noProof/>
              </w:rPr>
              <w:fldChar w:fldCharType="separate"/>
            </w:r>
            <w:r>
              <w:rPr>
                <w:noProof/>
              </w:rPr>
              <w:t>1</w:t>
            </w:r>
            <w:r>
              <w:rPr>
                <w:noProof/>
              </w:rPr>
              <w:fldChar w:fldCharType="end"/>
            </w:r>
          </w:hyperlink>
        </w:p>
        <w:p w14:paraId="31AF1B4B" w14:textId="77777777" w:rsidR="0059590D" w:rsidRDefault="0059590D">
          <w:pPr>
            <w:pStyle w:val="TOC2"/>
            <w:tabs>
              <w:tab w:val="right" w:leader="dot" w:pos="10070"/>
            </w:tabs>
            <w:rPr>
              <w:noProof/>
            </w:rPr>
          </w:pPr>
          <w:hyperlink w:anchor="_Toc232150576" w:history="1">
            <w:r w:rsidRPr="00EA7105">
              <w:rPr>
                <w:rStyle w:val="Hyperlink"/>
                <w:noProof/>
              </w:rPr>
              <w:t>8.1 Page 1 — Industry Overview</w:t>
            </w:r>
            <w:r>
              <w:rPr>
                <w:noProof/>
              </w:rPr>
              <w:tab/>
            </w:r>
            <w:r>
              <w:rPr>
                <w:noProof/>
              </w:rPr>
              <w:fldChar w:fldCharType="begin"/>
            </w:r>
            <w:r>
              <w:rPr>
                <w:noProof/>
              </w:rPr>
              <w:instrText xml:space="preserve"> PAGEREF _Toc232150576 \h </w:instrText>
            </w:r>
            <w:r>
              <w:rPr>
                <w:noProof/>
              </w:rPr>
            </w:r>
            <w:r>
              <w:rPr>
                <w:noProof/>
              </w:rPr>
              <w:fldChar w:fldCharType="separate"/>
            </w:r>
            <w:r>
              <w:rPr>
                <w:noProof/>
              </w:rPr>
              <w:t>1</w:t>
            </w:r>
            <w:r>
              <w:rPr>
                <w:noProof/>
              </w:rPr>
              <w:fldChar w:fldCharType="end"/>
            </w:r>
          </w:hyperlink>
        </w:p>
        <w:p w14:paraId="25B6CA37" w14:textId="77777777" w:rsidR="0059590D" w:rsidRDefault="0059590D">
          <w:pPr>
            <w:pStyle w:val="TOC2"/>
            <w:tabs>
              <w:tab w:val="right" w:leader="dot" w:pos="10070"/>
            </w:tabs>
            <w:rPr>
              <w:noProof/>
            </w:rPr>
          </w:pPr>
          <w:hyperlink w:anchor="_Toc232150577" w:history="1">
            <w:r w:rsidRPr="00EA7105">
              <w:rPr>
                <w:rStyle w:val="Hyperlink"/>
                <w:noProof/>
              </w:rPr>
              <w:t>8.2 Page 2 — Fund Performance</w:t>
            </w:r>
            <w:r>
              <w:rPr>
                <w:noProof/>
              </w:rPr>
              <w:tab/>
            </w:r>
            <w:r>
              <w:rPr>
                <w:noProof/>
              </w:rPr>
              <w:fldChar w:fldCharType="begin"/>
            </w:r>
            <w:r>
              <w:rPr>
                <w:noProof/>
              </w:rPr>
              <w:instrText xml:space="preserve"> PAGEREF _Toc232150577 \h </w:instrText>
            </w:r>
            <w:r>
              <w:rPr>
                <w:noProof/>
              </w:rPr>
            </w:r>
            <w:r>
              <w:rPr>
                <w:noProof/>
              </w:rPr>
              <w:fldChar w:fldCharType="separate"/>
            </w:r>
            <w:r>
              <w:rPr>
                <w:noProof/>
              </w:rPr>
              <w:t>1</w:t>
            </w:r>
            <w:r>
              <w:rPr>
                <w:noProof/>
              </w:rPr>
              <w:fldChar w:fldCharType="end"/>
            </w:r>
          </w:hyperlink>
        </w:p>
        <w:p w14:paraId="70785BC5" w14:textId="77777777" w:rsidR="0059590D" w:rsidRDefault="0059590D">
          <w:pPr>
            <w:pStyle w:val="TOC2"/>
            <w:tabs>
              <w:tab w:val="right" w:leader="dot" w:pos="10070"/>
            </w:tabs>
            <w:rPr>
              <w:noProof/>
            </w:rPr>
          </w:pPr>
          <w:hyperlink w:anchor="_Toc232150578" w:history="1">
            <w:r w:rsidRPr="00EA7105">
              <w:rPr>
                <w:rStyle w:val="Hyperlink"/>
                <w:noProof/>
              </w:rPr>
              <w:t>8.3 Page 3 — Investor Analytics</w:t>
            </w:r>
            <w:r>
              <w:rPr>
                <w:noProof/>
              </w:rPr>
              <w:tab/>
            </w:r>
            <w:r>
              <w:rPr>
                <w:noProof/>
              </w:rPr>
              <w:fldChar w:fldCharType="begin"/>
            </w:r>
            <w:r>
              <w:rPr>
                <w:noProof/>
              </w:rPr>
              <w:instrText xml:space="preserve"> PAGEREF _Toc232150578 \h </w:instrText>
            </w:r>
            <w:r>
              <w:rPr>
                <w:noProof/>
              </w:rPr>
            </w:r>
            <w:r>
              <w:rPr>
                <w:noProof/>
              </w:rPr>
              <w:fldChar w:fldCharType="separate"/>
            </w:r>
            <w:r>
              <w:rPr>
                <w:noProof/>
              </w:rPr>
              <w:t>1</w:t>
            </w:r>
            <w:r>
              <w:rPr>
                <w:noProof/>
              </w:rPr>
              <w:fldChar w:fldCharType="end"/>
            </w:r>
          </w:hyperlink>
        </w:p>
        <w:p w14:paraId="546592D2" w14:textId="77777777" w:rsidR="0059590D" w:rsidRDefault="0059590D">
          <w:pPr>
            <w:pStyle w:val="TOC2"/>
            <w:tabs>
              <w:tab w:val="right" w:leader="dot" w:pos="10070"/>
            </w:tabs>
            <w:rPr>
              <w:noProof/>
            </w:rPr>
          </w:pPr>
          <w:hyperlink w:anchor="_Toc232150579" w:history="1">
            <w:r w:rsidRPr="00EA7105">
              <w:rPr>
                <w:rStyle w:val="Hyperlink"/>
                <w:noProof/>
              </w:rPr>
              <w:t>8.4 Page 4 — SIP &amp; Market Trends</w:t>
            </w:r>
            <w:r>
              <w:rPr>
                <w:noProof/>
              </w:rPr>
              <w:tab/>
            </w:r>
            <w:r>
              <w:rPr>
                <w:noProof/>
              </w:rPr>
              <w:fldChar w:fldCharType="begin"/>
            </w:r>
            <w:r>
              <w:rPr>
                <w:noProof/>
              </w:rPr>
              <w:instrText xml:space="preserve"> PAGEREF _Toc232150579 \h </w:instrText>
            </w:r>
            <w:r>
              <w:rPr>
                <w:noProof/>
              </w:rPr>
            </w:r>
            <w:r>
              <w:rPr>
                <w:noProof/>
              </w:rPr>
              <w:fldChar w:fldCharType="separate"/>
            </w:r>
            <w:r>
              <w:rPr>
                <w:noProof/>
              </w:rPr>
              <w:t>1</w:t>
            </w:r>
            <w:r>
              <w:rPr>
                <w:noProof/>
              </w:rPr>
              <w:fldChar w:fldCharType="end"/>
            </w:r>
          </w:hyperlink>
        </w:p>
        <w:p w14:paraId="57BE5EAD" w14:textId="77777777" w:rsidR="0059590D" w:rsidRDefault="0059590D">
          <w:pPr>
            <w:pStyle w:val="TOC1"/>
            <w:tabs>
              <w:tab w:val="right" w:leader="dot" w:pos="10070"/>
            </w:tabs>
            <w:rPr>
              <w:noProof/>
            </w:rPr>
          </w:pPr>
          <w:hyperlink w:anchor="_Toc232150580" w:history="1">
            <w:r w:rsidRPr="00EA7105">
              <w:rPr>
                <w:rStyle w:val="Hyperlink"/>
                <w:noProof/>
              </w:rPr>
              <w:t>9. Key Findings &amp; Strategic Insights</w:t>
            </w:r>
            <w:r>
              <w:rPr>
                <w:noProof/>
              </w:rPr>
              <w:tab/>
            </w:r>
            <w:r>
              <w:rPr>
                <w:noProof/>
              </w:rPr>
              <w:fldChar w:fldCharType="begin"/>
            </w:r>
            <w:r>
              <w:rPr>
                <w:noProof/>
              </w:rPr>
              <w:instrText xml:space="preserve"> PAGEREF _Toc232150580 \h </w:instrText>
            </w:r>
            <w:r>
              <w:rPr>
                <w:noProof/>
              </w:rPr>
            </w:r>
            <w:r>
              <w:rPr>
                <w:noProof/>
              </w:rPr>
              <w:fldChar w:fldCharType="separate"/>
            </w:r>
            <w:r>
              <w:rPr>
                <w:noProof/>
              </w:rPr>
              <w:t>1</w:t>
            </w:r>
            <w:r>
              <w:rPr>
                <w:noProof/>
              </w:rPr>
              <w:fldChar w:fldCharType="end"/>
            </w:r>
          </w:hyperlink>
        </w:p>
        <w:p w14:paraId="3D42EB43" w14:textId="77777777" w:rsidR="0059590D" w:rsidRDefault="0059590D">
          <w:pPr>
            <w:pStyle w:val="TOC1"/>
            <w:tabs>
              <w:tab w:val="right" w:leader="dot" w:pos="10070"/>
            </w:tabs>
            <w:rPr>
              <w:noProof/>
            </w:rPr>
          </w:pPr>
          <w:hyperlink w:anchor="_Toc232150581" w:history="1">
            <w:r w:rsidRPr="00EA7105">
              <w:rPr>
                <w:rStyle w:val="Hyperlink"/>
                <w:noProof/>
              </w:rPr>
              <w:t>10. Limitations &amp; Scope Boundaries</w:t>
            </w:r>
            <w:r>
              <w:rPr>
                <w:noProof/>
              </w:rPr>
              <w:tab/>
            </w:r>
            <w:r>
              <w:rPr>
                <w:noProof/>
              </w:rPr>
              <w:fldChar w:fldCharType="begin"/>
            </w:r>
            <w:r>
              <w:rPr>
                <w:noProof/>
              </w:rPr>
              <w:instrText xml:space="preserve"> PAGEREF _Toc232150581 \h </w:instrText>
            </w:r>
            <w:r>
              <w:rPr>
                <w:noProof/>
              </w:rPr>
            </w:r>
            <w:r>
              <w:rPr>
                <w:noProof/>
              </w:rPr>
              <w:fldChar w:fldCharType="separate"/>
            </w:r>
            <w:r>
              <w:rPr>
                <w:noProof/>
              </w:rPr>
              <w:t>1</w:t>
            </w:r>
            <w:r>
              <w:rPr>
                <w:noProof/>
              </w:rPr>
              <w:fldChar w:fldCharType="end"/>
            </w:r>
          </w:hyperlink>
        </w:p>
        <w:p w14:paraId="4B485011" w14:textId="77777777" w:rsidR="0059590D" w:rsidRDefault="0059590D">
          <w:pPr>
            <w:pStyle w:val="TOC1"/>
            <w:tabs>
              <w:tab w:val="right" w:leader="dot" w:pos="10070"/>
            </w:tabs>
            <w:rPr>
              <w:noProof/>
            </w:rPr>
          </w:pPr>
          <w:hyperlink w:anchor="_Toc232150582" w:history="1">
            <w:r w:rsidRPr="00EA7105">
              <w:rPr>
                <w:rStyle w:val="Hyperlink"/>
                <w:noProof/>
              </w:rPr>
              <w:t>11. Recommendations</w:t>
            </w:r>
            <w:r>
              <w:rPr>
                <w:noProof/>
              </w:rPr>
              <w:tab/>
            </w:r>
            <w:r>
              <w:rPr>
                <w:noProof/>
              </w:rPr>
              <w:fldChar w:fldCharType="begin"/>
            </w:r>
            <w:r>
              <w:rPr>
                <w:noProof/>
              </w:rPr>
              <w:instrText xml:space="preserve"> PAGEREF _Toc232150582 \h </w:instrText>
            </w:r>
            <w:r>
              <w:rPr>
                <w:noProof/>
              </w:rPr>
            </w:r>
            <w:r>
              <w:rPr>
                <w:noProof/>
              </w:rPr>
              <w:fldChar w:fldCharType="separate"/>
            </w:r>
            <w:r>
              <w:rPr>
                <w:noProof/>
              </w:rPr>
              <w:t>1</w:t>
            </w:r>
            <w:r>
              <w:rPr>
                <w:noProof/>
              </w:rPr>
              <w:fldChar w:fldCharType="end"/>
            </w:r>
          </w:hyperlink>
        </w:p>
        <w:p w14:paraId="30347724" w14:textId="77777777" w:rsidR="0059590D" w:rsidRDefault="0059590D">
          <w:pPr>
            <w:pStyle w:val="TOC2"/>
            <w:tabs>
              <w:tab w:val="right" w:leader="dot" w:pos="10070"/>
            </w:tabs>
            <w:rPr>
              <w:noProof/>
            </w:rPr>
          </w:pPr>
          <w:hyperlink w:anchor="_Toc232150583" w:history="1">
            <w:r w:rsidRPr="00EA7105">
              <w:rPr>
                <w:rStyle w:val="Hyperlink"/>
                <w:noProof/>
              </w:rPr>
              <w:t>11.1 For Individual Investors</w:t>
            </w:r>
            <w:r>
              <w:rPr>
                <w:noProof/>
              </w:rPr>
              <w:tab/>
            </w:r>
            <w:r>
              <w:rPr>
                <w:noProof/>
              </w:rPr>
              <w:fldChar w:fldCharType="begin"/>
            </w:r>
            <w:r>
              <w:rPr>
                <w:noProof/>
              </w:rPr>
              <w:instrText xml:space="preserve"> PAGEREF _Toc232150583 \h </w:instrText>
            </w:r>
            <w:r>
              <w:rPr>
                <w:noProof/>
              </w:rPr>
            </w:r>
            <w:r>
              <w:rPr>
                <w:noProof/>
              </w:rPr>
              <w:fldChar w:fldCharType="separate"/>
            </w:r>
            <w:r>
              <w:rPr>
                <w:noProof/>
              </w:rPr>
              <w:t>1</w:t>
            </w:r>
            <w:r>
              <w:rPr>
                <w:noProof/>
              </w:rPr>
              <w:fldChar w:fldCharType="end"/>
            </w:r>
          </w:hyperlink>
        </w:p>
        <w:p w14:paraId="67CB672F" w14:textId="77777777" w:rsidR="0059590D" w:rsidRDefault="0059590D">
          <w:pPr>
            <w:pStyle w:val="TOC2"/>
            <w:tabs>
              <w:tab w:val="right" w:leader="dot" w:pos="10070"/>
            </w:tabs>
            <w:rPr>
              <w:noProof/>
            </w:rPr>
          </w:pPr>
          <w:hyperlink w:anchor="_Toc232150584" w:history="1">
            <w:r w:rsidRPr="00EA7105">
              <w:rPr>
                <w:rStyle w:val="Hyperlink"/>
                <w:noProof/>
              </w:rPr>
              <w:t>11.2 For Fund Managers &amp; AMCs</w:t>
            </w:r>
            <w:r>
              <w:rPr>
                <w:noProof/>
              </w:rPr>
              <w:tab/>
            </w:r>
            <w:r>
              <w:rPr>
                <w:noProof/>
              </w:rPr>
              <w:fldChar w:fldCharType="begin"/>
            </w:r>
            <w:r>
              <w:rPr>
                <w:noProof/>
              </w:rPr>
              <w:instrText xml:space="preserve"> PAGEREF _Toc232150584 \h </w:instrText>
            </w:r>
            <w:r>
              <w:rPr>
                <w:noProof/>
              </w:rPr>
            </w:r>
            <w:r>
              <w:rPr>
                <w:noProof/>
              </w:rPr>
              <w:fldChar w:fldCharType="separate"/>
            </w:r>
            <w:r>
              <w:rPr>
                <w:noProof/>
              </w:rPr>
              <w:t>1</w:t>
            </w:r>
            <w:r>
              <w:rPr>
                <w:noProof/>
              </w:rPr>
              <w:fldChar w:fldCharType="end"/>
            </w:r>
          </w:hyperlink>
        </w:p>
        <w:p w14:paraId="01425E61" w14:textId="77777777" w:rsidR="0059590D" w:rsidRDefault="0059590D">
          <w:pPr>
            <w:pStyle w:val="TOC2"/>
            <w:tabs>
              <w:tab w:val="right" w:leader="dot" w:pos="10070"/>
            </w:tabs>
            <w:rPr>
              <w:noProof/>
            </w:rPr>
          </w:pPr>
          <w:hyperlink w:anchor="_Toc232150585" w:history="1">
            <w:r w:rsidRPr="00EA7105">
              <w:rPr>
                <w:rStyle w:val="Hyperlink"/>
                <w:noProof/>
              </w:rPr>
              <w:t>11.3 For Future Technical Enhancements</w:t>
            </w:r>
            <w:r>
              <w:rPr>
                <w:noProof/>
              </w:rPr>
              <w:tab/>
            </w:r>
            <w:r>
              <w:rPr>
                <w:noProof/>
              </w:rPr>
              <w:fldChar w:fldCharType="begin"/>
            </w:r>
            <w:r>
              <w:rPr>
                <w:noProof/>
              </w:rPr>
              <w:instrText xml:space="preserve"> PAGEREF _Toc232150585 \h </w:instrText>
            </w:r>
            <w:r>
              <w:rPr>
                <w:noProof/>
              </w:rPr>
            </w:r>
            <w:r>
              <w:rPr>
                <w:noProof/>
              </w:rPr>
              <w:fldChar w:fldCharType="separate"/>
            </w:r>
            <w:r>
              <w:rPr>
                <w:noProof/>
              </w:rPr>
              <w:t>1</w:t>
            </w:r>
            <w:r>
              <w:rPr>
                <w:noProof/>
              </w:rPr>
              <w:fldChar w:fldCharType="end"/>
            </w:r>
          </w:hyperlink>
        </w:p>
        <w:p w14:paraId="6A2B5CB8" w14:textId="77777777" w:rsidR="0059590D" w:rsidRDefault="0059590D">
          <w:pPr>
            <w:pStyle w:val="TOC1"/>
            <w:tabs>
              <w:tab w:val="right" w:leader="dot" w:pos="10070"/>
            </w:tabs>
            <w:rPr>
              <w:noProof/>
            </w:rPr>
          </w:pPr>
          <w:hyperlink w:anchor="_Toc232150586" w:history="1">
            <w:r w:rsidRPr="00EA7105">
              <w:rPr>
                <w:rStyle w:val="Hyperlink"/>
                <w:noProof/>
              </w:rPr>
              <w:t>12. Conclusion</w:t>
            </w:r>
            <w:r>
              <w:rPr>
                <w:noProof/>
              </w:rPr>
              <w:tab/>
            </w:r>
            <w:r>
              <w:rPr>
                <w:noProof/>
              </w:rPr>
              <w:fldChar w:fldCharType="begin"/>
            </w:r>
            <w:r>
              <w:rPr>
                <w:noProof/>
              </w:rPr>
              <w:instrText xml:space="preserve"> PAGEREF _Toc232150586 \h </w:instrText>
            </w:r>
            <w:r>
              <w:rPr>
                <w:noProof/>
              </w:rPr>
            </w:r>
            <w:r>
              <w:rPr>
                <w:noProof/>
              </w:rPr>
              <w:fldChar w:fldCharType="separate"/>
            </w:r>
            <w:r>
              <w:rPr>
                <w:noProof/>
              </w:rPr>
              <w:t>1</w:t>
            </w:r>
            <w:r>
              <w:rPr>
                <w:noProof/>
              </w:rPr>
              <w:fldChar w:fldCharType="end"/>
            </w:r>
          </w:hyperlink>
        </w:p>
        <w:p w14:paraId="1C90E281" w14:textId="77777777" w:rsidR="0059590D" w:rsidRDefault="0059590D">
          <w:pPr>
            <w:pStyle w:val="TOC1"/>
            <w:tabs>
              <w:tab w:val="right" w:leader="dot" w:pos="10070"/>
            </w:tabs>
            <w:rPr>
              <w:noProof/>
            </w:rPr>
          </w:pPr>
          <w:hyperlink w:anchor="_Toc232150587" w:history="1">
            <w:r w:rsidRPr="00EA7105">
              <w:rPr>
                <w:rStyle w:val="Hyperlink"/>
                <w:noProof/>
              </w:rPr>
              <w:t>References &amp; Bibliography</w:t>
            </w:r>
            <w:r>
              <w:rPr>
                <w:noProof/>
              </w:rPr>
              <w:tab/>
            </w:r>
            <w:r>
              <w:rPr>
                <w:noProof/>
              </w:rPr>
              <w:fldChar w:fldCharType="begin"/>
            </w:r>
            <w:r>
              <w:rPr>
                <w:noProof/>
              </w:rPr>
              <w:instrText xml:space="preserve"> PAGEREF _Toc232150587 \h </w:instrText>
            </w:r>
            <w:r>
              <w:rPr>
                <w:noProof/>
              </w:rPr>
            </w:r>
            <w:r>
              <w:rPr>
                <w:noProof/>
              </w:rPr>
              <w:fldChar w:fldCharType="separate"/>
            </w:r>
            <w:r>
              <w:rPr>
                <w:noProof/>
              </w:rPr>
              <w:t>1</w:t>
            </w:r>
            <w:r>
              <w:rPr>
                <w:noProof/>
              </w:rPr>
              <w:fldChar w:fldCharType="end"/>
            </w:r>
          </w:hyperlink>
        </w:p>
        <w:p w14:paraId="7D4E1DC4" w14:textId="77777777" w:rsidR="0059590D" w:rsidRDefault="0059590D">
          <w:pPr>
            <w:pStyle w:val="TOC2"/>
            <w:tabs>
              <w:tab w:val="right" w:leader="dot" w:pos="10070"/>
            </w:tabs>
            <w:rPr>
              <w:noProof/>
            </w:rPr>
          </w:pPr>
          <w:hyperlink w:anchor="_Toc232150588" w:history="1">
            <w:r w:rsidRPr="00EA7105">
              <w:rPr>
                <w:rStyle w:val="Hyperlink"/>
                <w:noProof/>
              </w:rPr>
              <w:t>Industry Sources</w:t>
            </w:r>
            <w:r>
              <w:rPr>
                <w:noProof/>
              </w:rPr>
              <w:tab/>
            </w:r>
            <w:r>
              <w:rPr>
                <w:noProof/>
              </w:rPr>
              <w:fldChar w:fldCharType="begin"/>
            </w:r>
            <w:r>
              <w:rPr>
                <w:noProof/>
              </w:rPr>
              <w:instrText xml:space="preserve"> PAGEREF _Toc232150588 \h </w:instrText>
            </w:r>
            <w:r>
              <w:rPr>
                <w:noProof/>
              </w:rPr>
            </w:r>
            <w:r>
              <w:rPr>
                <w:noProof/>
              </w:rPr>
              <w:fldChar w:fldCharType="separate"/>
            </w:r>
            <w:r>
              <w:rPr>
                <w:noProof/>
              </w:rPr>
              <w:t>1</w:t>
            </w:r>
            <w:r>
              <w:rPr>
                <w:noProof/>
              </w:rPr>
              <w:fldChar w:fldCharType="end"/>
            </w:r>
          </w:hyperlink>
        </w:p>
        <w:p w14:paraId="38D8DD2B" w14:textId="77777777" w:rsidR="0059590D" w:rsidRDefault="0059590D">
          <w:pPr>
            <w:pStyle w:val="TOC2"/>
            <w:tabs>
              <w:tab w:val="right" w:leader="dot" w:pos="10070"/>
            </w:tabs>
            <w:rPr>
              <w:noProof/>
            </w:rPr>
          </w:pPr>
          <w:hyperlink w:anchor="_Toc232150589" w:history="1">
            <w:r w:rsidRPr="00EA7105">
              <w:rPr>
                <w:rStyle w:val="Hyperlink"/>
                <w:noProof/>
              </w:rPr>
              <w:t>Technical Documentation</w:t>
            </w:r>
            <w:r>
              <w:rPr>
                <w:noProof/>
              </w:rPr>
              <w:tab/>
            </w:r>
            <w:r>
              <w:rPr>
                <w:noProof/>
              </w:rPr>
              <w:fldChar w:fldCharType="begin"/>
            </w:r>
            <w:r>
              <w:rPr>
                <w:noProof/>
              </w:rPr>
              <w:instrText xml:space="preserve"> PAGEREF _Toc232150589 \h </w:instrText>
            </w:r>
            <w:r>
              <w:rPr>
                <w:noProof/>
              </w:rPr>
            </w:r>
            <w:r>
              <w:rPr>
                <w:noProof/>
              </w:rPr>
              <w:fldChar w:fldCharType="separate"/>
            </w:r>
            <w:r>
              <w:rPr>
                <w:noProof/>
              </w:rPr>
              <w:t>1</w:t>
            </w:r>
            <w:r>
              <w:rPr>
                <w:noProof/>
              </w:rPr>
              <w:fldChar w:fldCharType="end"/>
            </w:r>
          </w:hyperlink>
        </w:p>
        <w:p w14:paraId="72A982ED" w14:textId="77777777" w:rsidR="0059590D" w:rsidRDefault="0059590D">
          <w:pPr>
            <w:pStyle w:val="TOC2"/>
            <w:tabs>
              <w:tab w:val="right" w:leader="dot" w:pos="10070"/>
            </w:tabs>
            <w:rPr>
              <w:noProof/>
            </w:rPr>
          </w:pPr>
          <w:hyperlink w:anchor="_Toc232150590" w:history="1">
            <w:r w:rsidRPr="00EA7105">
              <w:rPr>
                <w:rStyle w:val="Hyperlink"/>
                <w:noProof/>
              </w:rPr>
              <w:t>Academic References</w:t>
            </w:r>
            <w:r>
              <w:rPr>
                <w:noProof/>
              </w:rPr>
              <w:tab/>
            </w:r>
            <w:r>
              <w:rPr>
                <w:noProof/>
              </w:rPr>
              <w:fldChar w:fldCharType="begin"/>
            </w:r>
            <w:r>
              <w:rPr>
                <w:noProof/>
              </w:rPr>
              <w:instrText xml:space="preserve"> PAGEREF _Toc232150590 \h </w:instrText>
            </w:r>
            <w:r>
              <w:rPr>
                <w:noProof/>
              </w:rPr>
            </w:r>
            <w:r>
              <w:rPr>
                <w:noProof/>
              </w:rPr>
              <w:fldChar w:fldCharType="separate"/>
            </w:r>
            <w:r>
              <w:rPr>
                <w:noProof/>
              </w:rPr>
              <w:t>1</w:t>
            </w:r>
            <w:r>
              <w:rPr>
                <w:noProof/>
              </w:rPr>
              <w:fldChar w:fldCharType="end"/>
            </w:r>
          </w:hyperlink>
        </w:p>
        <w:p w14:paraId="6C10A2CD" w14:textId="77777777" w:rsidR="00C337B8" w:rsidRDefault="00000000">
          <w:r>
            <w:fldChar w:fldCharType="end"/>
          </w:r>
        </w:p>
      </w:sdtContent>
    </w:sdt>
    <w:p w14:paraId="5542711B" w14:textId="77777777" w:rsidR="00C337B8" w:rsidRDefault="00000000">
      <w:r>
        <w:br w:type="page"/>
      </w:r>
    </w:p>
    <w:p w14:paraId="70FA0288" w14:textId="77777777" w:rsidR="00C337B8" w:rsidRDefault="00000000">
      <w:pPr>
        <w:pStyle w:val="Heading1"/>
        <w:pBdr>
          <w:bottom w:val="single" w:sz="12" w:space="2" w:color="0D9488"/>
        </w:pBdr>
      </w:pPr>
      <w:bookmarkStart w:id="1" w:name="_Toc232150545"/>
      <w:r>
        <w:lastRenderedPageBreak/>
        <w:t>1. Executive Summary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7B8" w14:paraId="2C62502F" w14:textId="77777777">
        <w:tblPrEx>
          <w:tblCellMar>
            <w:top w:w="0" w:type="dxa"/>
            <w:bottom w:w="0" w:type="dxa"/>
          </w:tblCellMar>
        </w:tblPrEx>
        <w:tc>
          <w:tcPr>
            <w:tcW w:w="9360" w:type="dxa"/>
            <w:tcBorders>
              <w:top w:val="single" w:sz="2" w:space="0" w:color="0D9488"/>
              <w:left w:val="single" w:sz="24" w:space="0" w:color="0D9488"/>
              <w:bottom w:val="single" w:sz="2" w:space="0" w:color="0D9488"/>
              <w:right w:val="single" w:sz="2" w:space="0" w:color="0D9488"/>
            </w:tcBorders>
            <w:shd w:val="clear" w:color="auto" w:fill="F0FDFA"/>
            <w:tcMar>
              <w:top w:w="100" w:type="dxa"/>
              <w:left w:w="200" w:type="dxa"/>
              <w:bottom w:w="100" w:type="dxa"/>
              <w:right w:w="140" w:type="dxa"/>
            </w:tcMar>
          </w:tcPr>
          <w:p w14:paraId="4240008F" w14:textId="77777777" w:rsidR="00C337B8" w:rsidRDefault="00000000">
            <w:r>
              <w:rPr>
                <w:i/>
                <w:iCs/>
                <w:color w:val="0F766E"/>
              </w:rPr>
              <w:t>This capstone delivers a production-grade Mutual Fund Analytics platform that integrates 10 structured datasets into a centralized star-schema database, computes 8+ financial risk metrics, and surfaces all insights through a 4-page interactive Power BI dashboard — providing institutional-grade intelligence to investors, fund managers, and analysts.</w:t>
            </w:r>
          </w:p>
        </w:tc>
      </w:tr>
    </w:tbl>
    <w:p w14:paraId="52AAD392" w14:textId="77777777" w:rsidR="00C337B8" w:rsidRDefault="00C337B8">
      <w:pPr>
        <w:spacing w:after="60"/>
      </w:pPr>
    </w:p>
    <w:p w14:paraId="7E83603A" w14:textId="77777777" w:rsidR="00C337B8" w:rsidRDefault="00000000">
      <w:pPr>
        <w:spacing w:after="100" w:line="276" w:lineRule="auto"/>
      </w:pPr>
      <w:r>
        <w:rPr>
          <w:color w:val="1E293B"/>
        </w:rPr>
        <w:t>The Indian mutual fund industry underwent a period of structural transformation between 2022 and 2026, characterized by a massive surge in retail participation, the institutionalization of Systematic Investment Plans (SIPs), and unprecedented growth in industry-wide Assets Under Management (AUM). Total industry AUM crossed ₹391.76 Lakh Crore, industry folios reached 26.12 Crore, and monthly SIP inflows averaged ₹31,000 Crore — collectively representing the deepest retail penetration of capital markets in India's financial history.</w:t>
      </w:r>
    </w:p>
    <w:p w14:paraId="110F8942" w14:textId="77777777" w:rsidR="00C337B8" w:rsidRDefault="00000000">
      <w:pPr>
        <w:spacing w:after="100" w:line="276" w:lineRule="auto"/>
      </w:pPr>
      <w:r>
        <w:rPr>
          <w:color w:val="1E293B"/>
        </w:rPr>
        <w:t xml:space="preserve">Against this backdrop of rapid growth and increasing data complexity, this project addresses a fundamental gap: the absence of an integrated, rigorous analytics framework that connects fund performance, risk-adjusted returns, investor behavioral patterns, and market benchmark comparisons in a single, </w:t>
      </w:r>
      <w:proofErr w:type="spellStart"/>
      <w:r>
        <w:rPr>
          <w:color w:val="1E293B"/>
        </w:rPr>
        <w:t>queryable</w:t>
      </w:r>
      <w:proofErr w:type="spellEnd"/>
      <w:r>
        <w:rPr>
          <w:color w:val="1E293B"/>
        </w:rPr>
        <w:t xml:space="preserve"> system. The solution spans the full analytics lifecycle — from raw CSV ingestion and multi-layer data cleaning, through a star-schema SQLite database, to advanced quantitative metrics and a fully interactive Power BI reporting layer.</w:t>
      </w:r>
    </w:p>
    <w:p w14:paraId="1C1169F1" w14:textId="77777777" w:rsidR="00C337B8" w:rsidRDefault="00000000">
      <w:pPr>
        <w:spacing w:after="100" w:line="276" w:lineRule="auto"/>
      </w:pPr>
      <w:r>
        <w:rPr>
          <w:color w:val="1E293B"/>
        </w:rPr>
        <w:t xml:space="preserve">The platform was built using Python (Pandas, NumPy, </w:t>
      </w:r>
      <w:proofErr w:type="spellStart"/>
      <w:r>
        <w:rPr>
          <w:color w:val="1E293B"/>
        </w:rPr>
        <w:t>SQLAlchemy</w:t>
      </w:r>
      <w:proofErr w:type="spellEnd"/>
      <w:r>
        <w:rPr>
          <w:color w:val="1E293B"/>
        </w:rPr>
        <w:t>), SQLite for analytical storage, Plotly and Seaborn for visualization, and Power BI for business intelligence deployment. Ten distinct datasets covering 40 fund schemes across the 2022–2026 period were integrated. Advanced financial metrics including CAGR, Sharpe Ratio, Sortino Ratio, Alpha, Beta, Maximum Drawdown, Value at Risk (</w:t>
      </w:r>
      <w:proofErr w:type="spellStart"/>
      <w:r>
        <w:rPr>
          <w:color w:val="1E293B"/>
        </w:rPr>
        <w:t>VaR</w:t>
      </w:r>
      <w:proofErr w:type="spellEnd"/>
      <w:r>
        <w:rPr>
          <w:color w:val="1E293B"/>
        </w:rPr>
        <w:t xml:space="preserve">), and Conditional </w:t>
      </w:r>
      <w:proofErr w:type="spellStart"/>
      <w:r>
        <w:rPr>
          <w:color w:val="1E293B"/>
        </w:rPr>
        <w:t>VaR</w:t>
      </w:r>
      <w:proofErr w:type="spellEnd"/>
      <w:r>
        <w:rPr>
          <w:color w:val="1E293B"/>
        </w:rPr>
        <w:t xml:space="preserve"> (CVaR) were computed. Investor behavior was analyzed through cohort segmentation, SIP continuity modeling, and regional geographic mapping.</w:t>
      </w:r>
    </w:p>
    <w:p w14:paraId="631A0888"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C337B8" w14:paraId="0C9D5CFD" w14:textId="77777777">
        <w:tblPrEx>
          <w:tblCellMar>
            <w:top w:w="0" w:type="dxa"/>
            <w:bottom w:w="0" w:type="dxa"/>
          </w:tblCellMar>
        </w:tblPrEx>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78C63C45" w14:textId="77777777" w:rsidR="00C337B8" w:rsidRDefault="00000000">
            <w:pPr>
              <w:jc w:val="center"/>
            </w:pPr>
            <w:r>
              <w:rPr>
                <w:b/>
                <w:bCs/>
                <w:color w:val="FFFFFF"/>
                <w:sz w:val="20"/>
                <w:szCs w:val="20"/>
              </w:rPr>
              <w:t>Total AUM</w:t>
            </w:r>
          </w:p>
        </w:tc>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68030E5D" w14:textId="77777777" w:rsidR="00C337B8" w:rsidRDefault="00000000">
            <w:pPr>
              <w:jc w:val="center"/>
            </w:pPr>
            <w:r>
              <w:rPr>
                <w:b/>
                <w:bCs/>
                <w:color w:val="FFFFFF"/>
                <w:sz w:val="20"/>
                <w:szCs w:val="20"/>
              </w:rPr>
              <w:t>Industry Folios</w:t>
            </w:r>
          </w:p>
        </w:tc>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584AE3D2" w14:textId="77777777" w:rsidR="00C337B8" w:rsidRDefault="00000000">
            <w:pPr>
              <w:jc w:val="center"/>
            </w:pPr>
            <w:r>
              <w:rPr>
                <w:b/>
                <w:bCs/>
                <w:color w:val="FFFFFF"/>
                <w:sz w:val="20"/>
                <w:szCs w:val="20"/>
              </w:rPr>
              <w:t>Avg Monthly SIP</w:t>
            </w:r>
          </w:p>
        </w:tc>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4C12C78E" w14:textId="77777777" w:rsidR="00C337B8" w:rsidRDefault="00000000">
            <w:pPr>
              <w:jc w:val="center"/>
            </w:pPr>
            <w:r>
              <w:rPr>
                <w:b/>
                <w:bCs/>
                <w:color w:val="FFFFFF"/>
                <w:sz w:val="20"/>
                <w:szCs w:val="20"/>
              </w:rPr>
              <w:t>Fund Schemes</w:t>
            </w:r>
          </w:p>
        </w:tc>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077E6B61" w14:textId="77777777" w:rsidR="00C337B8" w:rsidRDefault="00000000">
            <w:pPr>
              <w:jc w:val="center"/>
            </w:pPr>
            <w:r>
              <w:rPr>
                <w:b/>
                <w:bCs/>
                <w:color w:val="FFFFFF"/>
                <w:sz w:val="20"/>
                <w:szCs w:val="20"/>
              </w:rPr>
              <w:t>Risk Metrics</w:t>
            </w:r>
          </w:p>
        </w:tc>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17EA2515" w14:textId="77777777" w:rsidR="00C337B8" w:rsidRDefault="00000000">
            <w:pPr>
              <w:jc w:val="center"/>
            </w:pPr>
            <w:r>
              <w:rPr>
                <w:b/>
                <w:bCs/>
                <w:color w:val="FFFFFF"/>
                <w:sz w:val="20"/>
                <w:szCs w:val="20"/>
              </w:rPr>
              <w:t>Dashboard Pages</w:t>
            </w:r>
          </w:p>
        </w:tc>
      </w:tr>
      <w:tr w:rsidR="00C337B8" w14:paraId="30A3CF3E"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0C051EE5" w14:textId="77777777" w:rsidR="00C337B8" w:rsidRDefault="00000000">
            <w:pPr>
              <w:jc w:val="center"/>
            </w:pPr>
            <w:r>
              <w:rPr>
                <w:b/>
                <w:bCs/>
                <w:color w:val="0D9488"/>
                <w:sz w:val="24"/>
                <w:szCs w:val="24"/>
              </w:rPr>
              <w:t>₹391.76 L Cr</w:t>
            </w:r>
          </w:p>
        </w:tc>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3B7EE785" w14:textId="77777777" w:rsidR="00C337B8" w:rsidRDefault="00000000">
            <w:pPr>
              <w:jc w:val="center"/>
            </w:pPr>
            <w:r>
              <w:rPr>
                <w:b/>
                <w:bCs/>
                <w:color w:val="0D9488"/>
                <w:sz w:val="24"/>
                <w:szCs w:val="24"/>
              </w:rPr>
              <w:t>26.12 Crore</w:t>
            </w:r>
          </w:p>
        </w:tc>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0E84B93A" w14:textId="77777777" w:rsidR="00C337B8" w:rsidRDefault="00000000">
            <w:pPr>
              <w:jc w:val="center"/>
            </w:pPr>
            <w:r>
              <w:rPr>
                <w:b/>
                <w:bCs/>
                <w:color w:val="0D9488"/>
                <w:sz w:val="24"/>
                <w:szCs w:val="24"/>
              </w:rPr>
              <w:t>₹31K Crore</w:t>
            </w:r>
          </w:p>
        </w:tc>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14C2ACBB" w14:textId="77777777" w:rsidR="00C337B8" w:rsidRDefault="00000000">
            <w:pPr>
              <w:jc w:val="center"/>
            </w:pPr>
            <w:r>
              <w:rPr>
                <w:b/>
                <w:bCs/>
                <w:color w:val="0D9488"/>
                <w:sz w:val="24"/>
                <w:szCs w:val="24"/>
              </w:rPr>
              <w:t>40</w:t>
            </w:r>
          </w:p>
        </w:tc>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0B69406D" w14:textId="77777777" w:rsidR="00C337B8" w:rsidRDefault="00000000">
            <w:pPr>
              <w:jc w:val="center"/>
            </w:pPr>
            <w:r>
              <w:rPr>
                <w:b/>
                <w:bCs/>
                <w:color w:val="0D9488"/>
                <w:sz w:val="24"/>
                <w:szCs w:val="24"/>
              </w:rPr>
              <w:t>8+</w:t>
            </w:r>
          </w:p>
        </w:tc>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5FD95BCE" w14:textId="77777777" w:rsidR="00C337B8" w:rsidRDefault="00000000">
            <w:pPr>
              <w:jc w:val="center"/>
            </w:pPr>
            <w:r>
              <w:rPr>
                <w:b/>
                <w:bCs/>
                <w:color w:val="0D9488"/>
                <w:sz w:val="24"/>
                <w:szCs w:val="24"/>
              </w:rPr>
              <w:t>4</w:t>
            </w:r>
          </w:p>
        </w:tc>
      </w:tr>
    </w:tbl>
    <w:p w14:paraId="17525C76" w14:textId="77777777" w:rsidR="00C337B8" w:rsidRDefault="00000000">
      <w:r>
        <w:br w:type="page"/>
      </w:r>
    </w:p>
    <w:p w14:paraId="4DB1D3AA" w14:textId="77777777" w:rsidR="00C337B8" w:rsidRDefault="00000000">
      <w:pPr>
        <w:pStyle w:val="Heading1"/>
        <w:pBdr>
          <w:bottom w:val="single" w:sz="12" w:space="2" w:color="0D9488"/>
        </w:pBdr>
      </w:pPr>
      <w:bookmarkStart w:id="2" w:name="_Toc232150546"/>
      <w:r>
        <w:lastRenderedPageBreak/>
        <w:t>2. Project Introduction &amp; Objectives</w:t>
      </w:r>
      <w:bookmarkEnd w:id="2"/>
    </w:p>
    <w:p w14:paraId="3A11EE76" w14:textId="77777777" w:rsidR="00C337B8" w:rsidRDefault="00000000">
      <w:pPr>
        <w:pStyle w:val="Heading2"/>
      </w:pPr>
      <w:bookmarkStart w:id="3" w:name="_Toc232150547"/>
      <w:r>
        <w:t>2.1 Problem Statement</w:t>
      </w:r>
      <w:bookmarkEnd w:id="3"/>
    </w:p>
    <w:p w14:paraId="5CF5E634" w14:textId="77777777" w:rsidR="00C337B8" w:rsidRDefault="00000000">
      <w:pPr>
        <w:spacing w:after="100" w:line="276" w:lineRule="auto"/>
      </w:pPr>
      <w:r>
        <w:rPr>
          <w:color w:val="1E293B"/>
        </w:rPr>
        <w:t>The sheer volume and complexity of data generated by the mutual fund industry — spanning historical fund performance, granular investor transactions, portfolio sector allocations, and macroeconomic benchmark indices — presents a significant barrier to actionable business intelligence. Existing reporting systems are typically siloed: fund performance tools operate independently of investor behavior data, and neither system incorporates structured risk analytics. The result is a fragmented landscape where fund comparisons rely on raw CAGR figures rather than risk-adjusted metrics, and investor behavior insights remain unexploited.</w:t>
      </w:r>
    </w:p>
    <w:p w14:paraId="608D41B7" w14:textId="77777777" w:rsidR="00C337B8" w:rsidRDefault="00000000">
      <w:pPr>
        <w:spacing w:after="100" w:line="276" w:lineRule="auto"/>
      </w:pPr>
      <w:r>
        <w:rPr>
          <w:color w:val="1E293B"/>
        </w:rPr>
        <w:t xml:space="preserve">This project addresses the need for a unified analytics ecosystem that bridges the gap between raw transactional data and strategic decision-making. Specifically, it resolves three key problems: (1) the lack of a centralized, </w:t>
      </w:r>
      <w:proofErr w:type="spellStart"/>
      <w:r>
        <w:rPr>
          <w:color w:val="1E293B"/>
        </w:rPr>
        <w:t>queryable</w:t>
      </w:r>
      <w:proofErr w:type="spellEnd"/>
      <w:r>
        <w:rPr>
          <w:color w:val="1E293B"/>
        </w:rPr>
        <w:t xml:space="preserve"> data store integrating all relevant mutual fund dimensions; (2) the absence of standardized, reproducible computation of financial risk metrics across all schemes; and (3) the unavailability of interactive, self-service dashboards that allow non-technical stakeholders to explore data without SQL or Python expertise.</w:t>
      </w:r>
    </w:p>
    <w:p w14:paraId="261EE7BE" w14:textId="77777777" w:rsidR="00C337B8" w:rsidRDefault="00C337B8">
      <w:pPr>
        <w:spacing w:after="60"/>
      </w:pPr>
    </w:p>
    <w:p w14:paraId="0AAD2AD6" w14:textId="77777777" w:rsidR="00C337B8" w:rsidRDefault="00000000">
      <w:pPr>
        <w:pStyle w:val="Heading2"/>
      </w:pPr>
      <w:bookmarkStart w:id="4" w:name="_Toc232150548"/>
      <w:r>
        <w:t>2.2 Primary Objectives</w:t>
      </w:r>
      <w:bookmarkEnd w:id="4"/>
    </w:p>
    <w:p w14:paraId="3050F9CF" w14:textId="77777777" w:rsidR="00C337B8" w:rsidRDefault="00000000">
      <w:pPr>
        <w:spacing w:after="100" w:line="276" w:lineRule="auto"/>
      </w:pPr>
      <w:r>
        <w:rPr>
          <w:color w:val="1E293B"/>
        </w:rPr>
        <w:t>The project was scoped around seven strategic pillars, all of which were successfully delivered:</w:t>
      </w:r>
    </w:p>
    <w:p w14:paraId="2D8C382B" w14:textId="77777777" w:rsidR="00C337B8" w:rsidRDefault="00000000">
      <w:pPr>
        <w:pStyle w:val="ListParagraph"/>
        <w:numPr>
          <w:ilvl w:val="0"/>
          <w:numId w:val="2"/>
        </w:numPr>
      </w:pPr>
      <w:r>
        <w:rPr>
          <w:color w:val="1E293B"/>
        </w:rPr>
        <w:t>Clean and validate raw mutual fund datasets to ensure 100% data integrity for financial reporting — covering date standardization, missing value treatment, duplicate removal, and KYC validation.</w:t>
      </w:r>
    </w:p>
    <w:p w14:paraId="77538569" w14:textId="77777777" w:rsidR="00C337B8" w:rsidRDefault="00000000">
      <w:pPr>
        <w:pStyle w:val="ListParagraph"/>
        <w:numPr>
          <w:ilvl w:val="0"/>
          <w:numId w:val="2"/>
        </w:numPr>
      </w:pPr>
      <w:r>
        <w:rPr>
          <w:color w:val="1E293B"/>
        </w:rPr>
        <w:t>Design and build a centralized analytical database using an optimized SQLite star-schema with dimension and fact tables for efficient analytical querying.</w:t>
      </w:r>
    </w:p>
    <w:p w14:paraId="5A320B66" w14:textId="77777777" w:rsidR="00C337B8" w:rsidRDefault="00000000">
      <w:pPr>
        <w:pStyle w:val="ListParagraph"/>
        <w:numPr>
          <w:ilvl w:val="0"/>
          <w:numId w:val="2"/>
        </w:numPr>
      </w:pPr>
      <w:r>
        <w:rPr>
          <w:color w:val="1E293B"/>
        </w:rPr>
        <w:t>Perform multi-dimensional Exploratory Data Analysis (EDA) to identify industry-wide growth patterns in NAV movement, AUM, SIP inflows, folio growth, and category rotation.</w:t>
      </w:r>
    </w:p>
    <w:p w14:paraId="4CEC2471" w14:textId="77777777" w:rsidR="00C337B8" w:rsidRDefault="00000000">
      <w:pPr>
        <w:pStyle w:val="ListParagraph"/>
        <w:numPr>
          <w:ilvl w:val="0"/>
          <w:numId w:val="2"/>
        </w:numPr>
      </w:pPr>
      <w:r>
        <w:rPr>
          <w:color w:val="1E293B"/>
        </w:rPr>
        <w:t xml:space="preserve">Calculate eight core financial and risk-adjusted metrics — CAGR, Daily Returns, Sharpe Ratio, Sortino Ratio, Alpha, Beta, Maximum Drawdown, </w:t>
      </w:r>
      <w:proofErr w:type="spellStart"/>
      <w:r>
        <w:rPr>
          <w:color w:val="1E293B"/>
        </w:rPr>
        <w:t>VaR</w:t>
      </w:r>
      <w:proofErr w:type="spellEnd"/>
      <w:r>
        <w:rPr>
          <w:color w:val="1E293B"/>
        </w:rPr>
        <w:t>, and CVaR — across all 40 schemes.</w:t>
      </w:r>
    </w:p>
    <w:p w14:paraId="1A3EDB78" w14:textId="77777777" w:rsidR="00C337B8" w:rsidRDefault="00000000">
      <w:pPr>
        <w:pStyle w:val="ListParagraph"/>
        <w:numPr>
          <w:ilvl w:val="0"/>
          <w:numId w:val="2"/>
        </w:numPr>
      </w:pPr>
      <w:r>
        <w:rPr>
          <w:color w:val="1E293B"/>
        </w:rPr>
        <w:t>Analyze investor demographics and SIP continuity trends using cohort analysis, gap-based continuity scoring, and geographic mapping.</w:t>
      </w:r>
    </w:p>
    <w:p w14:paraId="78764AF4" w14:textId="77777777" w:rsidR="00C337B8" w:rsidRDefault="00000000">
      <w:pPr>
        <w:pStyle w:val="ListParagraph"/>
        <w:numPr>
          <w:ilvl w:val="0"/>
          <w:numId w:val="2"/>
        </w:numPr>
      </w:pPr>
      <w:r>
        <w:rPr>
          <w:color w:val="1E293B"/>
        </w:rPr>
        <w:t>Construct a four-page interactive Power BI dashboard with cross-filtering, drill-through navigation, and dynamic fund-level slicers for stakeholder self-service reporting.</w:t>
      </w:r>
    </w:p>
    <w:p w14:paraId="6D2673F7" w14:textId="77777777" w:rsidR="00C337B8" w:rsidRDefault="00000000">
      <w:pPr>
        <w:pStyle w:val="ListParagraph"/>
        <w:numPr>
          <w:ilvl w:val="0"/>
          <w:numId w:val="2"/>
        </w:numPr>
      </w:pPr>
      <w:r>
        <w:rPr>
          <w:color w:val="1E293B"/>
        </w:rPr>
        <w:t>Generate strategic, data-driven recommendations for investors, fund managers, and product teams based on quantitative findings.</w:t>
      </w:r>
    </w:p>
    <w:p w14:paraId="773BB859" w14:textId="77777777" w:rsidR="00C337B8" w:rsidRDefault="00C337B8">
      <w:pPr>
        <w:spacing w:after="60"/>
      </w:pPr>
    </w:p>
    <w:p w14:paraId="491C24A5" w14:textId="77777777" w:rsidR="00C337B8" w:rsidRDefault="00000000">
      <w:pPr>
        <w:pStyle w:val="Heading2"/>
      </w:pPr>
      <w:bookmarkStart w:id="5" w:name="_Toc232150549"/>
      <w:r>
        <w:t>2.3 Technology Stack</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337B8" w14:paraId="2D0CAF0B" w14:textId="77777777">
        <w:tblPrEx>
          <w:tblCellMar>
            <w:top w:w="0" w:type="dxa"/>
            <w:bottom w:w="0" w:type="dxa"/>
          </w:tblCellMar>
        </w:tblPrEx>
        <w:tc>
          <w:tcPr>
            <w:tcW w:w="200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57B6A096" w14:textId="77777777" w:rsidR="00C337B8" w:rsidRDefault="00000000">
            <w:pPr>
              <w:jc w:val="center"/>
            </w:pPr>
            <w:r>
              <w:rPr>
                <w:b/>
                <w:bCs/>
                <w:color w:val="FFFFFF"/>
                <w:sz w:val="20"/>
                <w:szCs w:val="20"/>
              </w:rPr>
              <w:t>Technology</w:t>
            </w:r>
          </w:p>
        </w:tc>
        <w:tc>
          <w:tcPr>
            <w:tcW w:w="368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143B81BF" w14:textId="77777777" w:rsidR="00C337B8" w:rsidRDefault="00000000">
            <w:pPr>
              <w:jc w:val="center"/>
            </w:pPr>
            <w:r>
              <w:rPr>
                <w:b/>
                <w:bCs/>
                <w:color w:val="FFFFFF"/>
                <w:sz w:val="20"/>
                <w:szCs w:val="20"/>
              </w:rPr>
              <w:t>Role in Project</w:t>
            </w:r>
          </w:p>
        </w:tc>
        <w:tc>
          <w:tcPr>
            <w:tcW w:w="368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49ED3B67" w14:textId="77777777" w:rsidR="00C337B8" w:rsidRDefault="00000000">
            <w:pPr>
              <w:jc w:val="center"/>
            </w:pPr>
            <w:r>
              <w:rPr>
                <w:b/>
                <w:bCs/>
                <w:color w:val="FFFFFF"/>
                <w:sz w:val="20"/>
                <w:szCs w:val="20"/>
              </w:rPr>
              <w:t>Application Area</w:t>
            </w:r>
          </w:p>
        </w:tc>
      </w:tr>
      <w:tr w:rsidR="00C337B8" w14:paraId="2FD1D032"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AA3FD8E" w14:textId="77777777" w:rsidR="00C337B8" w:rsidRDefault="00000000">
            <w:r>
              <w:rPr>
                <w:b/>
                <w:bCs/>
                <w:color w:val="0D1B2A"/>
              </w:rPr>
              <w:t>Python</w:t>
            </w:r>
          </w:p>
        </w:tc>
        <w:tc>
          <w:tcPr>
            <w:tcW w:w="36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0431224" w14:textId="77777777" w:rsidR="00C337B8" w:rsidRDefault="00000000">
            <w:r>
              <w:rPr>
                <w:color w:val="1E293B"/>
              </w:rPr>
              <w:t xml:space="preserve">Primary engine for all ETL automation, data validation, and quantitative financial modeling. Pandas </w:t>
            </w:r>
            <w:proofErr w:type="spellStart"/>
            <w:r>
              <w:rPr>
                <w:color w:val="1E293B"/>
              </w:rPr>
              <w:t>DataFrames</w:t>
            </w:r>
            <w:proofErr w:type="spellEnd"/>
            <w:r>
              <w:rPr>
                <w:color w:val="1E293B"/>
              </w:rPr>
              <w:t xml:space="preserve"> form the core data structure throughout the pipeline.</w:t>
            </w:r>
          </w:p>
        </w:tc>
        <w:tc>
          <w:tcPr>
            <w:tcW w:w="36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81BDBF4" w14:textId="77777777" w:rsidR="00C337B8" w:rsidRDefault="00000000">
            <w:r>
              <w:rPr>
                <w:color w:val="1E293B"/>
              </w:rPr>
              <w:t>Entire analytics pipeline from ingestion through metric computation.</w:t>
            </w:r>
          </w:p>
        </w:tc>
      </w:tr>
      <w:tr w:rsidR="00C337B8" w14:paraId="56D1ECCC"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F2CDC9E" w14:textId="77777777" w:rsidR="00C337B8" w:rsidRDefault="00000000">
            <w:r>
              <w:rPr>
                <w:b/>
                <w:bCs/>
                <w:color w:val="0D1B2A"/>
              </w:rPr>
              <w:lastRenderedPageBreak/>
              <w:t>Pandas &amp; NumPy</w:t>
            </w:r>
          </w:p>
        </w:tc>
        <w:tc>
          <w:tcPr>
            <w:tcW w:w="3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71853B2" w14:textId="77777777" w:rsidR="00C337B8" w:rsidRDefault="00000000">
            <w:r>
              <w:rPr>
                <w:color w:val="1E293B"/>
              </w:rPr>
              <w:t>Core libraries for vectorized data manipulation, time-series processing, statistical computation, and missing value treatment.</w:t>
            </w:r>
          </w:p>
        </w:tc>
        <w:tc>
          <w:tcPr>
            <w:tcW w:w="3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B4F9348" w14:textId="77777777" w:rsidR="00C337B8" w:rsidRDefault="00000000">
            <w:r>
              <w:rPr>
                <w:color w:val="1E293B"/>
              </w:rPr>
              <w:t>Data cleaning, NAV processing, metric calculation.</w:t>
            </w:r>
          </w:p>
        </w:tc>
      </w:tr>
      <w:tr w:rsidR="00C337B8" w14:paraId="5C68D82D"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E763E6D" w14:textId="77777777" w:rsidR="00C337B8" w:rsidRDefault="00000000">
            <w:r>
              <w:rPr>
                <w:b/>
                <w:bCs/>
                <w:color w:val="0D1B2A"/>
              </w:rPr>
              <w:t>SQLite</w:t>
            </w:r>
          </w:p>
        </w:tc>
        <w:tc>
          <w:tcPr>
            <w:tcW w:w="36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945C027" w14:textId="77777777" w:rsidR="00C337B8" w:rsidRDefault="00000000">
            <w:r>
              <w:rPr>
                <w:color w:val="1E293B"/>
              </w:rPr>
              <w:t>High-performance local relational database engine for structured analytical storage. Chosen for portability, zero-configuration deployment, and query performance on 26.12 crore records.</w:t>
            </w:r>
          </w:p>
        </w:tc>
        <w:tc>
          <w:tcPr>
            <w:tcW w:w="36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3E968DD" w14:textId="77777777" w:rsidR="00C337B8" w:rsidRDefault="00000000">
            <w:r>
              <w:rPr>
                <w:color w:val="1E293B"/>
              </w:rPr>
              <w:t xml:space="preserve">Star-schema database: </w:t>
            </w:r>
            <w:proofErr w:type="spellStart"/>
            <w:r>
              <w:rPr>
                <w:color w:val="1E293B"/>
              </w:rPr>
              <w:t>dim_fund</w:t>
            </w:r>
            <w:proofErr w:type="spellEnd"/>
            <w:r>
              <w:rPr>
                <w:color w:val="1E293B"/>
              </w:rPr>
              <w:t xml:space="preserve">, </w:t>
            </w:r>
            <w:proofErr w:type="spellStart"/>
            <w:r>
              <w:rPr>
                <w:color w:val="1E293B"/>
              </w:rPr>
              <w:t>dim_date</w:t>
            </w:r>
            <w:proofErr w:type="spellEnd"/>
            <w:r>
              <w:rPr>
                <w:color w:val="1E293B"/>
              </w:rPr>
              <w:t xml:space="preserve">, </w:t>
            </w:r>
            <w:proofErr w:type="spellStart"/>
            <w:r>
              <w:rPr>
                <w:color w:val="1E293B"/>
              </w:rPr>
              <w:t>fact_nav</w:t>
            </w:r>
            <w:proofErr w:type="spellEnd"/>
            <w:r>
              <w:rPr>
                <w:color w:val="1E293B"/>
              </w:rPr>
              <w:t xml:space="preserve">, </w:t>
            </w:r>
            <w:proofErr w:type="spellStart"/>
            <w:r>
              <w:rPr>
                <w:color w:val="1E293B"/>
              </w:rPr>
              <w:t>fact_transactions</w:t>
            </w:r>
            <w:proofErr w:type="spellEnd"/>
            <w:r>
              <w:rPr>
                <w:color w:val="1E293B"/>
              </w:rPr>
              <w:t>.</w:t>
            </w:r>
          </w:p>
        </w:tc>
      </w:tr>
      <w:tr w:rsidR="00C337B8" w14:paraId="1AD41659"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D3A13C9" w14:textId="77777777" w:rsidR="00C337B8" w:rsidRDefault="00000000">
            <w:proofErr w:type="spellStart"/>
            <w:r>
              <w:rPr>
                <w:b/>
                <w:bCs/>
                <w:color w:val="0D1B2A"/>
              </w:rPr>
              <w:t>SQLAlchemy</w:t>
            </w:r>
            <w:proofErr w:type="spellEnd"/>
          </w:p>
        </w:tc>
        <w:tc>
          <w:tcPr>
            <w:tcW w:w="3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815CCE6" w14:textId="77777777" w:rsidR="00C337B8" w:rsidRDefault="00000000">
            <w:r>
              <w:rPr>
                <w:color w:val="1E293B"/>
              </w:rPr>
              <w:t>ORM layer used to streamline database interaction, maintain schema integrity, and enable parameterized query execution from Python.</w:t>
            </w:r>
          </w:p>
        </w:tc>
        <w:tc>
          <w:tcPr>
            <w:tcW w:w="3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7628D4F" w14:textId="77777777" w:rsidR="00C337B8" w:rsidRDefault="00000000">
            <w:r>
              <w:rPr>
                <w:color w:val="1E293B"/>
              </w:rPr>
              <w:t>Database connection, schema management, bulk inserts.</w:t>
            </w:r>
          </w:p>
        </w:tc>
      </w:tr>
      <w:tr w:rsidR="00C337B8" w14:paraId="2F8FE53A"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56A178B" w14:textId="77777777" w:rsidR="00C337B8" w:rsidRDefault="00000000">
            <w:r>
              <w:rPr>
                <w:b/>
                <w:bCs/>
                <w:color w:val="0D1B2A"/>
              </w:rPr>
              <w:t>Plotly &amp; Seaborn</w:t>
            </w:r>
          </w:p>
        </w:tc>
        <w:tc>
          <w:tcPr>
            <w:tcW w:w="36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21606B6" w14:textId="77777777" w:rsidR="00C337B8" w:rsidRDefault="00000000">
            <w:r>
              <w:rPr>
                <w:color w:val="1E293B"/>
              </w:rPr>
              <w:t>Libraries for generating interactive HTML charts (Plotly) and publication-quality statistical visualizations (Seaborn) for EDA and metric outputs.</w:t>
            </w:r>
          </w:p>
        </w:tc>
        <w:tc>
          <w:tcPr>
            <w:tcW w:w="36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20C5E72" w14:textId="77777777" w:rsidR="00C337B8" w:rsidRDefault="00000000">
            <w:r>
              <w:rPr>
                <w:color w:val="1E293B"/>
              </w:rPr>
              <w:t>NAV trend charts, risk-return scatter plots, distribution plots.</w:t>
            </w:r>
          </w:p>
        </w:tc>
      </w:tr>
      <w:tr w:rsidR="00C337B8" w14:paraId="73D888AB"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E59A330" w14:textId="77777777" w:rsidR="00C337B8" w:rsidRDefault="00000000">
            <w:r>
              <w:rPr>
                <w:b/>
                <w:bCs/>
                <w:color w:val="0D1B2A"/>
              </w:rPr>
              <w:t>Power BI</w:t>
            </w:r>
          </w:p>
        </w:tc>
        <w:tc>
          <w:tcPr>
            <w:tcW w:w="3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FD62D00" w14:textId="77777777" w:rsidR="00C337B8" w:rsidRDefault="00000000">
            <w:r>
              <w:rPr>
                <w:color w:val="1E293B"/>
              </w:rPr>
              <w:t>Enterprise-grade BI platform for high-level KPI visualization, interactive dashboards, geographic mapping, and stakeholder reporting.</w:t>
            </w:r>
          </w:p>
        </w:tc>
        <w:tc>
          <w:tcPr>
            <w:tcW w:w="3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6891432" w14:textId="77777777" w:rsidR="00C337B8" w:rsidRDefault="00000000">
            <w:r>
              <w:rPr>
                <w:color w:val="1E293B"/>
              </w:rPr>
              <w:t>4-page dashboard: Industry Overview, Fund Performance, Investor Analytics, SIP &amp; Market Trends.</w:t>
            </w:r>
          </w:p>
        </w:tc>
      </w:tr>
    </w:tbl>
    <w:p w14:paraId="55000566" w14:textId="77777777" w:rsidR="00C337B8" w:rsidRDefault="00000000">
      <w:r>
        <w:br w:type="page"/>
      </w:r>
    </w:p>
    <w:p w14:paraId="7CDC0EDD" w14:textId="77777777" w:rsidR="00C337B8" w:rsidRDefault="00000000">
      <w:pPr>
        <w:pStyle w:val="Heading1"/>
        <w:pBdr>
          <w:bottom w:val="single" w:sz="12" w:space="2" w:color="0D9488"/>
        </w:pBdr>
      </w:pPr>
      <w:bookmarkStart w:id="6" w:name="_Toc232150550"/>
      <w:r>
        <w:lastRenderedPageBreak/>
        <w:t>3. Data Inventory &amp; Source Analysis</w:t>
      </w:r>
      <w:bookmarkEnd w:id="6"/>
    </w:p>
    <w:p w14:paraId="21333B4F" w14:textId="77777777" w:rsidR="00C337B8" w:rsidRDefault="00000000">
      <w:pPr>
        <w:spacing w:after="100" w:line="276" w:lineRule="auto"/>
      </w:pPr>
      <w:r>
        <w:rPr>
          <w:color w:val="1E293B"/>
        </w:rPr>
        <w:t>The analytics framework is built on ten datasets sourced from AMFI public disclosures, NSE/BSE benchmark data, and structured investor transaction records modeled after real industry patterns. Together they cover 40 fund schemes, approximately 1.8 lakh daily NAV records, 50,000+ investor transactions, and 4 years of monthly industry-level inflow and folio data.</w:t>
      </w:r>
    </w:p>
    <w:p w14:paraId="45770577"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37B8" w14:paraId="3D25A2BC" w14:textId="77777777">
        <w:tblPrEx>
          <w:tblCellMar>
            <w:top w:w="0" w:type="dxa"/>
            <w:bottom w:w="0" w:type="dxa"/>
          </w:tblCellMar>
        </w:tblPrEx>
        <w:tc>
          <w:tcPr>
            <w:tcW w:w="220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02196FD0" w14:textId="77777777" w:rsidR="00C337B8" w:rsidRDefault="00000000">
            <w:pPr>
              <w:jc w:val="center"/>
            </w:pPr>
            <w:r>
              <w:rPr>
                <w:b/>
                <w:bCs/>
                <w:color w:val="FFFFFF"/>
                <w:sz w:val="20"/>
                <w:szCs w:val="20"/>
              </w:rPr>
              <w:t>Dataset</w:t>
            </w:r>
          </w:p>
        </w:tc>
        <w:tc>
          <w:tcPr>
            <w:tcW w:w="71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24E34047" w14:textId="77777777" w:rsidR="00C337B8" w:rsidRDefault="00000000">
            <w:pPr>
              <w:jc w:val="center"/>
            </w:pPr>
            <w:r>
              <w:rPr>
                <w:b/>
                <w:bCs/>
                <w:color w:val="FFFFFF"/>
                <w:sz w:val="20"/>
                <w:szCs w:val="20"/>
              </w:rPr>
              <w:t>Description &amp; Key Characteristics</w:t>
            </w:r>
          </w:p>
        </w:tc>
      </w:tr>
      <w:tr w:rsidR="00C337B8" w14:paraId="07030369"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7E0E6F4" w14:textId="77777777" w:rsidR="00C337B8" w:rsidRDefault="00000000">
            <w:r>
              <w:rPr>
                <w:b/>
                <w:bCs/>
                <w:color w:val="0D1B2A"/>
              </w:rPr>
              <w:t>1. Fund Master</w:t>
            </w:r>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A09049E" w14:textId="77777777" w:rsidR="00C337B8" w:rsidRDefault="00000000">
            <w:r>
              <w:rPr>
                <w:color w:val="1E293B"/>
              </w:rPr>
              <w:t>Metadata for 40 schemes across equity, debt, and hybrid categories. Fields: Fund House (AMC), Category, Sub-Category, Benchmark Index, Expense Ratio (%), Launch Date, Minimum Investment Amount, Plan Type (Growth / IDCW). Used as the primary dimension table in the star schema.</w:t>
            </w:r>
          </w:p>
        </w:tc>
      </w:tr>
      <w:tr w:rsidR="00C337B8" w14:paraId="2448F1E5"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9A676BD" w14:textId="77777777" w:rsidR="00C337B8" w:rsidRDefault="00000000">
            <w:r>
              <w:rPr>
                <w:b/>
                <w:bCs/>
                <w:color w:val="0D1B2A"/>
              </w:rPr>
              <w:t>2. NAV History</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225EEDA" w14:textId="77777777" w:rsidR="00C337B8" w:rsidRDefault="00000000">
            <w:r>
              <w:rPr>
                <w:color w:val="1E293B"/>
              </w:rPr>
              <w:t xml:space="preserve">Daily Net Asset Value data from January 2022 to March 2026, indexed by AMFI Code. ~1.8 lakh records across 40 schemes. Forms the basis for all return, volatility, drawdown, </w:t>
            </w:r>
            <w:proofErr w:type="spellStart"/>
            <w:r>
              <w:rPr>
                <w:color w:val="1E293B"/>
              </w:rPr>
              <w:t>VaR</w:t>
            </w:r>
            <w:proofErr w:type="spellEnd"/>
            <w:r>
              <w:rPr>
                <w:color w:val="1E293B"/>
              </w:rPr>
              <w:t>, and benchmark comparison calculations.</w:t>
            </w:r>
          </w:p>
        </w:tc>
      </w:tr>
      <w:tr w:rsidR="00C337B8" w14:paraId="51C5F20A"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D74A9B9" w14:textId="77777777" w:rsidR="00C337B8" w:rsidRDefault="00000000">
            <w:r>
              <w:rPr>
                <w:b/>
                <w:bCs/>
                <w:color w:val="0D1B2A"/>
              </w:rPr>
              <w:t>3. AUM by Fund House</w:t>
            </w:r>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F9FD548" w14:textId="77777777" w:rsidR="00C337B8" w:rsidRDefault="00000000">
            <w:r>
              <w:rPr>
                <w:color w:val="1E293B"/>
              </w:rPr>
              <w:t>Monthly Assets Under Management for each major AMC from 2022 to 2026. Tracks market share shifts, competitive dynamics, and industry-level AUM trajectory. SBI MF (₹85 L Cr), ICICI Prudential (₹63 L Cr) are top contributors.</w:t>
            </w:r>
          </w:p>
        </w:tc>
      </w:tr>
      <w:tr w:rsidR="00C337B8" w14:paraId="72B44947"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1E33D07" w14:textId="77777777" w:rsidR="00C337B8" w:rsidRDefault="00000000">
            <w:r>
              <w:rPr>
                <w:b/>
                <w:bCs/>
                <w:color w:val="0D1B2A"/>
              </w:rPr>
              <w:t>4. Monthly SIP Inflows</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5A915BF" w14:textId="77777777" w:rsidR="00C337B8" w:rsidRDefault="00000000">
            <w:r>
              <w:rPr>
                <w:color w:val="1E293B"/>
              </w:rPr>
              <w:t>Aggregate monthly SIP contribution values at the industry level from January 2022 to December 2025. Captures retail investment appetite, seasonal patterns, and the impact of AMFI investor education campaigns.</w:t>
            </w:r>
          </w:p>
        </w:tc>
      </w:tr>
      <w:tr w:rsidR="00C337B8" w14:paraId="237B17D5"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96C239B" w14:textId="77777777" w:rsidR="00C337B8" w:rsidRDefault="00000000">
            <w:r>
              <w:rPr>
                <w:b/>
                <w:bCs/>
                <w:color w:val="0D1B2A"/>
              </w:rPr>
              <w:t>5. Category Inflows</w:t>
            </w:r>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49E99B3" w14:textId="77777777" w:rsidR="00C337B8" w:rsidRDefault="00000000">
            <w:r>
              <w:rPr>
                <w:color w:val="1E293B"/>
              </w:rPr>
              <w:t>Monthly net inflows by fund category — Large Cap, Mid Cap, Small Cap, Flexi Cap, Liquid, Debt, Hybrid, ELSS, etc. Total Liquid fund inflows: ₹4.51 Lakh Crore. Reveals investor sentiment shifts and category rotation behavior.</w:t>
            </w:r>
          </w:p>
        </w:tc>
      </w:tr>
      <w:tr w:rsidR="00C337B8" w14:paraId="4AC9332F"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44E1BDF" w14:textId="77777777" w:rsidR="00C337B8" w:rsidRDefault="00000000">
            <w:r>
              <w:rPr>
                <w:b/>
                <w:bCs/>
                <w:color w:val="0D1B2A"/>
              </w:rPr>
              <w:t>6. Industry Folio Count</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3901D85" w14:textId="77777777" w:rsidR="00C337B8" w:rsidRDefault="00000000">
            <w:r>
              <w:rPr>
                <w:color w:val="1E293B"/>
              </w:rPr>
              <w:t>Monthly folio count at the industry level. Grew from 13.2 crore (Jan 2022) to 26.12 crore (Mar 2026), nearly doubling. Tracks unique investor participation and digital onboarding penetration.</w:t>
            </w:r>
          </w:p>
        </w:tc>
      </w:tr>
      <w:tr w:rsidR="00C337B8" w14:paraId="303DC047"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3BD70EF" w14:textId="77777777" w:rsidR="00C337B8" w:rsidRDefault="00000000">
            <w:r>
              <w:rPr>
                <w:b/>
                <w:bCs/>
                <w:color w:val="0D1B2A"/>
              </w:rPr>
              <w:t>7. Scheme Performance</w:t>
            </w:r>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5A25904" w14:textId="77777777" w:rsidR="00C337B8" w:rsidRDefault="00000000">
            <w:r>
              <w:rPr>
                <w:color w:val="1E293B"/>
              </w:rPr>
              <w:t>Pre-calculated return benchmarks — 1-year, 3-year, and since-inception CAGR, along with standard deviation and risk score per scheme. Used for model validation and cross-referencing with internally computed metrics.</w:t>
            </w:r>
          </w:p>
        </w:tc>
      </w:tr>
      <w:tr w:rsidR="00C337B8" w14:paraId="44C8375E"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C0624C1" w14:textId="77777777" w:rsidR="00C337B8" w:rsidRDefault="00000000">
            <w:r>
              <w:rPr>
                <w:b/>
                <w:bCs/>
                <w:color w:val="0D1B2A"/>
              </w:rPr>
              <w:t>8. Investor Transactions</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2BCEC76" w14:textId="77777777" w:rsidR="00C337B8" w:rsidRDefault="00000000">
            <w:r>
              <w:rPr>
                <w:color w:val="1E293B"/>
              </w:rPr>
              <w:t>~50,000 individual SIP, Lumpsum, and Redemption transaction records. Demographic attributes: state, city tier (T30/B30), age group, gender, KYC status. Enables cohort analysis, geographic mapping, and continuity scoring.</w:t>
            </w:r>
          </w:p>
        </w:tc>
      </w:tr>
      <w:tr w:rsidR="00C337B8" w14:paraId="75E3370A"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000FC72" w14:textId="77777777" w:rsidR="00C337B8" w:rsidRDefault="00000000">
            <w:r>
              <w:rPr>
                <w:b/>
                <w:bCs/>
                <w:color w:val="0D1B2A"/>
              </w:rPr>
              <w:t>9. Portfolio Holdings</w:t>
            </w:r>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50E17F73" w14:textId="77777777" w:rsidR="00C337B8" w:rsidRDefault="00000000">
            <w:r>
              <w:rPr>
                <w:color w:val="1E293B"/>
              </w:rPr>
              <w:t>Granular sector allocation percentages per scheme (Financial Services, IT, Healthcare, Energy, Consumer Goods, etc.). Used for Herfindahl-Hirschman Index (HHI) concentration analysis and sector-level risk exposure measurement.</w:t>
            </w:r>
          </w:p>
        </w:tc>
      </w:tr>
      <w:tr w:rsidR="00C337B8" w14:paraId="74D3124C"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28C379CA" w14:textId="77777777" w:rsidR="00C337B8" w:rsidRDefault="00000000">
            <w:r>
              <w:rPr>
                <w:b/>
                <w:bCs/>
                <w:color w:val="0D1B2A"/>
              </w:rPr>
              <w:t>10. Benchmark Indices</w:t>
            </w:r>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E23F74C" w14:textId="77777777" w:rsidR="00C337B8" w:rsidRDefault="00000000">
            <w:r>
              <w:rPr>
                <w:color w:val="1E293B"/>
              </w:rPr>
              <w:t>Daily closing values for NIFTY 50 and NIFTY 100 from 2022 to 2026. Used as market proxies for Alpha and Beta estimation via OLS regression of fund returns against benchmark returns.</w:t>
            </w:r>
          </w:p>
        </w:tc>
      </w:tr>
    </w:tbl>
    <w:p w14:paraId="6071D8D5" w14:textId="77777777" w:rsidR="00C337B8" w:rsidRDefault="00000000">
      <w:r>
        <w:br w:type="page"/>
      </w:r>
    </w:p>
    <w:p w14:paraId="0A983A86" w14:textId="77777777" w:rsidR="00C337B8" w:rsidRDefault="00000000">
      <w:pPr>
        <w:pStyle w:val="Heading1"/>
        <w:pBdr>
          <w:bottom w:val="single" w:sz="12" w:space="2" w:color="0D9488"/>
        </w:pBdr>
      </w:pPr>
      <w:bookmarkStart w:id="7" w:name="_Toc232150551"/>
      <w:r>
        <w:lastRenderedPageBreak/>
        <w:t>4. Data Engineering &amp; ETL Pipeline</w:t>
      </w:r>
      <w:bookmarkEnd w:id="7"/>
    </w:p>
    <w:p w14:paraId="0D09E3AD" w14:textId="77777777" w:rsidR="00C337B8" w:rsidRDefault="00000000">
      <w:pPr>
        <w:spacing w:after="100" w:line="276" w:lineRule="auto"/>
      </w:pPr>
      <w:r>
        <w:rPr>
          <w:color w:val="1E293B"/>
        </w:rPr>
        <w:t>The ETL pipeline was architected as a multi-stage process implemented entirely in Python, transforming raw CSV inputs through standardized cleaning, validation, transformation, and loading phases into the analytical database. The pipeline was designed for reproducibility — all operations are deterministic, logged, and parameterized, enabling full re-execution on updated data without manual intervention.</w:t>
      </w:r>
    </w:p>
    <w:p w14:paraId="4F7011C7" w14:textId="77777777" w:rsidR="00C337B8" w:rsidRDefault="00C337B8">
      <w:pPr>
        <w:spacing w:after="60"/>
      </w:pPr>
    </w:p>
    <w:p w14:paraId="1966E666" w14:textId="77777777" w:rsidR="00C337B8" w:rsidRDefault="00000000">
      <w:pPr>
        <w:pStyle w:val="Heading2"/>
      </w:pPr>
      <w:bookmarkStart w:id="8" w:name="_Toc232150552"/>
      <w:r>
        <w:t>4.1 Data Cleaning &amp; Validation Framework</w:t>
      </w:r>
      <w:bookmarkEnd w:id="8"/>
    </w:p>
    <w:p w14:paraId="1BA18823" w14:textId="77777777" w:rsidR="00C337B8" w:rsidRDefault="00000000">
      <w:pPr>
        <w:spacing w:after="100" w:line="276" w:lineRule="auto"/>
      </w:pPr>
      <w:r>
        <w:rPr>
          <w:color w:val="1E293B"/>
        </w:rPr>
        <w:t>Each of the ten datasets underwent a standardized battery of quality checks before being admitted into the analytical database. The following table summarizes the cleaning operations applied, the methods used, and the outcomes achieved:</w:t>
      </w:r>
    </w:p>
    <w:p w14:paraId="1EF05938"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80"/>
        <w:gridCol w:w="3280"/>
      </w:tblGrid>
      <w:tr w:rsidR="00C337B8" w14:paraId="374CB7E8" w14:textId="77777777">
        <w:tblPrEx>
          <w:tblCellMar>
            <w:top w:w="0" w:type="dxa"/>
            <w:bottom w:w="0" w:type="dxa"/>
          </w:tblCellMar>
        </w:tblPrEx>
        <w:tc>
          <w:tcPr>
            <w:tcW w:w="200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059B7D28" w14:textId="77777777" w:rsidR="00C337B8" w:rsidRDefault="00000000">
            <w:pPr>
              <w:jc w:val="center"/>
            </w:pPr>
            <w:r>
              <w:rPr>
                <w:b/>
                <w:bCs/>
                <w:color w:val="FFFFFF"/>
                <w:sz w:val="20"/>
                <w:szCs w:val="20"/>
              </w:rPr>
              <w:t>Operation</w:t>
            </w:r>
          </w:p>
        </w:tc>
        <w:tc>
          <w:tcPr>
            <w:tcW w:w="408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391D29C5" w14:textId="77777777" w:rsidR="00C337B8" w:rsidRDefault="00000000">
            <w:pPr>
              <w:jc w:val="center"/>
            </w:pPr>
            <w:r>
              <w:rPr>
                <w:b/>
                <w:bCs/>
                <w:color w:val="FFFFFF"/>
                <w:sz w:val="20"/>
                <w:szCs w:val="20"/>
              </w:rPr>
              <w:t>Method &amp; Logic</w:t>
            </w:r>
          </w:p>
        </w:tc>
        <w:tc>
          <w:tcPr>
            <w:tcW w:w="328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2ED833EC" w14:textId="77777777" w:rsidR="00C337B8" w:rsidRDefault="00000000">
            <w:pPr>
              <w:jc w:val="center"/>
            </w:pPr>
            <w:r>
              <w:rPr>
                <w:b/>
                <w:bCs/>
                <w:color w:val="FFFFFF"/>
                <w:sz w:val="20"/>
                <w:szCs w:val="20"/>
              </w:rPr>
              <w:t>Outcome</w:t>
            </w:r>
          </w:p>
        </w:tc>
      </w:tr>
      <w:tr w:rsidR="00C337B8" w14:paraId="3C9E29DF"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5380A96" w14:textId="77777777" w:rsidR="00C337B8" w:rsidRDefault="00000000">
            <w:r>
              <w:rPr>
                <w:b/>
                <w:bCs/>
                <w:color w:val="0D1B2A"/>
              </w:rPr>
              <w:t>Date Standardization</w:t>
            </w:r>
          </w:p>
        </w:tc>
        <w:tc>
          <w:tcPr>
            <w:tcW w:w="40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1FAE506" w14:textId="77777777" w:rsidR="00C337B8" w:rsidRDefault="00000000">
            <w:r>
              <w:rPr>
                <w:color w:val="1E293B"/>
              </w:rPr>
              <w:t xml:space="preserve">All temporal columns converted to uniform datetime64[ns] objects using </w:t>
            </w:r>
            <w:proofErr w:type="spellStart"/>
            <w:r>
              <w:rPr>
                <w:color w:val="1E293B"/>
              </w:rPr>
              <w:t>pd.to_</w:t>
            </w:r>
            <w:proofErr w:type="gramStart"/>
            <w:r>
              <w:rPr>
                <w:color w:val="1E293B"/>
              </w:rPr>
              <w:t>datetime</w:t>
            </w:r>
            <w:proofErr w:type="spellEnd"/>
            <w:r>
              <w:rPr>
                <w:color w:val="1E293B"/>
              </w:rPr>
              <w:t>(</w:t>
            </w:r>
            <w:proofErr w:type="gramEnd"/>
            <w:r>
              <w:rPr>
                <w:color w:val="1E293B"/>
              </w:rPr>
              <w:t>) with error coercion. Invalid dates (</w:t>
            </w:r>
            <w:proofErr w:type="spellStart"/>
            <w:r>
              <w:rPr>
                <w:color w:val="1E293B"/>
              </w:rPr>
              <w:t>NaT</w:t>
            </w:r>
            <w:proofErr w:type="spellEnd"/>
            <w:r>
              <w:rPr>
                <w:color w:val="1E293B"/>
              </w:rPr>
              <w:t>) were dropped for transactional records and forward-filled for time-series NAV data.</w:t>
            </w:r>
          </w:p>
        </w:tc>
        <w:tc>
          <w:tcPr>
            <w:tcW w:w="32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130EA6D" w14:textId="77777777" w:rsidR="00C337B8" w:rsidRDefault="00000000">
            <w:r>
              <w:rPr>
                <w:color w:val="1E293B"/>
              </w:rPr>
              <w:t>Applied to all 10 datasets. Resolved ~0.3% of records with ambiguous or malformed date strings.</w:t>
            </w:r>
          </w:p>
        </w:tc>
      </w:tr>
      <w:tr w:rsidR="00C337B8" w14:paraId="0BE9C2DF"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AB9146D" w14:textId="77777777" w:rsidR="00C337B8" w:rsidRDefault="00000000">
            <w:r>
              <w:rPr>
                <w:b/>
                <w:bCs/>
                <w:color w:val="0D1B2A"/>
              </w:rPr>
              <w:t>Missing Value Treatment</w:t>
            </w:r>
          </w:p>
        </w:tc>
        <w:tc>
          <w:tcPr>
            <w:tcW w:w="40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95146DB" w14:textId="77777777" w:rsidR="00C337B8" w:rsidRDefault="00000000">
            <w:r>
              <w:rPr>
                <w:color w:val="1E293B"/>
              </w:rPr>
              <w:t>NAV time-series: forward-fill to preserve continuity (justified by nature of daily pricing). Static fund attributes: mode imputation for categorical fields, median for numeric. Transactions: records with null amounts dropped.</w:t>
            </w:r>
          </w:p>
        </w:tc>
        <w:tc>
          <w:tcPr>
            <w:tcW w:w="3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E180E4F" w14:textId="77777777" w:rsidR="00C337B8" w:rsidRDefault="00000000">
            <w:r>
              <w:rPr>
                <w:color w:val="1E293B"/>
              </w:rPr>
              <w:t>~1.2% of NAV records required forward-filling. ~0.4% of transactions dropped due to null amounts.</w:t>
            </w:r>
          </w:p>
        </w:tc>
      </w:tr>
      <w:tr w:rsidR="00C337B8" w14:paraId="2A87B25C"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1E59425" w14:textId="77777777" w:rsidR="00C337B8" w:rsidRDefault="00000000">
            <w:r>
              <w:rPr>
                <w:b/>
                <w:bCs/>
                <w:color w:val="0D1B2A"/>
              </w:rPr>
              <w:t>Duplicate Removal</w:t>
            </w:r>
          </w:p>
        </w:tc>
        <w:tc>
          <w:tcPr>
            <w:tcW w:w="40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F710C94" w14:textId="77777777" w:rsidR="00C337B8" w:rsidRDefault="00000000">
            <w:r>
              <w:rPr>
                <w:color w:val="1E293B"/>
              </w:rPr>
              <w:t>Composite key deduplication — (AMFI Code, Date) for NAV history, (Investor ID, Transaction Date, Amount) for transactions. First occurrence retained; subsequent duplicates dropped.</w:t>
            </w:r>
          </w:p>
        </w:tc>
        <w:tc>
          <w:tcPr>
            <w:tcW w:w="32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EFC925C" w14:textId="77777777" w:rsidR="00C337B8" w:rsidRDefault="00000000">
            <w:r>
              <w:rPr>
                <w:color w:val="1E293B"/>
              </w:rPr>
              <w:t>Removed ~800 duplicate NAV records. ~120 duplicate transaction records eliminated.</w:t>
            </w:r>
          </w:p>
        </w:tc>
      </w:tr>
      <w:tr w:rsidR="00C337B8" w14:paraId="4467EC7D"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2D22C38" w14:textId="77777777" w:rsidR="00C337B8" w:rsidRDefault="00000000">
            <w:r>
              <w:rPr>
                <w:b/>
                <w:bCs/>
                <w:color w:val="0D1B2A"/>
              </w:rPr>
              <w:t>Numeric Validation</w:t>
            </w:r>
          </w:p>
        </w:tc>
        <w:tc>
          <w:tcPr>
            <w:tcW w:w="40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43F72E0B" w14:textId="77777777" w:rsidR="00C337B8" w:rsidRDefault="00000000">
            <w:r>
              <w:rPr>
                <w:color w:val="1E293B"/>
              </w:rPr>
              <w:t>NAV values enforced as strictly positive (NAV &gt; 0). Expense ratios constrained to [0%, 5%]. Transaction amounts validated as non-negative. IQR-based outlier detection for NAV — values &gt; 10× previous day flagged and interpolated.</w:t>
            </w:r>
          </w:p>
        </w:tc>
        <w:tc>
          <w:tcPr>
            <w:tcW w:w="3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CAE43B2" w14:textId="77777777" w:rsidR="00C337B8" w:rsidRDefault="00000000">
            <w:r>
              <w:rPr>
                <w:color w:val="1E293B"/>
              </w:rPr>
              <w:t>Identified and corrected 14 NAV outlier records across 3 schemes.</w:t>
            </w:r>
          </w:p>
        </w:tc>
      </w:tr>
      <w:tr w:rsidR="00C337B8" w14:paraId="7CD39E03"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1E855BE" w14:textId="77777777" w:rsidR="00C337B8" w:rsidRDefault="00000000">
            <w:r>
              <w:rPr>
                <w:b/>
                <w:bCs/>
                <w:color w:val="0D1B2A"/>
              </w:rPr>
              <w:t>Category Standardization</w:t>
            </w:r>
          </w:p>
        </w:tc>
        <w:tc>
          <w:tcPr>
            <w:tcW w:w="40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92E4E2A" w14:textId="77777777" w:rsidR="00C337B8" w:rsidRDefault="00000000">
            <w:r>
              <w:rPr>
                <w:color w:val="1E293B"/>
              </w:rPr>
              <w:t>Transaction types normalized to three canonical values: SIP, LUMPSUM, REDEMPTION. KYC status standardized to KYC_VERIFIED / KYC_PENDING. Fund categories aligned to AMFI-standard taxonomy.</w:t>
            </w:r>
          </w:p>
        </w:tc>
        <w:tc>
          <w:tcPr>
            <w:tcW w:w="32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0796990" w14:textId="77777777" w:rsidR="00C337B8" w:rsidRDefault="00000000">
            <w:r>
              <w:rPr>
                <w:color w:val="1E293B"/>
              </w:rPr>
              <w:t>Resolved 6 variant spellings across transaction type field. Standardized 3 non-standard KYC status values.</w:t>
            </w:r>
          </w:p>
        </w:tc>
      </w:tr>
      <w:tr w:rsidR="00C337B8" w14:paraId="790488EE" w14:textId="77777777">
        <w:tblPrEx>
          <w:tblCellMar>
            <w:top w:w="0" w:type="dxa"/>
            <w:bottom w:w="0" w:type="dxa"/>
          </w:tblCellMar>
        </w:tblPrEx>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D61DE16" w14:textId="77777777" w:rsidR="00C337B8" w:rsidRDefault="00000000">
            <w:r>
              <w:rPr>
                <w:b/>
                <w:bCs/>
                <w:color w:val="0D1B2A"/>
              </w:rPr>
              <w:lastRenderedPageBreak/>
              <w:t>Referential Integrity</w:t>
            </w:r>
          </w:p>
        </w:tc>
        <w:tc>
          <w:tcPr>
            <w:tcW w:w="40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E91DBB8" w14:textId="77777777" w:rsidR="00C337B8" w:rsidRDefault="00000000">
            <w:r>
              <w:rPr>
                <w:color w:val="1E293B"/>
              </w:rPr>
              <w:t xml:space="preserve">All fact table records validated for existence of corresponding dimension keys (AMFI Code in </w:t>
            </w:r>
            <w:proofErr w:type="spellStart"/>
            <w:r>
              <w:rPr>
                <w:color w:val="1E293B"/>
              </w:rPr>
              <w:t>dim_fund</w:t>
            </w:r>
            <w:proofErr w:type="spellEnd"/>
            <w:r>
              <w:rPr>
                <w:color w:val="1E293B"/>
              </w:rPr>
              <w:t xml:space="preserve">, Date in </w:t>
            </w:r>
            <w:proofErr w:type="spellStart"/>
            <w:r>
              <w:rPr>
                <w:color w:val="1E293B"/>
              </w:rPr>
              <w:t>dim_date</w:t>
            </w:r>
            <w:proofErr w:type="spellEnd"/>
            <w:r>
              <w:rPr>
                <w:color w:val="1E293B"/>
              </w:rPr>
              <w:t>). Orphan records logged and excluded.</w:t>
            </w:r>
          </w:p>
        </w:tc>
        <w:tc>
          <w:tcPr>
            <w:tcW w:w="32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CA6E0A3" w14:textId="77777777" w:rsidR="00C337B8" w:rsidRDefault="00000000">
            <w:r>
              <w:rPr>
                <w:color w:val="1E293B"/>
              </w:rPr>
              <w:t>Zero orphan records in final loaded dataset.</w:t>
            </w:r>
          </w:p>
        </w:tc>
      </w:tr>
    </w:tbl>
    <w:p w14:paraId="3E0609BF" w14:textId="77777777" w:rsidR="00C337B8" w:rsidRDefault="00C337B8">
      <w:pPr>
        <w:spacing w:after="60"/>
      </w:pPr>
    </w:p>
    <w:p w14:paraId="08B0C4D3" w14:textId="77777777" w:rsidR="00C337B8" w:rsidRDefault="00000000">
      <w:pPr>
        <w:pStyle w:val="Heading2"/>
      </w:pPr>
      <w:bookmarkStart w:id="9" w:name="_Toc232150553"/>
      <w:r>
        <w:t>4.2 NAV Processing Pipeline</w:t>
      </w:r>
      <w:bookmarkEnd w:id="9"/>
    </w:p>
    <w:p w14:paraId="007B7D5E" w14:textId="77777777" w:rsidR="00C337B8" w:rsidRDefault="00000000">
      <w:pPr>
        <w:spacing w:after="100" w:line="276" w:lineRule="auto"/>
      </w:pPr>
      <w:r>
        <w:rPr>
          <w:color w:val="1E293B"/>
        </w:rPr>
        <w:t>NAV data required specialized processing given its time-series nature and role as the foundation for all performance and risk metrics. The pipeline executed the following operations in sequence:</w:t>
      </w:r>
    </w:p>
    <w:p w14:paraId="1C8520CB" w14:textId="77777777" w:rsidR="00C337B8" w:rsidRDefault="00000000">
      <w:pPr>
        <w:pStyle w:val="ListParagraph"/>
        <w:numPr>
          <w:ilvl w:val="0"/>
          <w:numId w:val="2"/>
        </w:numPr>
      </w:pPr>
      <w:r>
        <w:rPr>
          <w:color w:val="1E293B"/>
        </w:rPr>
        <w:t>Loaded raw CSV with AMFI Code as index; parsed Date column to datetime64 with UTC normalization.</w:t>
      </w:r>
    </w:p>
    <w:p w14:paraId="3A47D494" w14:textId="77777777" w:rsidR="00C337B8" w:rsidRDefault="00000000">
      <w:pPr>
        <w:pStyle w:val="ListParagraph"/>
        <w:numPr>
          <w:ilvl w:val="0"/>
          <w:numId w:val="2"/>
        </w:numPr>
      </w:pPr>
      <w:r>
        <w:rPr>
          <w:color w:val="1E293B"/>
        </w:rPr>
        <w:t xml:space="preserve">Sorted chronologically within each AMFI Code partition using </w:t>
      </w:r>
      <w:proofErr w:type="spellStart"/>
      <w:r>
        <w:rPr>
          <w:color w:val="1E293B"/>
        </w:rPr>
        <w:t>groupby</w:t>
      </w:r>
      <w:proofErr w:type="spellEnd"/>
      <w:r>
        <w:rPr>
          <w:color w:val="1E293B"/>
        </w:rPr>
        <w:t xml:space="preserve"> + </w:t>
      </w:r>
      <w:proofErr w:type="spellStart"/>
      <w:r>
        <w:rPr>
          <w:color w:val="1E293B"/>
        </w:rPr>
        <w:t>sort_values</w:t>
      </w:r>
      <w:proofErr w:type="spellEnd"/>
      <w:r>
        <w:rPr>
          <w:color w:val="1E293B"/>
        </w:rPr>
        <w:t xml:space="preserve"> to ensure correct daily return computation.</w:t>
      </w:r>
    </w:p>
    <w:p w14:paraId="70B30605" w14:textId="77777777" w:rsidR="00C337B8" w:rsidRDefault="00000000">
      <w:pPr>
        <w:pStyle w:val="ListParagraph"/>
        <w:numPr>
          <w:ilvl w:val="0"/>
          <w:numId w:val="2"/>
        </w:numPr>
      </w:pPr>
      <w:r>
        <w:rPr>
          <w:color w:val="1E293B"/>
        </w:rPr>
        <w:t>Identified and removed duplicate (AMFI Code, Date) pairs, retaining the first occurrence.</w:t>
      </w:r>
    </w:p>
    <w:p w14:paraId="1EFAE4A8" w14:textId="77777777" w:rsidR="00C337B8" w:rsidRDefault="00000000">
      <w:pPr>
        <w:pStyle w:val="ListParagraph"/>
        <w:numPr>
          <w:ilvl w:val="0"/>
          <w:numId w:val="2"/>
        </w:numPr>
      </w:pPr>
      <w:r>
        <w:rPr>
          <w:color w:val="1E293B"/>
        </w:rPr>
        <w:t>Applied forward-fill within each AMFI Code group for missing NAV dates (market holidays, data gaps) to maintain a continuous time-series without introducing look-ahead bias.</w:t>
      </w:r>
    </w:p>
    <w:p w14:paraId="1A22B7CE" w14:textId="77777777" w:rsidR="00C337B8" w:rsidRDefault="00000000">
      <w:pPr>
        <w:pStyle w:val="ListParagraph"/>
        <w:numPr>
          <w:ilvl w:val="0"/>
          <w:numId w:val="2"/>
        </w:numPr>
      </w:pPr>
      <w:r>
        <w:rPr>
          <w:color w:val="1E293B"/>
        </w:rPr>
        <w:t>Validated all NAV values as strictly positive; replaced 14 outlier values (identified via ±5σ threshold within 30-day rolling windows) using linear interpolation.</w:t>
      </w:r>
    </w:p>
    <w:p w14:paraId="40F22B35" w14:textId="77777777" w:rsidR="00C337B8" w:rsidRDefault="00000000">
      <w:pPr>
        <w:pStyle w:val="ListParagraph"/>
        <w:numPr>
          <w:ilvl w:val="0"/>
          <w:numId w:val="2"/>
        </w:numPr>
      </w:pPr>
      <w:r>
        <w:rPr>
          <w:color w:val="1E293B"/>
        </w:rPr>
        <w:t>Computed derived columns: daily return Rt = (</w:t>
      </w:r>
      <w:proofErr w:type="spellStart"/>
      <w:r>
        <w:rPr>
          <w:color w:val="1E293B"/>
        </w:rPr>
        <w:t>NAVt</w:t>
      </w:r>
      <w:proofErr w:type="spellEnd"/>
      <w:r>
        <w:rPr>
          <w:color w:val="1E293B"/>
        </w:rPr>
        <w:t xml:space="preserve"> / NAVt-1) - 1, stored alongside the cleaned NAV for downstream metric computation.</w:t>
      </w:r>
    </w:p>
    <w:p w14:paraId="25707423" w14:textId="77777777" w:rsidR="00C337B8" w:rsidRDefault="00C337B8">
      <w:pPr>
        <w:spacing w:after="60"/>
      </w:pPr>
    </w:p>
    <w:p w14:paraId="66241B0F" w14:textId="77777777" w:rsidR="00C337B8" w:rsidRDefault="00000000">
      <w:pPr>
        <w:pStyle w:val="Heading2"/>
      </w:pPr>
      <w:bookmarkStart w:id="10" w:name="_Toc232150554"/>
      <w:r>
        <w:t>4.3 Database Architecture — Star Schema</w:t>
      </w:r>
      <w:bookmarkEnd w:id="10"/>
    </w:p>
    <w:p w14:paraId="122EFF12" w14:textId="77777777" w:rsidR="00C337B8" w:rsidRDefault="00000000">
      <w:pPr>
        <w:spacing w:after="100" w:line="276" w:lineRule="auto"/>
      </w:pPr>
      <w:r>
        <w:rPr>
          <w:color w:val="1E293B"/>
        </w:rPr>
        <w:t>The analytical database was implemented as a star schema in SQLite, chosen for its combination of relational query capability, portability, zero-configuration deployment, and demonstrated performance on datasets of this scale. The schema cleanly separates slowly-changing dimensional attributes from high-volume, append-only fact data.</w:t>
      </w:r>
    </w:p>
    <w:p w14:paraId="2FFC093E"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7B8" w14:paraId="55557949" w14:textId="77777777">
        <w:tblPrEx>
          <w:tblCellMar>
            <w:top w:w="0" w:type="dxa"/>
            <w:bottom w:w="0" w:type="dxa"/>
          </w:tblCellMar>
        </w:tblPrEx>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72FB4FBC" w14:textId="77777777" w:rsidR="00C337B8" w:rsidRDefault="00000000">
            <w:pPr>
              <w:spacing w:after="40"/>
              <w:jc w:val="center"/>
            </w:pPr>
            <w:r>
              <w:rPr>
                <w:b/>
                <w:bCs/>
                <w:color w:val="475569"/>
              </w:rPr>
              <w:t xml:space="preserve">[ Database Schema Diagram — Star Schema: </w:t>
            </w:r>
            <w:proofErr w:type="spellStart"/>
            <w:r>
              <w:rPr>
                <w:b/>
                <w:bCs/>
                <w:color w:val="475569"/>
              </w:rPr>
              <w:t>dim_fund</w:t>
            </w:r>
            <w:proofErr w:type="spellEnd"/>
            <w:r>
              <w:rPr>
                <w:b/>
                <w:bCs/>
                <w:color w:val="475569"/>
              </w:rPr>
              <w:t xml:space="preserve">, </w:t>
            </w:r>
            <w:proofErr w:type="spellStart"/>
            <w:r>
              <w:rPr>
                <w:b/>
                <w:bCs/>
                <w:color w:val="475569"/>
              </w:rPr>
              <w:t>dim_date</w:t>
            </w:r>
            <w:proofErr w:type="spellEnd"/>
            <w:r>
              <w:rPr>
                <w:b/>
                <w:bCs/>
                <w:color w:val="475569"/>
              </w:rPr>
              <w:t xml:space="preserve">, </w:t>
            </w:r>
            <w:proofErr w:type="spellStart"/>
            <w:r>
              <w:rPr>
                <w:b/>
                <w:bCs/>
                <w:color w:val="475569"/>
              </w:rPr>
              <w:t>fact_nav</w:t>
            </w:r>
            <w:proofErr w:type="spellEnd"/>
            <w:r>
              <w:rPr>
                <w:b/>
                <w:bCs/>
                <w:color w:val="475569"/>
              </w:rPr>
              <w:t xml:space="preserve">, </w:t>
            </w:r>
            <w:proofErr w:type="spellStart"/>
            <w:r>
              <w:rPr>
                <w:b/>
                <w:bCs/>
                <w:color w:val="475569"/>
              </w:rPr>
              <w:t>fact_transactions</w:t>
            </w:r>
            <w:proofErr w:type="spellEnd"/>
            <w:r>
              <w:rPr>
                <w:b/>
                <w:bCs/>
                <w:color w:val="475569"/>
              </w:rPr>
              <w:t xml:space="preserve">, </w:t>
            </w:r>
            <w:proofErr w:type="spellStart"/>
            <w:r>
              <w:rPr>
                <w:b/>
                <w:bCs/>
                <w:color w:val="475569"/>
              </w:rPr>
              <w:t>fact_performance</w:t>
            </w:r>
            <w:proofErr w:type="spellEnd"/>
            <w:r>
              <w:rPr>
                <w:b/>
                <w:bCs/>
                <w:color w:val="475569"/>
              </w:rPr>
              <w:t xml:space="preserve">, </w:t>
            </w:r>
            <w:proofErr w:type="spellStart"/>
            <w:r>
              <w:rPr>
                <w:b/>
                <w:bCs/>
                <w:color w:val="475569"/>
              </w:rPr>
              <w:t>fact_</w:t>
            </w:r>
            <w:proofErr w:type="gramStart"/>
            <w:r>
              <w:rPr>
                <w:b/>
                <w:bCs/>
                <w:color w:val="475569"/>
              </w:rPr>
              <w:t>aum</w:t>
            </w:r>
            <w:proofErr w:type="spellEnd"/>
            <w:r>
              <w:rPr>
                <w:b/>
                <w:bCs/>
                <w:color w:val="475569"/>
              </w:rPr>
              <w:t xml:space="preserve"> ]</w:t>
            </w:r>
            <w:proofErr w:type="gramEnd"/>
          </w:p>
          <w:p w14:paraId="2E2ED2B0" w14:textId="77777777" w:rsidR="00C337B8" w:rsidRDefault="00000000">
            <w:pPr>
              <w:jc w:val="center"/>
            </w:pPr>
            <w:r>
              <w:rPr>
                <w:i/>
                <w:iCs/>
                <w:color w:val="94A3B8"/>
                <w:sz w:val="19"/>
                <w:szCs w:val="19"/>
              </w:rPr>
              <w:t>Insert screenshot here</w:t>
            </w:r>
          </w:p>
        </w:tc>
      </w:tr>
    </w:tbl>
    <w:p w14:paraId="4B1ACD12"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37B8" w14:paraId="17942D82" w14:textId="77777777">
        <w:tblPrEx>
          <w:tblCellMar>
            <w:top w:w="0" w:type="dxa"/>
            <w:bottom w:w="0" w:type="dxa"/>
          </w:tblCellMar>
        </w:tblPrEx>
        <w:tc>
          <w:tcPr>
            <w:tcW w:w="220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5E3A066D" w14:textId="77777777" w:rsidR="00C337B8" w:rsidRDefault="00000000">
            <w:pPr>
              <w:jc w:val="center"/>
            </w:pPr>
            <w:r>
              <w:rPr>
                <w:b/>
                <w:bCs/>
                <w:color w:val="FFFFFF"/>
                <w:sz w:val="20"/>
                <w:szCs w:val="20"/>
              </w:rPr>
              <w:t>Table</w:t>
            </w:r>
          </w:p>
        </w:tc>
        <w:tc>
          <w:tcPr>
            <w:tcW w:w="71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73156A19" w14:textId="77777777" w:rsidR="00C337B8" w:rsidRDefault="00000000">
            <w:pPr>
              <w:jc w:val="center"/>
            </w:pPr>
            <w:r>
              <w:rPr>
                <w:b/>
                <w:bCs/>
                <w:color w:val="FFFFFF"/>
                <w:sz w:val="20"/>
                <w:szCs w:val="20"/>
              </w:rPr>
              <w:t>Description, Schema &amp; Usage</w:t>
            </w:r>
          </w:p>
        </w:tc>
      </w:tr>
      <w:tr w:rsidR="00C337B8" w14:paraId="61D23E62"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2AA28169" w14:textId="77777777" w:rsidR="00C337B8" w:rsidRDefault="00000000">
            <w:proofErr w:type="spellStart"/>
            <w:r>
              <w:rPr>
                <w:b/>
                <w:bCs/>
                <w:color w:val="0D1B2A"/>
              </w:rPr>
              <w:t>dim_fund</w:t>
            </w:r>
            <w:proofErr w:type="spellEnd"/>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74B60ED" w14:textId="77777777" w:rsidR="00C337B8" w:rsidRDefault="00000000">
            <w:r>
              <w:rPr>
                <w:color w:val="1E293B"/>
              </w:rPr>
              <w:t>Dimension table — 40 rows. Stores fund master attributes: AMFI Code (PK), Fund House, Category, Sub-Category, Benchmark Index, Expense Ratio, Launch Date, Minimum Investment, Plan Type. Slowly-changing; updated only on fund reclassification.</w:t>
            </w:r>
          </w:p>
        </w:tc>
      </w:tr>
      <w:tr w:rsidR="00C337B8" w14:paraId="6045D281"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9B03115" w14:textId="77777777" w:rsidR="00C337B8" w:rsidRDefault="00000000">
            <w:proofErr w:type="spellStart"/>
            <w:r>
              <w:rPr>
                <w:b/>
                <w:bCs/>
                <w:color w:val="0D1B2A"/>
              </w:rPr>
              <w:t>dim_date</w:t>
            </w:r>
            <w:proofErr w:type="spellEnd"/>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757D9A7" w14:textId="77777777" w:rsidR="00C337B8" w:rsidRDefault="00000000">
            <w:r>
              <w:rPr>
                <w:color w:val="1E293B"/>
              </w:rPr>
              <w:t xml:space="preserve">Dimension table — date hierarchy for period-over-period analysis. Fields: Date (PK), Year, Quarter, Month Number, Month Name, Week of Year, Day of Week, </w:t>
            </w:r>
            <w:proofErr w:type="spellStart"/>
            <w:r>
              <w:rPr>
                <w:color w:val="1E293B"/>
              </w:rPr>
              <w:t>Is_Month_End</w:t>
            </w:r>
            <w:proofErr w:type="spellEnd"/>
            <w:r>
              <w:rPr>
                <w:color w:val="1E293B"/>
              </w:rPr>
              <w:t xml:space="preserve"> flag. Enables GROUP BY at any temporal granularity without DATEPART functions.</w:t>
            </w:r>
          </w:p>
        </w:tc>
      </w:tr>
      <w:tr w:rsidR="00C337B8" w14:paraId="5BDA959C"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1A97BD9" w14:textId="77777777" w:rsidR="00C337B8" w:rsidRDefault="00000000">
            <w:proofErr w:type="spellStart"/>
            <w:r>
              <w:rPr>
                <w:b/>
                <w:bCs/>
                <w:color w:val="0D1B2A"/>
              </w:rPr>
              <w:lastRenderedPageBreak/>
              <w:t>fact_nav</w:t>
            </w:r>
            <w:proofErr w:type="spellEnd"/>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0E011DA2" w14:textId="77777777" w:rsidR="00C337B8" w:rsidRDefault="00000000">
            <w:r>
              <w:rPr>
                <w:color w:val="1E293B"/>
              </w:rPr>
              <w:t xml:space="preserve">Fact table — ~1.8 lakh rows. Daily NAV and computed daily return per scheme. Foreign keys: </w:t>
            </w:r>
            <w:proofErr w:type="spellStart"/>
            <w:r>
              <w:rPr>
                <w:color w:val="1E293B"/>
              </w:rPr>
              <w:t>AMFI_Code</w:t>
            </w:r>
            <w:proofErr w:type="spellEnd"/>
            <w:r>
              <w:rPr>
                <w:color w:val="1E293B"/>
              </w:rPr>
              <w:t xml:space="preserve"> → </w:t>
            </w:r>
            <w:proofErr w:type="spellStart"/>
            <w:r>
              <w:rPr>
                <w:color w:val="1E293B"/>
              </w:rPr>
              <w:t>dim_fund</w:t>
            </w:r>
            <w:proofErr w:type="spellEnd"/>
            <w:r>
              <w:rPr>
                <w:color w:val="1E293B"/>
              </w:rPr>
              <w:t xml:space="preserve">, Date → </w:t>
            </w:r>
            <w:proofErr w:type="spellStart"/>
            <w:r>
              <w:rPr>
                <w:color w:val="1E293B"/>
              </w:rPr>
              <w:t>dim_date</w:t>
            </w:r>
            <w:proofErr w:type="spellEnd"/>
            <w:r>
              <w:rPr>
                <w:color w:val="1E293B"/>
              </w:rPr>
              <w:t xml:space="preserve">. Partitioned logically by </w:t>
            </w:r>
            <w:proofErr w:type="spellStart"/>
            <w:r>
              <w:rPr>
                <w:color w:val="1E293B"/>
              </w:rPr>
              <w:t>AMFI_Code</w:t>
            </w:r>
            <w:proofErr w:type="spellEnd"/>
            <w:r>
              <w:rPr>
                <w:color w:val="1E293B"/>
              </w:rPr>
              <w:t xml:space="preserve"> for window function efficiency. Core table for all return and risk metric computation.</w:t>
            </w:r>
          </w:p>
        </w:tc>
      </w:tr>
      <w:tr w:rsidR="00C337B8" w14:paraId="2B03DDCB"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6BAA5FA1" w14:textId="77777777" w:rsidR="00C337B8" w:rsidRDefault="00000000">
            <w:proofErr w:type="spellStart"/>
            <w:r>
              <w:rPr>
                <w:b/>
                <w:bCs/>
                <w:color w:val="0D1B2A"/>
              </w:rPr>
              <w:t>fact_transactions</w:t>
            </w:r>
            <w:proofErr w:type="spellEnd"/>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02239B27" w14:textId="77777777" w:rsidR="00C337B8" w:rsidRDefault="00000000">
            <w:r>
              <w:rPr>
                <w:color w:val="1E293B"/>
              </w:rPr>
              <w:t xml:space="preserve">Fact table — ~50,000 rows. Individual investor SIP, Lumpsum, and Redemption records. Fields: </w:t>
            </w:r>
            <w:proofErr w:type="spellStart"/>
            <w:r>
              <w:rPr>
                <w:color w:val="1E293B"/>
              </w:rPr>
              <w:t>Investor_ID</w:t>
            </w:r>
            <w:proofErr w:type="spellEnd"/>
            <w:r>
              <w:rPr>
                <w:color w:val="1E293B"/>
              </w:rPr>
              <w:t xml:space="preserve">, </w:t>
            </w:r>
            <w:proofErr w:type="spellStart"/>
            <w:r>
              <w:rPr>
                <w:color w:val="1E293B"/>
              </w:rPr>
              <w:t>AMFI_Code</w:t>
            </w:r>
            <w:proofErr w:type="spellEnd"/>
            <w:r>
              <w:rPr>
                <w:color w:val="1E293B"/>
              </w:rPr>
              <w:t xml:space="preserve">, </w:t>
            </w:r>
            <w:proofErr w:type="spellStart"/>
            <w:r>
              <w:rPr>
                <w:color w:val="1E293B"/>
              </w:rPr>
              <w:t>Transaction_Date</w:t>
            </w:r>
            <w:proofErr w:type="spellEnd"/>
            <w:r>
              <w:rPr>
                <w:color w:val="1E293B"/>
              </w:rPr>
              <w:t xml:space="preserve">, Type, Amount, State, </w:t>
            </w:r>
            <w:proofErr w:type="spellStart"/>
            <w:r>
              <w:rPr>
                <w:color w:val="1E293B"/>
              </w:rPr>
              <w:t>City_Tier</w:t>
            </w:r>
            <w:proofErr w:type="spellEnd"/>
            <w:r>
              <w:rPr>
                <w:color w:val="1E293B"/>
              </w:rPr>
              <w:t xml:space="preserve">, </w:t>
            </w:r>
            <w:proofErr w:type="spellStart"/>
            <w:r>
              <w:rPr>
                <w:color w:val="1E293B"/>
              </w:rPr>
              <w:t>Age_Group</w:t>
            </w:r>
            <w:proofErr w:type="spellEnd"/>
            <w:r>
              <w:rPr>
                <w:color w:val="1E293B"/>
              </w:rPr>
              <w:t xml:space="preserve">, </w:t>
            </w:r>
            <w:proofErr w:type="spellStart"/>
            <w:r>
              <w:rPr>
                <w:color w:val="1E293B"/>
              </w:rPr>
              <w:t>KYC_Status</w:t>
            </w:r>
            <w:proofErr w:type="spellEnd"/>
            <w:r>
              <w:rPr>
                <w:color w:val="1E293B"/>
              </w:rPr>
              <w:t>. Supports cohort analysis and geographic aggregation.</w:t>
            </w:r>
          </w:p>
        </w:tc>
      </w:tr>
      <w:tr w:rsidR="00C337B8" w14:paraId="300809A3"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4E60782F" w14:textId="77777777" w:rsidR="00C337B8" w:rsidRDefault="00000000">
            <w:proofErr w:type="spellStart"/>
            <w:r>
              <w:rPr>
                <w:b/>
                <w:bCs/>
                <w:color w:val="0D1B2A"/>
              </w:rPr>
              <w:t>fact_performance</w:t>
            </w:r>
            <w:proofErr w:type="spellEnd"/>
          </w:p>
        </w:tc>
        <w:tc>
          <w:tcPr>
            <w:tcW w:w="716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5EF7FD5" w14:textId="77777777" w:rsidR="00C337B8" w:rsidRDefault="00000000">
            <w:r>
              <w:rPr>
                <w:color w:val="1E293B"/>
              </w:rPr>
              <w:t xml:space="preserve">Derived fact table — computed metrics per scheme. Fields: </w:t>
            </w:r>
            <w:proofErr w:type="spellStart"/>
            <w:r>
              <w:rPr>
                <w:color w:val="1E293B"/>
              </w:rPr>
              <w:t>AMFI_Code</w:t>
            </w:r>
            <w:proofErr w:type="spellEnd"/>
            <w:r>
              <w:rPr>
                <w:color w:val="1E293B"/>
              </w:rPr>
              <w:t xml:space="preserve">, CAGR_1Y, CAGR_3Y, </w:t>
            </w:r>
            <w:proofErr w:type="spellStart"/>
            <w:r>
              <w:rPr>
                <w:color w:val="1E293B"/>
              </w:rPr>
              <w:t>Sharpe_Ratio</w:t>
            </w:r>
            <w:proofErr w:type="spellEnd"/>
            <w:r>
              <w:rPr>
                <w:color w:val="1E293B"/>
              </w:rPr>
              <w:t xml:space="preserve">, </w:t>
            </w:r>
            <w:proofErr w:type="spellStart"/>
            <w:r>
              <w:rPr>
                <w:color w:val="1E293B"/>
              </w:rPr>
              <w:t>Sortino_Ratio</w:t>
            </w:r>
            <w:proofErr w:type="spellEnd"/>
            <w:r>
              <w:rPr>
                <w:color w:val="1E293B"/>
              </w:rPr>
              <w:t xml:space="preserve">, Alpha, Beta, </w:t>
            </w:r>
            <w:proofErr w:type="spellStart"/>
            <w:r>
              <w:rPr>
                <w:color w:val="1E293B"/>
              </w:rPr>
              <w:t>Max_Drawdown</w:t>
            </w:r>
            <w:proofErr w:type="spellEnd"/>
            <w:r>
              <w:rPr>
                <w:color w:val="1E293B"/>
              </w:rPr>
              <w:t>, VaR_95, CVaR_95, HHI. Refreshed on pipeline re-execution. Primary source for dashboard KPIs.</w:t>
            </w:r>
          </w:p>
        </w:tc>
      </w:tr>
      <w:tr w:rsidR="00C337B8" w14:paraId="38DC3F21"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3F668456" w14:textId="77777777" w:rsidR="00C337B8" w:rsidRDefault="00000000">
            <w:proofErr w:type="spellStart"/>
            <w:r>
              <w:rPr>
                <w:b/>
                <w:bCs/>
                <w:color w:val="0D1B2A"/>
              </w:rPr>
              <w:t>fact_aum</w:t>
            </w:r>
            <w:proofErr w:type="spellEnd"/>
          </w:p>
        </w:tc>
        <w:tc>
          <w:tcPr>
            <w:tcW w:w="716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AEFB414" w14:textId="77777777" w:rsidR="00C337B8" w:rsidRDefault="00000000">
            <w:r>
              <w:rPr>
                <w:color w:val="1E293B"/>
              </w:rPr>
              <w:t xml:space="preserve">Fact table — monthly AUM by AMC. Fields: </w:t>
            </w:r>
            <w:proofErr w:type="spellStart"/>
            <w:r>
              <w:rPr>
                <w:color w:val="1E293B"/>
              </w:rPr>
              <w:t>AMC_Name</w:t>
            </w:r>
            <w:proofErr w:type="spellEnd"/>
            <w:r>
              <w:rPr>
                <w:color w:val="1E293B"/>
              </w:rPr>
              <w:t xml:space="preserve">, </w:t>
            </w:r>
            <w:proofErr w:type="spellStart"/>
            <w:r>
              <w:rPr>
                <w:color w:val="1E293B"/>
              </w:rPr>
              <w:t>Month_Date</w:t>
            </w:r>
            <w:proofErr w:type="spellEnd"/>
            <w:r>
              <w:rPr>
                <w:color w:val="1E293B"/>
              </w:rPr>
              <w:t xml:space="preserve">, </w:t>
            </w:r>
            <w:proofErr w:type="spellStart"/>
            <w:r>
              <w:rPr>
                <w:color w:val="1E293B"/>
              </w:rPr>
              <w:t>AUM_Lakh_Crore</w:t>
            </w:r>
            <w:proofErr w:type="spellEnd"/>
            <w:r>
              <w:rPr>
                <w:color w:val="1E293B"/>
              </w:rPr>
              <w:t>. Used for market share analysis, AUM trend visualization, and AMC-level competitive benchmarking in dashboard Page 1.</w:t>
            </w:r>
          </w:p>
        </w:tc>
      </w:tr>
    </w:tbl>
    <w:p w14:paraId="746EA2FC" w14:textId="77777777" w:rsidR="00C337B8" w:rsidRDefault="00000000">
      <w:r>
        <w:br w:type="page"/>
      </w:r>
    </w:p>
    <w:p w14:paraId="536FA11F" w14:textId="77777777" w:rsidR="00C337B8" w:rsidRDefault="00000000">
      <w:pPr>
        <w:pStyle w:val="Heading1"/>
        <w:pBdr>
          <w:bottom w:val="single" w:sz="12" w:space="2" w:color="0D9488"/>
        </w:pBdr>
      </w:pPr>
      <w:bookmarkStart w:id="11" w:name="_Toc232150555"/>
      <w:r>
        <w:lastRenderedPageBreak/>
        <w:t>5. Exploratory Data Analysis (EDA)</w:t>
      </w:r>
      <w:bookmarkEnd w:id="11"/>
    </w:p>
    <w:p w14:paraId="7C84FA99" w14:textId="77777777" w:rsidR="00C337B8" w:rsidRDefault="00000000">
      <w:pPr>
        <w:spacing w:after="100" w:line="276" w:lineRule="auto"/>
      </w:pPr>
      <w:r>
        <w:rPr>
          <w:color w:val="1E293B"/>
        </w:rPr>
        <w:t>EDA was conducted across all ten datasets to surface patterns, trends, anomalies, and correlations before advancing to formal financial modeling. All EDA visualizations were produced using Matplotlib, Seaborn, and Plotly, and subsequently integrated into the Power BI dashboard. The EDA phase informed both the analytical design choices (choice of benchmarks, risk metric parameterization) and the structure of the final dashboard.</w:t>
      </w:r>
    </w:p>
    <w:p w14:paraId="148EC5B5" w14:textId="77777777" w:rsidR="00C337B8" w:rsidRDefault="00C337B8">
      <w:pPr>
        <w:spacing w:after="60"/>
      </w:pPr>
    </w:p>
    <w:p w14:paraId="444369A0" w14:textId="77777777" w:rsidR="00C337B8" w:rsidRDefault="00000000">
      <w:pPr>
        <w:pStyle w:val="Heading2"/>
      </w:pPr>
      <w:bookmarkStart w:id="12" w:name="_Toc232150556"/>
      <w:r>
        <w:t>5.1 NAV Trend Analysis (2022–2026)</w:t>
      </w:r>
      <w:bookmarkEnd w:id="12"/>
    </w:p>
    <w:p w14:paraId="6937F3CB" w14:textId="77777777" w:rsidR="00C337B8" w:rsidRDefault="00000000">
      <w:pPr>
        <w:spacing w:after="100" w:line="276" w:lineRule="auto"/>
      </w:pPr>
      <w:r>
        <w:rPr>
          <w:color w:val="1E293B"/>
        </w:rPr>
        <w:t>Historical NAV data for all 40 schemes was analyzed across the full 4-year window. Multi-line overlay charts were generated per category — Large Cap, Mid Cap, Small Cap, Flexi Cap, Hybrid, Debt — to compare growth trajectories and volatility profiles side by side.</w:t>
      </w:r>
    </w:p>
    <w:p w14:paraId="22909654" w14:textId="77777777" w:rsidR="00C337B8" w:rsidRDefault="00000000">
      <w:pPr>
        <w:pStyle w:val="ListParagraph"/>
        <w:numPr>
          <w:ilvl w:val="0"/>
          <w:numId w:val="2"/>
        </w:numPr>
      </w:pPr>
      <w:r>
        <w:rPr>
          <w:color w:val="1E293B"/>
        </w:rPr>
        <w:t>Equity-oriented schemes (Large Cap, Mid Cap, Flexi Cap) demonstrated consistent upward NAV trajectories, driven by corporate earnings growth and sustained FII inflows through 2023–2025.</w:t>
      </w:r>
    </w:p>
    <w:p w14:paraId="1FE3D75B" w14:textId="77777777" w:rsidR="00C337B8" w:rsidRDefault="00000000">
      <w:pPr>
        <w:pStyle w:val="ListParagraph"/>
        <w:numPr>
          <w:ilvl w:val="0"/>
          <w:numId w:val="2"/>
        </w:numPr>
      </w:pPr>
      <w:r>
        <w:rPr>
          <w:color w:val="1E293B"/>
        </w:rPr>
        <w:t>Market corrections were visible in mid-2022 (US Fed rate hike cycle impact) and early-2023 (domestic earnings reset). Recovery periods were 3–5 months for large-cap funds and 6–11 months for small-cap funds — confirming the higher liquidity risk of small caps.</w:t>
      </w:r>
    </w:p>
    <w:p w14:paraId="02C97270" w14:textId="77777777" w:rsidR="00C337B8" w:rsidRDefault="00000000">
      <w:pPr>
        <w:pStyle w:val="ListParagraph"/>
        <w:numPr>
          <w:ilvl w:val="0"/>
          <w:numId w:val="2"/>
        </w:numPr>
      </w:pPr>
      <w:r>
        <w:rPr>
          <w:color w:val="1E293B"/>
        </w:rPr>
        <w:t xml:space="preserve">Small-cap and thematic funds exhibited significantly higher intra-year NAV volatility: daily return standard deviation of 1.4–2.2%, versus 0.8–1.1% for large-cap funds — a 60–80% higher volatility differential that directly translates into elevated </w:t>
      </w:r>
      <w:proofErr w:type="spellStart"/>
      <w:r>
        <w:rPr>
          <w:color w:val="1E293B"/>
        </w:rPr>
        <w:t>VaR</w:t>
      </w:r>
      <w:proofErr w:type="spellEnd"/>
      <w:r>
        <w:rPr>
          <w:color w:val="1E293B"/>
        </w:rPr>
        <w:t xml:space="preserve"> values.</w:t>
      </w:r>
    </w:p>
    <w:p w14:paraId="0537E4E5" w14:textId="77777777" w:rsidR="00C337B8" w:rsidRDefault="00000000">
      <w:pPr>
        <w:pStyle w:val="ListParagraph"/>
        <w:numPr>
          <w:ilvl w:val="0"/>
          <w:numId w:val="2"/>
        </w:numPr>
      </w:pPr>
      <w:r>
        <w:rPr>
          <w:color w:val="1E293B"/>
        </w:rPr>
        <w:t>Debt funds maintained near-linear NAV growth trajectories with drawdowns under 3% even during the 2022 rate hike cycle, confirming their capital-preservation characteristics.</w:t>
      </w:r>
    </w:p>
    <w:p w14:paraId="4C54CD21" w14:textId="77777777" w:rsidR="00C337B8" w:rsidRDefault="00000000">
      <w:pPr>
        <w:pStyle w:val="ListParagraph"/>
        <w:numPr>
          <w:ilvl w:val="0"/>
          <w:numId w:val="2"/>
        </w:numPr>
      </w:pPr>
      <w:r>
        <w:rPr>
          <w:color w:val="1E293B"/>
        </w:rPr>
        <w:t>Several mid-cap funds showed a strong NAV acceleration from mid-2024 onwards, consistent with the broader mid-cap outperformance cycle driven by domestic consumption and manufacturing themes.</w:t>
      </w:r>
    </w:p>
    <w:p w14:paraId="6C4E54B3" w14:textId="613F8D1D" w:rsidR="00C337B8" w:rsidRDefault="0059590D">
      <w:pPr>
        <w:spacing w:after="60"/>
      </w:pPr>
      <w:r>
        <w:rPr>
          <w:b/>
          <w:bCs/>
          <w:noProof/>
          <w:color w:val="475569"/>
        </w:rPr>
        <w:drawing>
          <wp:anchor distT="0" distB="0" distL="114300" distR="114300" simplePos="0" relativeHeight="251658240" behindDoc="1" locked="0" layoutInCell="1" allowOverlap="1" wp14:anchorId="050B9E00" wp14:editId="1FAF24BC">
            <wp:simplePos x="0" y="0"/>
            <wp:positionH relativeFrom="column">
              <wp:posOffset>131445</wp:posOffset>
            </wp:positionH>
            <wp:positionV relativeFrom="paragraph">
              <wp:posOffset>391795</wp:posOffset>
            </wp:positionV>
            <wp:extent cx="5963920" cy="3442335"/>
            <wp:effectExtent l="0" t="0" r="0" b="5715"/>
            <wp:wrapThrough wrapText="bothSides">
              <wp:wrapPolygon edited="0">
                <wp:start x="0" y="0"/>
                <wp:lineTo x="0" y="21516"/>
                <wp:lineTo x="21526" y="21516"/>
                <wp:lineTo x="21526" y="0"/>
                <wp:lineTo x="0" y="0"/>
              </wp:wrapPolygon>
            </wp:wrapThrough>
            <wp:docPr id="1412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3920" cy="3442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1A40EF" w14:textId="77777777" w:rsidR="00C337B8" w:rsidRDefault="00C337B8">
      <w:pPr>
        <w:spacing w:after="60"/>
      </w:pPr>
    </w:p>
    <w:p w14:paraId="683A0C74" w14:textId="1D2106CF" w:rsidR="00C337B8" w:rsidRDefault="00000000">
      <w:pPr>
        <w:pStyle w:val="Heading2"/>
      </w:pPr>
      <w:bookmarkStart w:id="13" w:name="_Toc232150557"/>
      <w:r>
        <w:lastRenderedPageBreak/>
        <w:t>5.2 AUM Growth Analysis</w:t>
      </w:r>
      <w:bookmarkEnd w:id="13"/>
    </w:p>
    <w:p w14:paraId="15FCB342" w14:textId="77777777" w:rsidR="00C337B8" w:rsidRDefault="00000000">
      <w:pPr>
        <w:spacing w:after="100" w:line="276" w:lineRule="auto"/>
      </w:pPr>
      <w:r>
        <w:rPr>
          <w:color w:val="1E293B"/>
        </w:rPr>
        <w:t>Monthly AUM data from the 10 largest AMCs was analyzed. Total industry AUM grew from approximately ₹38 Lakh Crore in January 2022 to ₹391.76 Lakh Crore by March 2026 — confirming the extraordinary scale of industry expansion over the analysis period.</w:t>
      </w:r>
    </w:p>
    <w:p w14:paraId="1A759AC9" w14:textId="77777777" w:rsidR="00C337B8" w:rsidRDefault="00000000">
      <w:pPr>
        <w:pStyle w:val="ListParagraph"/>
        <w:numPr>
          <w:ilvl w:val="0"/>
          <w:numId w:val="2"/>
        </w:numPr>
      </w:pPr>
      <w:r>
        <w:rPr>
          <w:color w:val="1E293B"/>
        </w:rPr>
        <w:t>SBI Mutual Fund maintained the highest AUM at ₹85 Lakh Crore, followed by ICICI Prudential (₹63 L Cr) and HDFC AMC. The top-3 AMCs collectively held over 40% of industry AUM throughout the period.</w:t>
      </w:r>
    </w:p>
    <w:p w14:paraId="2CBFC027" w14:textId="77777777" w:rsidR="00C337B8" w:rsidRDefault="00000000">
      <w:pPr>
        <w:pStyle w:val="ListParagraph"/>
        <w:numPr>
          <w:ilvl w:val="0"/>
          <w:numId w:val="2"/>
        </w:numPr>
      </w:pPr>
      <w:r>
        <w:rPr>
          <w:color w:val="1E293B"/>
        </w:rPr>
        <w:t>Mid-tier AMCs (Axis, Kotak, Mirae Asset) showed above-average AUM growth rates of 18–22% CAGR, suggesting effective product positioning and distribution channel expansion.</w:t>
      </w:r>
    </w:p>
    <w:p w14:paraId="533B554F" w14:textId="77777777" w:rsidR="00C337B8" w:rsidRDefault="00000000">
      <w:pPr>
        <w:pStyle w:val="ListParagraph"/>
        <w:numPr>
          <w:ilvl w:val="0"/>
          <w:numId w:val="2"/>
        </w:numPr>
      </w:pPr>
      <w:r>
        <w:rPr>
          <w:color w:val="1E293B"/>
        </w:rPr>
        <w:t>Equity-category AUM grew disproportionately relative to debt — the equity-to-debt AUM ratio shifted from approximately 55:45 in 2022 to 67:33 by 2026, reflecting sustained equity market appreciation and retail investor preference for growth-oriented products.</w:t>
      </w:r>
    </w:p>
    <w:p w14:paraId="264499EF" w14:textId="77777777" w:rsidR="00C337B8" w:rsidRDefault="00C337B8">
      <w:pPr>
        <w:spacing w:after="60"/>
      </w:pP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337B8" w14:paraId="0558FA02" w14:textId="77777777" w:rsidTr="0059590D">
        <w:tblPrEx>
          <w:tblCellMar>
            <w:top w:w="0" w:type="dxa"/>
            <w:bottom w:w="0" w:type="dxa"/>
          </w:tblCellMar>
        </w:tblPrEx>
        <w:trPr>
          <w:trHeight w:val="5337"/>
        </w:trPr>
        <w:tc>
          <w:tcPr>
            <w:tcW w:w="98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07E207FC" w14:textId="4C32713D" w:rsidR="00C337B8" w:rsidRDefault="0059590D" w:rsidP="0059590D">
            <w:pPr>
              <w:spacing w:after="40"/>
              <w:jc w:val="center"/>
            </w:pPr>
            <w:r>
              <w:rPr>
                <w:b/>
                <w:bCs/>
                <w:noProof/>
                <w:color w:val="475569"/>
              </w:rPr>
              <w:drawing>
                <wp:anchor distT="0" distB="0" distL="114300" distR="114300" simplePos="0" relativeHeight="251659264" behindDoc="1" locked="0" layoutInCell="1" allowOverlap="1" wp14:anchorId="0DE4D965" wp14:editId="23CDB2B9">
                  <wp:simplePos x="0" y="0"/>
                  <wp:positionH relativeFrom="column">
                    <wp:posOffset>0</wp:posOffset>
                  </wp:positionH>
                  <wp:positionV relativeFrom="paragraph">
                    <wp:posOffset>0</wp:posOffset>
                  </wp:positionV>
                  <wp:extent cx="6400165" cy="3646170"/>
                  <wp:effectExtent l="0" t="0" r="635" b="0"/>
                  <wp:wrapThrough wrapText="bothSides">
                    <wp:wrapPolygon edited="0">
                      <wp:start x="0" y="0"/>
                      <wp:lineTo x="0" y="21442"/>
                      <wp:lineTo x="21538" y="21442"/>
                      <wp:lineTo x="21538" y="0"/>
                      <wp:lineTo x="0" y="0"/>
                    </wp:wrapPolygon>
                  </wp:wrapThrough>
                  <wp:docPr id="1076433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165" cy="364617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bCs/>
                <w:color w:val="475569"/>
              </w:rPr>
              <w:t xml:space="preserve">[ AUM Growth Chart — Stacked area by AMC, monthly 2022–2026 with market share </w:t>
            </w:r>
            <w:proofErr w:type="gramStart"/>
            <w:r w:rsidR="00000000">
              <w:rPr>
                <w:b/>
                <w:bCs/>
                <w:color w:val="475569"/>
              </w:rPr>
              <w:t>annotations ]</w:t>
            </w:r>
            <w:proofErr w:type="gramEnd"/>
          </w:p>
        </w:tc>
      </w:tr>
    </w:tbl>
    <w:p w14:paraId="417BDFB1" w14:textId="77777777" w:rsidR="00C337B8" w:rsidRDefault="00C337B8">
      <w:pPr>
        <w:spacing w:after="60"/>
      </w:pPr>
    </w:p>
    <w:p w14:paraId="48414F49" w14:textId="77777777" w:rsidR="00C337B8" w:rsidRDefault="00000000">
      <w:pPr>
        <w:pStyle w:val="Heading2"/>
      </w:pPr>
      <w:bookmarkStart w:id="14" w:name="_Toc232150558"/>
      <w:r>
        <w:t>5.3 SIP Inflow Analysis</w:t>
      </w:r>
      <w:bookmarkEnd w:id="14"/>
    </w:p>
    <w:p w14:paraId="0C8B7006" w14:textId="77777777" w:rsidR="00C337B8" w:rsidRDefault="00000000">
      <w:pPr>
        <w:spacing w:after="100" w:line="276" w:lineRule="auto"/>
      </w:pPr>
      <w:r>
        <w:rPr>
          <w:color w:val="1E293B"/>
        </w:rPr>
        <w:t>Monthly SIP inflow data revealed one of the most significant trends in Indian retail finance over the analysis period: the sustained, structural rise of SIP as the dominant investment mode.</w:t>
      </w:r>
    </w:p>
    <w:p w14:paraId="5C555B1D" w14:textId="77777777" w:rsidR="00C337B8" w:rsidRDefault="00000000">
      <w:pPr>
        <w:pStyle w:val="ListParagraph"/>
        <w:numPr>
          <w:ilvl w:val="0"/>
          <w:numId w:val="2"/>
        </w:numPr>
      </w:pPr>
      <w:r>
        <w:rPr>
          <w:color w:val="1E293B"/>
        </w:rPr>
        <w:t>Total monthly SIP inflows grew from approximately ₹11,500 Crore in January 2022 to ₹31,000+ Crore monthly average by 2026 — a compound growth rate exceeding 25% per annum, far outpacing equity market returns.</w:t>
      </w:r>
    </w:p>
    <w:p w14:paraId="51954592" w14:textId="77777777" w:rsidR="00C337B8" w:rsidRDefault="00000000">
      <w:pPr>
        <w:pStyle w:val="ListParagraph"/>
        <w:numPr>
          <w:ilvl w:val="0"/>
          <w:numId w:val="2"/>
        </w:numPr>
      </w:pPr>
      <w:r>
        <w:rPr>
          <w:color w:val="1E293B"/>
        </w:rPr>
        <w:lastRenderedPageBreak/>
        <w:t>SIP inflows demonstrated remarkable resilience during market corrections, declining by only 2–5% during equity downturns before recovering strongly — evidence of the disciplined, goal-based investing behavior that AMFI's investor education programs have fostered.</w:t>
      </w:r>
    </w:p>
    <w:p w14:paraId="669ACA4D" w14:textId="77777777" w:rsidR="00C337B8" w:rsidRDefault="00000000">
      <w:pPr>
        <w:pStyle w:val="ListParagraph"/>
        <w:numPr>
          <w:ilvl w:val="0"/>
          <w:numId w:val="2"/>
        </w:numPr>
      </w:pPr>
      <w:r>
        <w:rPr>
          <w:color w:val="1E293B"/>
        </w:rPr>
        <w:t>Record monthly SIP inflows were achieved in late 2025, driven by a combination of new SIP registrations via digital platforms and the continuation of existing SIP mandates across market cycles.</w:t>
      </w:r>
    </w:p>
    <w:p w14:paraId="5B4FEB20" w14:textId="77777777" w:rsidR="00C337B8" w:rsidRDefault="00000000">
      <w:pPr>
        <w:pStyle w:val="ListParagraph"/>
        <w:numPr>
          <w:ilvl w:val="0"/>
          <w:numId w:val="2"/>
        </w:numPr>
      </w:pPr>
      <w:r>
        <w:rPr>
          <w:color w:val="1E293B"/>
        </w:rPr>
        <w:t>Seasonal patterns were identified: SIP registrations spike in April-May (start of Indian financial year, tax planning) and October-November (festive season equity market optimism).</w:t>
      </w:r>
    </w:p>
    <w:p w14:paraId="23FC0DD5"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337B8" w14:paraId="4BEE7345" w14:textId="77777777" w:rsidTr="0059590D">
        <w:tblPrEx>
          <w:tblCellMar>
            <w:top w:w="0" w:type="dxa"/>
            <w:bottom w:w="0" w:type="dxa"/>
          </w:tblCellMar>
        </w:tblPrEx>
        <w:trPr>
          <w:trHeight w:val="412"/>
        </w:trPr>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17AB6ABD" w14:textId="77777777" w:rsidR="00C337B8" w:rsidRDefault="00000000">
            <w:pPr>
              <w:spacing w:after="40"/>
              <w:jc w:val="center"/>
            </w:pPr>
            <w:r>
              <w:rPr>
                <w:b/>
                <w:bCs/>
                <w:color w:val="475569"/>
              </w:rPr>
              <w:t>[ Monthly SIP Inflow Trend — Bar chart with 6-month moving average, 2022–</w:t>
            </w:r>
            <w:proofErr w:type="gramStart"/>
            <w:r>
              <w:rPr>
                <w:b/>
                <w:bCs/>
                <w:color w:val="475569"/>
              </w:rPr>
              <w:t>2026 ]</w:t>
            </w:r>
            <w:proofErr w:type="gramEnd"/>
          </w:p>
          <w:p w14:paraId="262A9DA4" w14:textId="2789DE60" w:rsidR="00C337B8" w:rsidRDefault="0059590D">
            <w:pPr>
              <w:jc w:val="center"/>
            </w:pPr>
            <w:r>
              <w:rPr>
                <w:noProof/>
              </w:rPr>
              <w:drawing>
                <wp:anchor distT="0" distB="0" distL="114300" distR="114300" simplePos="0" relativeHeight="251660288" behindDoc="1" locked="0" layoutInCell="1" allowOverlap="1" wp14:anchorId="1711AC43" wp14:editId="386C2310">
                  <wp:simplePos x="0" y="0"/>
                  <wp:positionH relativeFrom="column">
                    <wp:posOffset>0</wp:posOffset>
                  </wp:positionH>
                  <wp:positionV relativeFrom="paragraph">
                    <wp:posOffset>0</wp:posOffset>
                  </wp:positionV>
                  <wp:extent cx="6400800" cy="4572000"/>
                  <wp:effectExtent l="0" t="0" r="0" b="0"/>
                  <wp:wrapThrough wrapText="bothSides">
                    <wp:wrapPolygon edited="0">
                      <wp:start x="0" y="0"/>
                      <wp:lineTo x="0" y="21510"/>
                      <wp:lineTo x="21536" y="21510"/>
                      <wp:lineTo x="21536" y="0"/>
                      <wp:lineTo x="0" y="0"/>
                    </wp:wrapPolygon>
                  </wp:wrapThrough>
                  <wp:docPr id="821459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5720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5C8FDFA" w14:textId="77777777" w:rsidR="00C337B8" w:rsidRDefault="00C337B8">
      <w:pPr>
        <w:spacing w:after="60"/>
      </w:pPr>
    </w:p>
    <w:p w14:paraId="5AC4267A" w14:textId="77777777" w:rsidR="00C337B8" w:rsidRDefault="00000000">
      <w:pPr>
        <w:pStyle w:val="Heading2"/>
      </w:pPr>
      <w:bookmarkStart w:id="15" w:name="_Toc232150559"/>
      <w:r>
        <w:t>5.4 Industry Folio Count &amp; Retail Penetration</w:t>
      </w:r>
      <w:bookmarkEnd w:id="15"/>
    </w:p>
    <w:p w14:paraId="3204FB2D" w14:textId="77777777" w:rsidR="00C337B8" w:rsidRDefault="00000000">
      <w:pPr>
        <w:spacing w:after="100" w:line="276" w:lineRule="auto"/>
      </w:pPr>
      <w:r>
        <w:rPr>
          <w:color w:val="1E293B"/>
        </w:rPr>
        <w:t xml:space="preserve">Industry folio count grew from 13.2 crore in January 2022 to 26.12 crore by March 2026 — nearly doubling over the analysis period. This represents one of the fastest periods of retail investor onboarding in Indian financial market history. Growth was particularly concentrated in equity categories (+6.2 crore folios) and in B30 (Beyond Top 30) cities, indicating successful geographic penetration beyond metro India. The expansion was facilitated by the proliferation of digital-first investment platforms, reduction in KYC friction through </w:t>
      </w:r>
      <w:proofErr w:type="spellStart"/>
      <w:r>
        <w:rPr>
          <w:color w:val="1E293B"/>
        </w:rPr>
        <w:t>DigiLocker</w:t>
      </w:r>
      <w:proofErr w:type="spellEnd"/>
      <w:r>
        <w:rPr>
          <w:color w:val="1E293B"/>
        </w:rPr>
        <w:t xml:space="preserve"> integration, and zero-commission direct plan adoption.</w:t>
      </w:r>
    </w:p>
    <w:p w14:paraId="0424B38F" w14:textId="77777777" w:rsidR="00C337B8" w:rsidRDefault="00C337B8">
      <w:pPr>
        <w:spacing w:after="60"/>
      </w:pPr>
    </w:p>
    <w:p w14:paraId="0F092FFF" w14:textId="77777777" w:rsidR="00C337B8" w:rsidRDefault="00000000">
      <w:pPr>
        <w:pStyle w:val="Heading2"/>
      </w:pPr>
      <w:bookmarkStart w:id="16" w:name="_Toc232150560"/>
      <w:r>
        <w:t>5.5 Category Inflow Heatmap</w:t>
      </w:r>
      <w:bookmarkEnd w:id="16"/>
    </w:p>
    <w:p w14:paraId="6E830234" w14:textId="77777777" w:rsidR="00C337B8" w:rsidRDefault="00000000">
      <w:pPr>
        <w:spacing w:after="100" w:line="276" w:lineRule="auto"/>
      </w:pPr>
      <w:r>
        <w:rPr>
          <w:color w:val="1E293B"/>
        </w:rPr>
        <w:t>A monthly net inflow heatmap across fund categories was generated to capture investor capital rotation dynamics. Key patterns identified: Equity categories (Flexi Cap, Large &amp; Mid Cap, Small Cap) attracted consistently positive net inflows throughout 2023–2025, driven by equity market appreciation and rising SIP registrations. Liquid fund category dominated with ₹4.51 Lakh Crore in total net inflows — reflecting treasury management activity from corporate and HNI investors. Debt categories showed net outflows during the 2022 rate hike cycle as mark-to-market losses reduced their appeal, recovering in 2023–2024 as rates stabilized.</w:t>
      </w:r>
    </w:p>
    <w:p w14:paraId="32F88A6A"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337B8" w14:paraId="1681A740" w14:textId="77777777">
        <w:tblPrEx>
          <w:tblCellMar>
            <w:top w:w="0" w:type="dxa"/>
            <w:bottom w:w="0" w:type="dxa"/>
          </w:tblCellMar>
        </w:tblPrEx>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57A1033D" w14:textId="77777777" w:rsidR="00C337B8" w:rsidRDefault="00000000" w:rsidP="0059590D">
            <w:pPr>
              <w:spacing w:after="40"/>
              <w:jc w:val="center"/>
              <w:rPr>
                <w:i/>
                <w:iCs/>
                <w:color w:val="94A3B8"/>
                <w:sz w:val="19"/>
                <w:szCs w:val="19"/>
              </w:rPr>
            </w:pPr>
            <w:r>
              <w:rPr>
                <w:b/>
                <w:bCs/>
                <w:color w:val="475569"/>
              </w:rPr>
              <w:t>[ Category Inflow Heatmap — Fund category vs Month, color-coded green (inflow) to red (outflow</w:t>
            </w:r>
            <w:proofErr w:type="gramStart"/>
            <w:r>
              <w:rPr>
                <w:b/>
                <w:bCs/>
                <w:color w:val="475569"/>
              </w:rPr>
              <w:t>) ]</w:t>
            </w:r>
            <w:proofErr w:type="gramEnd"/>
          </w:p>
          <w:p w14:paraId="2FACE2B3" w14:textId="5DBF0CFA" w:rsidR="0059590D" w:rsidRDefault="0059590D" w:rsidP="0059590D">
            <w:pPr>
              <w:spacing w:after="40"/>
              <w:jc w:val="center"/>
            </w:pPr>
            <w:r>
              <w:rPr>
                <w:noProof/>
              </w:rPr>
              <w:drawing>
                <wp:anchor distT="0" distB="0" distL="114300" distR="114300" simplePos="0" relativeHeight="251661312" behindDoc="1" locked="0" layoutInCell="1" allowOverlap="1" wp14:anchorId="7F1D05A4" wp14:editId="24B8B9DD">
                  <wp:simplePos x="0" y="0"/>
                  <wp:positionH relativeFrom="column">
                    <wp:posOffset>0</wp:posOffset>
                  </wp:positionH>
                  <wp:positionV relativeFrom="paragraph">
                    <wp:posOffset>0</wp:posOffset>
                  </wp:positionV>
                  <wp:extent cx="6390640" cy="3589655"/>
                  <wp:effectExtent l="0" t="0" r="0" b="0"/>
                  <wp:wrapThrough wrapText="bothSides">
                    <wp:wrapPolygon edited="0">
                      <wp:start x="0" y="0"/>
                      <wp:lineTo x="0" y="21436"/>
                      <wp:lineTo x="21506" y="21436"/>
                      <wp:lineTo x="21506" y="0"/>
                      <wp:lineTo x="0" y="0"/>
                    </wp:wrapPolygon>
                  </wp:wrapThrough>
                  <wp:docPr id="2038529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0640" cy="358965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6F9FAE6" w14:textId="77777777" w:rsidR="00C337B8" w:rsidRDefault="00000000">
      <w:r>
        <w:br w:type="page"/>
      </w:r>
    </w:p>
    <w:p w14:paraId="3F1B0952" w14:textId="77777777" w:rsidR="00C337B8" w:rsidRDefault="00000000">
      <w:pPr>
        <w:pStyle w:val="Heading1"/>
        <w:pBdr>
          <w:bottom w:val="single" w:sz="12" w:space="2" w:color="0D9488"/>
        </w:pBdr>
      </w:pPr>
      <w:bookmarkStart w:id="17" w:name="_Toc232150561"/>
      <w:r>
        <w:lastRenderedPageBreak/>
        <w:t>6. Performance &amp; Risk Analytics Framework</w:t>
      </w:r>
      <w:bookmarkEnd w:id="17"/>
    </w:p>
    <w:p w14:paraId="0B41585F" w14:textId="77777777" w:rsidR="00C337B8" w:rsidRDefault="00000000">
      <w:pPr>
        <w:spacing w:after="100" w:line="276" w:lineRule="auto"/>
      </w:pPr>
      <w:r>
        <w:rPr>
          <w:color w:val="1E293B"/>
        </w:rPr>
        <w:t xml:space="preserve">The performance analytics module implements eight quantitative financial metrics using vectorized </w:t>
      </w:r>
      <w:proofErr w:type="gramStart"/>
      <w:r>
        <w:rPr>
          <w:color w:val="1E293B"/>
        </w:rPr>
        <w:t>Pandas</w:t>
      </w:r>
      <w:proofErr w:type="gramEnd"/>
      <w:r>
        <w:rPr>
          <w:color w:val="1E293B"/>
        </w:rPr>
        <w:t xml:space="preserve"> operations on the </w:t>
      </w:r>
      <w:proofErr w:type="spellStart"/>
      <w:r>
        <w:rPr>
          <w:color w:val="1E293B"/>
        </w:rPr>
        <w:t>fact_nav</w:t>
      </w:r>
      <w:proofErr w:type="spellEnd"/>
      <w:r>
        <w:rPr>
          <w:color w:val="1E293B"/>
        </w:rPr>
        <w:t xml:space="preserve"> table, with results persisted in </w:t>
      </w:r>
      <w:proofErr w:type="spellStart"/>
      <w:r>
        <w:rPr>
          <w:color w:val="1E293B"/>
        </w:rPr>
        <w:t>fact_performance</w:t>
      </w:r>
      <w:proofErr w:type="spellEnd"/>
      <w:r>
        <w:rPr>
          <w:color w:val="1E293B"/>
        </w:rPr>
        <w:t xml:space="preserve"> for downstream dashboard consumption. All metrics were computed in a single pipeline pass for each of the 40 schemes, ensuring consistency and reproducibility. The risk-free rate was set at 6.5% per annum (proxy for the RBI repo rate during the analysis period).</w:t>
      </w:r>
    </w:p>
    <w:p w14:paraId="64E7F639" w14:textId="77777777" w:rsidR="00C337B8" w:rsidRDefault="00C337B8">
      <w:pPr>
        <w:spacing w:after="60"/>
      </w:pPr>
    </w:p>
    <w:p w14:paraId="31DDCE03" w14:textId="77777777" w:rsidR="00C337B8" w:rsidRDefault="00000000">
      <w:pPr>
        <w:pStyle w:val="Heading2"/>
      </w:pPr>
      <w:bookmarkStart w:id="18" w:name="_Toc232150562"/>
      <w:r>
        <w:t>6.1 Daily Return Computation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37B8" w14:paraId="717F575B" w14:textId="77777777">
        <w:tblPrEx>
          <w:tblCellMar>
            <w:top w:w="0" w:type="dxa"/>
            <w:bottom w:w="0" w:type="dxa"/>
          </w:tblCellMar>
        </w:tblPrEx>
        <w:tc>
          <w:tcPr>
            <w:tcW w:w="2200" w:type="dxa"/>
            <w:tcBorders>
              <w:top w:val="single" w:sz="4" w:space="0" w:color="0F766E"/>
              <w:left w:val="single" w:sz="4" w:space="0" w:color="0F766E"/>
              <w:bottom w:val="single" w:sz="4" w:space="0" w:color="0F766E"/>
              <w:right w:val="single" w:sz="4" w:space="0" w:color="0F766E"/>
            </w:tcBorders>
            <w:shd w:val="clear" w:color="auto" w:fill="0F766E"/>
            <w:tcMar>
              <w:top w:w="100" w:type="dxa"/>
              <w:left w:w="120" w:type="dxa"/>
              <w:bottom w:w="100" w:type="dxa"/>
              <w:right w:w="120" w:type="dxa"/>
            </w:tcMar>
            <w:vAlign w:val="center"/>
          </w:tcPr>
          <w:p w14:paraId="253512BF" w14:textId="77777777" w:rsidR="00C337B8" w:rsidRDefault="00000000">
            <w:pPr>
              <w:jc w:val="center"/>
            </w:pPr>
            <w:r>
              <w:rPr>
                <w:b/>
                <w:bCs/>
                <w:color w:val="FFFFFF"/>
                <w:sz w:val="20"/>
                <w:szCs w:val="20"/>
              </w:rPr>
              <w:t>Daily Return</w:t>
            </w:r>
          </w:p>
        </w:tc>
        <w:tc>
          <w:tcPr>
            <w:tcW w:w="7160" w:type="dxa"/>
            <w:tcBorders>
              <w:top w:val="single" w:sz="4" w:space="0" w:color="0D9488"/>
              <w:left w:val="single" w:sz="4" w:space="0" w:color="0D9488"/>
              <w:bottom w:val="single" w:sz="4" w:space="0" w:color="0D9488"/>
              <w:right w:val="single" w:sz="4" w:space="0" w:color="0D9488"/>
            </w:tcBorders>
            <w:shd w:val="clear" w:color="auto" w:fill="F0FDFA"/>
            <w:tcMar>
              <w:top w:w="80" w:type="dxa"/>
              <w:left w:w="160" w:type="dxa"/>
              <w:bottom w:w="80" w:type="dxa"/>
              <w:right w:w="120" w:type="dxa"/>
            </w:tcMar>
          </w:tcPr>
          <w:p w14:paraId="001CF212" w14:textId="77777777" w:rsidR="00C337B8" w:rsidRDefault="00000000">
            <w:r>
              <w:rPr>
                <w:rFonts w:ascii="Courier New" w:eastAsia="Courier New" w:hAnsi="Courier New" w:cs="Courier New"/>
                <w:b/>
                <w:bCs/>
                <w:color w:val="0F766E"/>
              </w:rPr>
              <w:t>Rt = (</w:t>
            </w:r>
            <w:proofErr w:type="spellStart"/>
            <w:r>
              <w:rPr>
                <w:rFonts w:ascii="Courier New" w:eastAsia="Courier New" w:hAnsi="Courier New" w:cs="Courier New"/>
                <w:b/>
                <w:bCs/>
                <w:color w:val="0F766E"/>
              </w:rPr>
              <w:t>NAVt</w:t>
            </w:r>
            <w:proofErr w:type="spellEnd"/>
            <w:r>
              <w:rPr>
                <w:rFonts w:ascii="Courier New" w:eastAsia="Courier New" w:hAnsi="Courier New" w:cs="Courier New"/>
                <w:b/>
                <w:bCs/>
                <w:color w:val="0F766E"/>
              </w:rPr>
              <w:t xml:space="preserve"> / NAVt-1) - 1</w:t>
            </w:r>
          </w:p>
        </w:tc>
      </w:tr>
      <w:tr w:rsidR="00C337B8" w14:paraId="6CD786B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3D472E74" w14:textId="77777777" w:rsidR="00C337B8" w:rsidRDefault="00C337B8">
            <w:pPr>
              <w:spacing w:after="100" w:line="276" w:lineRule="auto"/>
            </w:pP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40" w:type="dxa"/>
              <w:left w:w="160" w:type="dxa"/>
              <w:bottom w:w="60" w:type="dxa"/>
              <w:right w:w="120" w:type="dxa"/>
            </w:tcMar>
          </w:tcPr>
          <w:p w14:paraId="6ECDEBAF" w14:textId="77777777" w:rsidR="00C337B8" w:rsidRDefault="00000000">
            <w:r>
              <w:rPr>
                <w:i/>
                <w:iCs/>
                <w:color w:val="475569"/>
                <w:sz w:val="19"/>
                <w:szCs w:val="19"/>
              </w:rPr>
              <w:t xml:space="preserve">Where </w:t>
            </w:r>
            <w:proofErr w:type="spellStart"/>
            <w:r>
              <w:rPr>
                <w:i/>
                <w:iCs/>
                <w:color w:val="475569"/>
                <w:sz w:val="19"/>
                <w:szCs w:val="19"/>
              </w:rPr>
              <w:t>NAVt</w:t>
            </w:r>
            <w:proofErr w:type="spellEnd"/>
            <w:r>
              <w:rPr>
                <w:i/>
                <w:iCs/>
                <w:color w:val="475569"/>
                <w:sz w:val="19"/>
                <w:szCs w:val="19"/>
              </w:rPr>
              <w:t xml:space="preserve"> = NAV on trading day t and NAVt-1 = NAV on the previous trading day. Applied using .</w:t>
            </w:r>
            <w:proofErr w:type="spellStart"/>
            <w:r>
              <w:rPr>
                <w:i/>
                <w:iCs/>
                <w:color w:val="475569"/>
                <w:sz w:val="19"/>
                <w:szCs w:val="19"/>
              </w:rPr>
              <w:t>pct_</w:t>
            </w:r>
            <w:proofErr w:type="gramStart"/>
            <w:r>
              <w:rPr>
                <w:i/>
                <w:iCs/>
                <w:color w:val="475569"/>
                <w:sz w:val="19"/>
                <w:szCs w:val="19"/>
              </w:rPr>
              <w:t>change</w:t>
            </w:r>
            <w:proofErr w:type="spellEnd"/>
            <w:r>
              <w:rPr>
                <w:i/>
                <w:iCs/>
                <w:color w:val="475569"/>
                <w:sz w:val="19"/>
                <w:szCs w:val="19"/>
              </w:rPr>
              <w:t>(</w:t>
            </w:r>
            <w:proofErr w:type="gramEnd"/>
            <w:r>
              <w:rPr>
                <w:i/>
                <w:iCs/>
                <w:color w:val="475569"/>
                <w:sz w:val="19"/>
                <w:szCs w:val="19"/>
              </w:rPr>
              <w:t>) on the NAV time series within each AMFI Code group.</w:t>
            </w:r>
          </w:p>
        </w:tc>
      </w:tr>
    </w:tbl>
    <w:p w14:paraId="23581B49" w14:textId="77777777" w:rsidR="00C337B8" w:rsidRDefault="00C337B8">
      <w:pPr>
        <w:spacing w:after="60"/>
      </w:pPr>
    </w:p>
    <w:p w14:paraId="061B7C4A" w14:textId="77777777" w:rsidR="00C337B8" w:rsidRDefault="00000000">
      <w:pPr>
        <w:spacing w:after="100" w:line="276" w:lineRule="auto"/>
      </w:pPr>
      <w:r>
        <w:rPr>
          <w:color w:val="1E293B"/>
        </w:rPr>
        <w:t>Daily return series form the input to all downstream risk metrics. Return distributions were analyzed for skewness and kurtosis to identify non-normal behavior. Large-cap funds showed near-symmetric distributions (skewness: -0.1 to +0.2), while small-cap and thematic funds exhibited negative skewness (skewness: -0.4 to -0.8) and excess kurtosis — indicating fat tails and a higher probability of extreme negative returns than a normal distribution would suggest.</w:t>
      </w:r>
    </w:p>
    <w:p w14:paraId="677BE245" w14:textId="77777777" w:rsidR="00C337B8" w:rsidRDefault="00C337B8">
      <w:pPr>
        <w:spacing w:after="60"/>
      </w:pPr>
    </w:p>
    <w:p w14:paraId="16A46489" w14:textId="77777777" w:rsidR="00C337B8" w:rsidRDefault="00000000">
      <w:pPr>
        <w:pStyle w:val="Heading2"/>
      </w:pPr>
      <w:bookmarkStart w:id="19" w:name="_Toc232150563"/>
      <w:r>
        <w:t>6.2 Compound Annual Growth Rate (CAGR)</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37B8" w14:paraId="2713177B" w14:textId="77777777">
        <w:tblPrEx>
          <w:tblCellMar>
            <w:top w:w="0" w:type="dxa"/>
            <w:bottom w:w="0" w:type="dxa"/>
          </w:tblCellMar>
        </w:tblPrEx>
        <w:tc>
          <w:tcPr>
            <w:tcW w:w="2200" w:type="dxa"/>
            <w:tcBorders>
              <w:top w:val="single" w:sz="4" w:space="0" w:color="0F766E"/>
              <w:left w:val="single" w:sz="4" w:space="0" w:color="0F766E"/>
              <w:bottom w:val="single" w:sz="4" w:space="0" w:color="0F766E"/>
              <w:right w:val="single" w:sz="4" w:space="0" w:color="0F766E"/>
            </w:tcBorders>
            <w:shd w:val="clear" w:color="auto" w:fill="0F766E"/>
            <w:tcMar>
              <w:top w:w="100" w:type="dxa"/>
              <w:left w:w="120" w:type="dxa"/>
              <w:bottom w:w="100" w:type="dxa"/>
              <w:right w:w="120" w:type="dxa"/>
            </w:tcMar>
            <w:vAlign w:val="center"/>
          </w:tcPr>
          <w:p w14:paraId="3BB18BB9" w14:textId="77777777" w:rsidR="00C337B8" w:rsidRDefault="00000000">
            <w:pPr>
              <w:jc w:val="center"/>
            </w:pPr>
            <w:r>
              <w:rPr>
                <w:b/>
                <w:bCs/>
                <w:color w:val="FFFFFF"/>
                <w:sz w:val="20"/>
                <w:szCs w:val="20"/>
              </w:rPr>
              <w:t>CAGR</w:t>
            </w:r>
          </w:p>
        </w:tc>
        <w:tc>
          <w:tcPr>
            <w:tcW w:w="7160" w:type="dxa"/>
            <w:tcBorders>
              <w:top w:val="single" w:sz="4" w:space="0" w:color="0D9488"/>
              <w:left w:val="single" w:sz="4" w:space="0" w:color="0D9488"/>
              <w:bottom w:val="single" w:sz="4" w:space="0" w:color="0D9488"/>
              <w:right w:val="single" w:sz="4" w:space="0" w:color="0D9488"/>
            </w:tcBorders>
            <w:shd w:val="clear" w:color="auto" w:fill="F0FDFA"/>
            <w:tcMar>
              <w:top w:w="80" w:type="dxa"/>
              <w:left w:w="160" w:type="dxa"/>
              <w:bottom w:w="80" w:type="dxa"/>
              <w:right w:w="120" w:type="dxa"/>
            </w:tcMar>
          </w:tcPr>
          <w:p w14:paraId="254A1BA4" w14:textId="77777777" w:rsidR="00C337B8" w:rsidRDefault="00000000">
            <w:r>
              <w:rPr>
                <w:rFonts w:ascii="Courier New" w:eastAsia="Courier New" w:hAnsi="Courier New" w:cs="Courier New"/>
                <w:b/>
                <w:bCs/>
                <w:color w:val="0F766E"/>
              </w:rPr>
              <w:t xml:space="preserve">CAGR = (Ending NAV / Beginning </w:t>
            </w:r>
            <w:proofErr w:type="gramStart"/>
            <w:r>
              <w:rPr>
                <w:rFonts w:ascii="Courier New" w:eastAsia="Courier New" w:hAnsi="Courier New" w:cs="Courier New"/>
                <w:b/>
                <w:bCs/>
                <w:color w:val="0F766E"/>
              </w:rPr>
              <w:t>NAV)^</w:t>
            </w:r>
            <w:proofErr w:type="gramEnd"/>
            <w:r>
              <w:rPr>
                <w:rFonts w:ascii="Courier New" w:eastAsia="Courier New" w:hAnsi="Courier New" w:cs="Courier New"/>
                <w:b/>
                <w:bCs/>
                <w:color w:val="0F766E"/>
              </w:rPr>
              <w:t>(1/n) - 1</w:t>
            </w:r>
          </w:p>
        </w:tc>
      </w:tr>
      <w:tr w:rsidR="00C337B8" w14:paraId="16FB8DB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2278864D" w14:textId="77777777" w:rsidR="00C337B8" w:rsidRDefault="00C337B8">
            <w:pPr>
              <w:spacing w:after="100" w:line="276" w:lineRule="auto"/>
            </w:pP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40" w:type="dxa"/>
              <w:left w:w="160" w:type="dxa"/>
              <w:bottom w:w="60" w:type="dxa"/>
              <w:right w:w="120" w:type="dxa"/>
            </w:tcMar>
          </w:tcPr>
          <w:p w14:paraId="04C50FCB" w14:textId="77777777" w:rsidR="00C337B8" w:rsidRDefault="00000000">
            <w:r>
              <w:rPr>
                <w:i/>
                <w:iCs/>
                <w:color w:val="475569"/>
                <w:sz w:val="19"/>
                <w:szCs w:val="19"/>
              </w:rPr>
              <w:t>Where n = number of years. Computed for 1-year, 3-year, and since-inception horizons. The 3-year CAGR provides the most reliable comparison signal across funds with different launch dates.</w:t>
            </w:r>
          </w:p>
        </w:tc>
      </w:tr>
    </w:tbl>
    <w:p w14:paraId="4B78EE23" w14:textId="77777777" w:rsidR="00C337B8" w:rsidRDefault="00C337B8">
      <w:pPr>
        <w:spacing w:after="60"/>
      </w:pPr>
    </w:p>
    <w:p w14:paraId="79549F2F" w14:textId="77777777" w:rsidR="00C337B8" w:rsidRDefault="00000000">
      <w:pPr>
        <w:spacing w:after="100" w:line="276" w:lineRule="auto"/>
      </w:pPr>
      <w:r>
        <w:rPr>
          <w:color w:val="1E293B"/>
        </w:rPr>
        <w:t>The 3-year CAGR analysis across 40 schemes revealed significant performance dispersion. The top-performing equity funds delivered 3-year CAGRs in the 18–24% range. The NIFTY 50 delivered approximately 14.2% CAGR over the same period. Of the 40 schemes, 27 outperformed the NIFTY 50 CAGR on a raw return basis, though this finding requires risk-adjustment before drawing investment conclusions — which the Sharpe and Sortino analyses provide.</w:t>
      </w:r>
    </w:p>
    <w:p w14:paraId="3E6BD28C" w14:textId="77777777" w:rsidR="00C337B8" w:rsidRDefault="00C337B8">
      <w:pPr>
        <w:spacing w:after="60"/>
      </w:pPr>
    </w:p>
    <w:p w14:paraId="49792418" w14:textId="77777777" w:rsidR="00C337B8" w:rsidRDefault="00000000">
      <w:pPr>
        <w:pStyle w:val="Heading2"/>
      </w:pPr>
      <w:bookmarkStart w:id="20" w:name="_Toc232150564"/>
      <w:r>
        <w:t>6.3 Sharpe Ratio — Risk-Adjusted Return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37B8" w14:paraId="04863BB3" w14:textId="77777777">
        <w:tblPrEx>
          <w:tblCellMar>
            <w:top w:w="0" w:type="dxa"/>
            <w:bottom w:w="0" w:type="dxa"/>
          </w:tblCellMar>
        </w:tblPrEx>
        <w:tc>
          <w:tcPr>
            <w:tcW w:w="2200" w:type="dxa"/>
            <w:tcBorders>
              <w:top w:val="single" w:sz="4" w:space="0" w:color="0F766E"/>
              <w:left w:val="single" w:sz="4" w:space="0" w:color="0F766E"/>
              <w:bottom w:val="single" w:sz="4" w:space="0" w:color="0F766E"/>
              <w:right w:val="single" w:sz="4" w:space="0" w:color="0F766E"/>
            </w:tcBorders>
            <w:shd w:val="clear" w:color="auto" w:fill="0F766E"/>
            <w:tcMar>
              <w:top w:w="100" w:type="dxa"/>
              <w:left w:w="120" w:type="dxa"/>
              <w:bottom w:w="100" w:type="dxa"/>
              <w:right w:w="120" w:type="dxa"/>
            </w:tcMar>
            <w:vAlign w:val="center"/>
          </w:tcPr>
          <w:p w14:paraId="476A8163" w14:textId="77777777" w:rsidR="00C337B8" w:rsidRDefault="00000000">
            <w:pPr>
              <w:jc w:val="center"/>
            </w:pPr>
            <w:r>
              <w:rPr>
                <w:b/>
                <w:bCs/>
                <w:color w:val="FFFFFF"/>
                <w:sz w:val="20"/>
                <w:szCs w:val="20"/>
              </w:rPr>
              <w:t>Sharpe Ratio</w:t>
            </w:r>
          </w:p>
        </w:tc>
        <w:tc>
          <w:tcPr>
            <w:tcW w:w="7160" w:type="dxa"/>
            <w:tcBorders>
              <w:top w:val="single" w:sz="4" w:space="0" w:color="0D9488"/>
              <w:left w:val="single" w:sz="4" w:space="0" w:color="0D9488"/>
              <w:bottom w:val="single" w:sz="4" w:space="0" w:color="0D9488"/>
              <w:right w:val="single" w:sz="4" w:space="0" w:color="0D9488"/>
            </w:tcBorders>
            <w:shd w:val="clear" w:color="auto" w:fill="F0FDFA"/>
            <w:tcMar>
              <w:top w:w="80" w:type="dxa"/>
              <w:left w:w="160" w:type="dxa"/>
              <w:bottom w:w="80" w:type="dxa"/>
              <w:right w:w="120" w:type="dxa"/>
            </w:tcMar>
          </w:tcPr>
          <w:p w14:paraId="5BF2968B" w14:textId="77777777" w:rsidR="00C337B8" w:rsidRDefault="00000000">
            <w:r>
              <w:rPr>
                <w:rFonts w:ascii="Courier New" w:eastAsia="Courier New" w:hAnsi="Courier New" w:cs="Courier New"/>
                <w:b/>
                <w:bCs/>
                <w:color w:val="0F766E"/>
              </w:rPr>
              <w:t xml:space="preserve">Sharpe = ((Rp - Rf) / </w:t>
            </w:r>
            <w:proofErr w:type="spellStart"/>
            <w:r>
              <w:rPr>
                <w:rFonts w:ascii="Courier New" w:eastAsia="Courier New" w:hAnsi="Courier New" w:cs="Courier New"/>
                <w:b/>
                <w:bCs/>
                <w:color w:val="0F766E"/>
              </w:rPr>
              <w:t>σp</w:t>
            </w:r>
            <w:proofErr w:type="spellEnd"/>
            <w:r>
              <w:rPr>
                <w:rFonts w:ascii="Courier New" w:eastAsia="Courier New" w:hAnsi="Courier New" w:cs="Courier New"/>
                <w:b/>
                <w:bCs/>
                <w:color w:val="0F766E"/>
              </w:rPr>
              <w:t>) × √252</w:t>
            </w:r>
          </w:p>
        </w:tc>
      </w:tr>
      <w:tr w:rsidR="00C337B8" w14:paraId="766D82D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2CACF667" w14:textId="77777777" w:rsidR="00C337B8" w:rsidRDefault="00C337B8">
            <w:pPr>
              <w:spacing w:after="100" w:line="276" w:lineRule="auto"/>
            </w:pP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40" w:type="dxa"/>
              <w:left w:w="160" w:type="dxa"/>
              <w:bottom w:w="60" w:type="dxa"/>
              <w:right w:w="120" w:type="dxa"/>
            </w:tcMar>
          </w:tcPr>
          <w:p w14:paraId="0275A5FD" w14:textId="77777777" w:rsidR="00C337B8" w:rsidRDefault="00000000">
            <w:r>
              <w:rPr>
                <w:i/>
                <w:iCs/>
                <w:color w:val="475569"/>
                <w:sz w:val="19"/>
                <w:szCs w:val="19"/>
              </w:rPr>
              <w:t xml:space="preserve">Where Rp = annualized fund return, Rf = 6.5% risk-free rate, </w:t>
            </w:r>
            <w:proofErr w:type="spellStart"/>
            <w:r>
              <w:rPr>
                <w:i/>
                <w:iCs/>
                <w:color w:val="475569"/>
                <w:sz w:val="19"/>
                <w:szCs w:val="19"/>
              </w:rPr>
              <w:t>σp</w:t>
            </w:r>
            <w:proofErr w:type="spellEnd"/>
            <w:r>
              <w:rPr>
                <w:i/>
                <w:iCs/>
                <w:color w:val="475569"/>
                <w:sz w:val="19"/>
                <w:szCs w:val="19"/>
              </w:rPr>
              <w:t xml:space="preserve"> = annualized standard deviation of daily returns (</w:t>
            </w:r>
            <w:proofErr w:type="spellStart"/>
            <w:r>
              <w:rPr>
                <w:i/>
                <w:iCs/>
                <w:color w:val="475569"/>
                <w:sz w:val="19"/>
                <w:szCs w:val="19"/>
              </w:rPr>
              <w:t>σdaily</w:t>
            </w:r>
            <w:proofErr w:type="spellEnd"/>
            <w:r>
              <w:rPr>
                <w:i/>
                <w:iCs/>
                <w:color w:val="475569"/>
                <w:sz w:val="19"/>
                <w:szCs w:val="19"/>
              </w:rPr>
              <w:t xml:space="preserve"> × √252). Measures return generated per unit of total volatility.</w:t>
            </w:r>
          </w:p>
        </w:tc>
      </w:tr>
    </w:tbl>
    <w:p w14:paraId="6241918E" w14:textId="77777777" w:rsidR="00C337B8" w:rsidRDefault="00C337B8">
      <w:pPr>
        <w:spacing w:after="60"/>
      </w:pPr>
    </w:p>
    <w:p w14:paraId="0879D386" w14:textId="77777777" w:rsidR="00C337B8" w:rsidRDefault="00000000">
      <w:pPr>
        <w:spacing w:after="100" w:line="276" w:lineRule="auto"/>
      </w:pPr>
      <w:r>
        <w:rPr>
          <w:color w:val="1E293B"/>
        </w:rPr>
        <w:t xml:space="preserve">Funds with Sharpe Ratio &gt; 1.0 are conventionally considered well risk-adjusted for equity investments. In this analysis, 14 of 40 schemes (35%) achieved Sharpe &gt; 1.0, predominantly in the Large Cap and Flexi Cap categories. The top-5 funds by Sharpe maintained ratios above 1.3 consistently — including SBI Small Cap Fund </w:t>
      </w:r>
      <w:r>
        <w:rPr>
          <w:color w:val="1E293B"/>
        </w:rPr>
        <w:lastRenderedPageBreak/>
        <w:t xml:space="preserve">(despite its high volatility, its return generation more than compensated) and Kotak </w:t>
      </w:r>
      <w:proofErr w:type="spellStart"/>
      <w:r>
        <w:rPr>
          <w:color w:val="1E293B"/>
        </w:rPr>
        <w:t>Flexicap</w:t>
      </w:r>
      <w:proofErr w:type="spellEnd"/>
      <w:r>
        <w:rPr>
          <w:color w:val="1E293B"/>
        </w:rPr>
        <w:t xml:space="preserve"> Fund. High Sharpe Ratio funds consistently delivered superior performance persistence across rolling measurement windows.</w:t>
      </w:r>
    </w:p>
    <w:p w14:paraId="44B4747A"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337B8" w14:paraId="0CACE5C8" w14:textId="77777777">
        <w:tblPrEx>
          <w:tblCellMar>
            <w:top w:w="0" w:type="dxa"/>
            <w:bottom w:w="0" w:type="dxa"/>
          </w:tblCellMar>
        </w:tblPrEx>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59E53A05" w14:textId="77777777" w:rsidR="00C337B8" w:rsidRDefault="00000000">
            <w:pPr>
              <w:spacing w:after="40"/>
              <w:jc w:val="center"/>
            </w:pPr>
            <w:r>
              <w:rPr>
                <w:b/>
                <w:bCs/>
                <w:color w:val="475569"/>
              </w:rPr>
              <w:t xml:space="preserve">[ Sharpe Ratio Ranking — Horizontal bar chart, all 40 schemes ranked by Sharpe Ratio, color-coded by </w:t>
            </w:r>
            <w:proofErr w:type="gramStart"/>
            <w:r>
              <w:rPr>
                <w:b/>
                <w:bCs/>
                <w:color w:val="475569"/>
              </w:rPr>
              <w:t>category ]</w:t>
            </w:r>
            <w:proofErr w:type="gramEnd"/>
          </w:p>
          <w:p w14:paraId="49EFB984" w14:textId="6FB47D76" w:rsidR="00C337B8" w:rsidRDefault="001A19EE">
            <w:pPr>
              <w:jc w:val="center"/>
            </w:pPr>
            <w:r>
              <w:rPr>
                <w:noProof/>
              </w:rPr>
              <w:drawing>
                <wp:anchor distT="0" distB="0" distL="114300" distR="114300" simplePos="0" relativeHeight="251662336" behindDoc="1" locked="0" layoutInCell="1" allowOverlap="1" wp14:anchorId="612CA09D" wp14:editId="6954A7C1">
                  <wp:simplePos x="0" y="0"/>
                  <wp:positionH relativeFrom="column">
                    <wp:posOffset>0</wp:posOffset>
                  </wp:positionH>
                  <wp:positionV relativeFrom="paragraph">
                    <wp:posOffset>0</wp:posOffset>
                  </wp:positionV>
                  <wp:extent cx="6396990" cy="5330825"/>
                  <wp:effectExtent l="0" t="0" r="3810" b="3175"/>
                  <wp:wrapThrough wrapText="bothSides">
                    <wp:wrapPolygon edited="0">
                      <wp:start x="0" y="0"/>
                      <wp:lineTo x="0" y="21536"/>
                      <wp:lineTo x="21549" y="21536"/>
                      <wp:lineTo x="21549" y="0"/>
                      <wp:lineTo x="0" y="0"/>
                    </wp:wrapPolygon>
                  </wp:wrapThrough>
                  <wp:docPr id="1322785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6990" cy="53308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FF7E18D"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7B8" w14:paraId="3E4BAE1E" w14:textId="77777777">
        <w:tblPrEx>
          <w:tblCellMar>
            <w:top w:w="0" w:type="dxa"/>
            <w:bottom w:w="0" w:type="dxa"/>
          </w:tblCellMar>
        </w:tblPrEx>
        <w:tc>
          <w:tcPr>
            <w:tcW w:w="9360" w:type="dxa"/>
            <w:tcBorders>
              <w:top w:val="single" w:sz="2" w:space="0" w:color="FCD34D"/>
              <w:left w:val="single" w:sz="24" w:space="0" w:color="D97706"/>
              <w:bottom w:val="single" w:sz="2" w:space="0" w:color="FCD34D"/>
              <w:right w:val="single" w:sz="2" w:space="0" w:color="FCD34D"/>
            </w:tcBorders>
            <w:shd w:val="clear" w:color="auto" w:fill="FFFBEB"/>
            <w:tcMar>
              <w:top w:w="80" w:type="dxa"/>
              <w:left w:w="200" w:type="dxa"/>
              <w:bottom w:w="80" w:type="dxa"/>
              <w:right w:w="140" w:type="dxa"/>
            </w:tcMar>
          </w:tcPr>
          <w:p w14:paraId="4394CB65" w14:textId="77777777" w:rsidR="00C337B8" w:rsidRDefault="00000000">
            <w:r>
              <w:rPr>
                <w:b/>
                <w:bCs/>
                <w:color w:val="D97706"/>
              </w:rPr>
              <w:t xml:space="preserve">Note: </w:t>
            </w:r>
            <w:r>
              <w:rPr>
                <w:color w:val="1E293B"/>
              </w:rPr>
              <w:t xml:space="preserve">Fund scorecard highlights — SBI Small Cap Fund: 72.75 composite score | Kotak </w:t>
            </w:r>
            <w:proofErr w:type="spellStart"/>
            <w:r>
              <w:rPr>
                <w:color w:val="1E293B"/>
              </w:rPr>
              <w:t>Flexicap</w:t>
            </w:r>
            <w:proofErr w:type="spellEnd"/>
            <w:r>
              <w:rPr>
                <w:color w:val="1E293B"/>
              </w:rPr>
              <w:t xml:space="preserve"> Fund: 71.50 composite score. Composite score = Sharpe × 0.4 + Alpha × 0.3 + CAGR_3Y × 0.3 (normalized).</w:t>
            </w:r>
          </w:p>
        </w:tc>
      </w:tr>
    </w:tbl>
    <w:p w14:paraId="78639939" w14:textId="77777777" w:rsidR="00C337B8" w:rsidRDefault="00C337B8">
      <w:pPr>
        <w:spacing w:after="60"/>
      </w:pPr>
    </w:p>
    <w:p w14:paraId="1FFA283B" w14:textId="77777777" w:rsidR="00C337B8" w:rsidRDefault="00000000">
      <w:pPr>
        <w:pStyle w:val="Heading2"/>
      </w:pPr>
      <w:bookmarkStart w:id="21" w:name="_Toc232150565"/>
      <w:r>
        <w:t>6.4 Sortino Ratio — Downside Risk-Adjusted Return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37B8" w14:paraId="62AC7D70" w14:textId="77777777">
        <w:tblPrEx>
          <w:tblCellMar>
            <w:top w:w="0" w:type="dxa"/>
            <w:bottom w:w="0" w:type="dxa"/>
          </w:tblCellMar>
        </w:tblPrEx>
        <w:tc>
          <w:tcPr>
            <w:tcW w:w="2200" w:type="dxa"/>
            <w:tcBorders>
              <w:top w:val="single" w:sz="4" w:space="0" w:color="0F766E"/>
              <w:left w:val="single" w:sz="4" w:space="0" w:color="0F766E"/>
              <w:bottom w:val="single" w:sz="4" w:space="0" w:color="0F766E"/>
              <w:right w:val="single" w:sz="4" w:space="0" w:color="0F766E"/>
            </w:tcBorders>
            <w:shd w:val="clear" w:color="auto" w:fill="0F766E"/>
            <w:tcMar>
              <w:top w:w="100" w:type="dxa"/>
              <w:left w:w="120" w:type="dxa"/>
              <w:bottom w:w="100" w:type="dxa"/>
              <w:right w:w="120" w:type="dxa"/>
            </w:tcMar>
            <w:vAlign w:val="center"/>
          </w:tcPr>
          <w:p w14:paraId="5AE6111C" w14:textId="77777777" w:rsidR="00C337B8" w:rsidRDefault="00000000">
            <w:pPr>
              <w:jc w:val="center"/>
            </w:pPr>
            <w:r>
              <w:rPr>
                <w:b/>
                <w:bCs/>
                <w:color w:val="FFFFFF"/>
                <w:sz w:val="20"/>
                <w:szCs w:val="20"/>
              </w:rPr>
              <w:t>Sortino Ratio</w:t>
            </w:r>
          </w:p>
        </w:tc>
        <w:tc>
          <w:tcPr>
            <w:tcW w:w="7160" w:type="dxa"/>
            <w:tcBorders>
              <w:top w:val="single" w:sz="4" w:space="0" w:color="0D9488"/>
              <w:left w:val="single" w:sz="4" w:space="0" w:color="0D9488"/>
              <w:bottom w:val="single" w:sz="4" w:space="0" w:color="0D9488"/>
              <w:right w:val="single" w:sz="4" w:space="0" w:color="0D9488"/>
            </w:tcBorders>
            <w:shd w:val="clear" w:color="auto" w:fill="F0FDFA"/>
            <w:tcMar>
              <w:top w:w="80" w:type="dxa"/>
              <w:left w:w="160" w:type="dxa"/>
              <w:bottom w:w="80" w:type="dxa"/>
              <w:right w:w="120" w:type="dxa"/>
            </w:tcMar>
          </w:tcPr>
          <w:p w14:paraId="472B496C" w14:textId="77777777" w:rsidR="00C337B8" w:rsidRDefault="00000000">
            <w:r>
              <w:rPr>
                <w:rFonts w:ascii="Courier New" w:eastAsia="Courier New" w:hAnsi="Courier New" w:cs="Courier New"/>
                <w:b/>
                <w:bCs/>
                <w:color w:val="0F766E"/>
              </w:rPr>
              <w:t xml:space="preserve">Sortino = ((Rp - Rf) / </w:t>
            </w:r>
            <w:proofErr w:type="spellStart"/>
            <w:r>
              <w:rPr>
                <w:rFonts w:ascii="Courier New" w:eastAsia="Courier New" w:hAnsi="Courier New" w:cs="Courier New"/>
                <w:b/>
                <w:bCs/>
                <w:color w:val="0F766E"/>
              </w:rPr>
              <w:t>σ_downside</w:t>
            </w:r>
            <w:proofErr w:type="spellEnd"/>
            <w:r>
              <w:rPr>
                <w:rFonts w:ascii="Courier New" w:eastAsia="Courier New" w:hAnsi="Courier New" w:cs="Courier New"/>
                <w:b/>
                <w:bCs/>
                <w:color w:val="0F766E"/>
              </w:rPr>
              <w:t>) × √252</w:t>
            </w:r>
          </w:p>
        </w:tc>
      </w:tr>
      <w:tr w:rsidR="00C337B8" w14:paraId="34064CF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0E551D4A" w14:textId="77777777" w:rsidR="00C337B8" w:rsidRDefault="00C337B8">
            <w:pPr>
              <w:spacing w:after="100" w:line="276" w:lineRule="auto"/>
            </w:pP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40" w:type="dxa"/>
              <w:left w:w="160" w:type="dxa"/>
              <w:bottom w:w="60" w:type="dxa"/>
              <w:right w:w="120" w:type="dxa"/>
            </w:tcMar>
          </w:tcPr>
          <w:p w14:paraId="72514D10" w14:textId="77777777" w:rsidR="00C337B8" w:rsidRDefault="00000000">
            <w:r>
              <w:rPr>
                <w:i/>
                <w:iCs/>
                <w:color w:val="475569"/>
                <w:sz w:val="19"/>
                <w:szCs w:val="19"/>
              </w:rPr>
              <w:t xml:space="preserve">Where </w:t>
            </w:r>
            <w:proofErr w:type="spellStart"/>
            <w:r>
              <w:rPr>
                <w:i/>
                <w:iCs/>
                <w:color w:val="475569"/>
                <w:sz w:val="19"/>
                <w:szCs w:val="19"/>
              </w:rPr>
              <w:t>σ_downside</w:t>
            </w:r>
            <w:proofErr w:type="spellEnd"/>
            <w:r>
              <w:rPr>
                <w:i/>
                <w:iCs/>
                <w:color w:val="475569"/>
                <w:sz w:val="19"/>
                <w:szCs w:val="19"/>
              </w:rPr>
              <w:t xml:space="preserve"> = standard deviation of negative daily returns only (downside deviation). Penalizes harmful volatility only, making it more investor-relevant than Sharpe.</w:t>
            </w:r>
          </w:p>
        </w:tc>
      </w:tr>
    </w:tbl>
    <w:p w14:paraId="70C32D71" w14:textId="77777777" w:rsidR="00C337B8" w:rsidRDefault="00C337B8">
      <w:pPr>
        <w:spacing w:after="60"/>
      </w:pPr>
    </w:p>
    <w:p w14:paraId="0AB32B1C" w14:textId="77777777" w:rsidR="00C337B8" w:rsidRDefault="00000000">
      <w:pPr>
        <w:spacing w:after="100" w:line="276" w:lineRule="auto"/>
      </w:pPr>
      <w:r>
        <w:rPr>
          <w:color w:val="1E293B"/>
        </w:rPr>
        <w:t>The Sortino Ratio analysis revealed an important asymmetry: several mid-cap funds that appeared average on the Sharpe Ratio ranked significantly higher on Sortino, indicating that their total volatility included a disproportionate share of positive upside volatility. This has practical implications — investors concerned primarily with capital loss (as opposed to total volatility) should weight Sortino more heavily than Sharpe in fund selection. Funds with strong Sortino Ratios demonstrated effective downside protection during the 2022 and early-2023 correction episodes.</w:t>
      </w:r>
    </w:p>
    <w:p w14:paraId="168989BF" w14:textId="77777777" w:rsidR="00C337B8" w:rsidRDefault="00C337B8">
      <w:pPr>
        <w:spacing w:after="60"/>
      </w:pPr>
    </w:p>
    <w:p w14:paraId="35761D2F" w14:textId="77777777" w:rsidR="00C337B8" w:rsidRDefault="00000000">
      <w:pPr>
        <w:pStyle w:val="Heading2"/>
      </w:pPr>
      <w:bookmarkStart w:id="22" w:name="_Toc232150566"/>
      <w:r>
        <w:t>6.5 Alpha &amp; Beta — Benchmark Sensitivity Analysis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37B8" w14:paraId="15719951" w14:textId="77777777">
        <w:tblPrEx>
          <w:tblCellMar>
            <w:top w:w="0" w:type="dxa"/>
            <w:bottom w:w="0" w:type="dxa"/>
          </w:tblCellMar>
        </w:tblPrEx>
        <w:tc>
          <w:tcPr>
            <w:tcW w:w="2200" w:type="dxa"/>
            <w:tcBorders>
              <w:top w:val="single" w:sz="4" w:space="0" w:color="0F766E"/>
              <w:left w:val="single" w:sz="4" w:space="0" w:color="0F766E"/>
              <w:bottom w:val="single" w:sz="4" w:space="0" w:color="0F766E"/>
              <w:right w:val="single" w:sz="4" w:space="0" w:color="0F766E"/>
            </w:tcBorders>
            <w:shd w:val="clear" w:color="auto" w:fill="0F766E"/>
            <w:tcMar>
              <w:top w:w="100" w:type="dxa"/>
              <w:left w:w="120" w:type="dxa"/>
              <w:bottom w:w="100" w:type="dxa"/>
              <w:right w:w="120" w:type="dxa"/>
            </w:tcMar>
            <w:vAlign w:val="center"/>
          </w:tcPr>
          <w:p w14:paraId="0F4A61C7" w14:textId="77777777" w:rsidR="00C337B8" w:rsidRDefault="00000000">
            <w:pPr>
              <w:jc w:val="center"/>
            </w:pPr>
            <w:r>
              <w:rPr>
                <w:b/>
                <w:bCs/>
                <w:color w:val="FFFFFF"/>
                <w:sz w:val="20"/>
                <w:szCs w:val="20"/>
              </w:rPr>
              <w:t>Alpha / Beta (OLS)</w:t>
            </w:r>
          </w:p>
        </w:tc>
        <w:tc>
          <w:tcPr>
            <w:tcW w:w="7160" w:type="dxa"/>
            <w:tcBorders>
              <w:top w:val="single" w:sz="4" w:space="0" w:color="0D9488"/>
              <w:left w:val="single" w:sz="4" w:space="0" w:color="0D9488"/>
              <w:bottom w:val="single" w:sz="4" w:space="0" w:color="0D9488"/>
              <w:right w:val="single" w:sz="4" w:space="0" w:color="0D9488"/>
            </w:tcBorders>
            <w:shd w:val="clear" w:color="auto" w:fill="F0FDFA"/>
            <w:tcMar>
              <w:top w:w="80" w:type="dxa"/>
              <w:left w:w="160" w:type="dxa"/>
              <w:bottom w:w="80" w:type="dxa"/>
              <w:right w:w="120" w:type="dxa"/>
            </w:tcMar>
          </w:tcPr>
          <w:p w14:paraId="3395D0A2" w14:textId="77777777" w:rsidR="00C337B8" w:rsidRDefault="00000000">
            <w:proofErr w:type="spellStart"/>
            <w:proofErr w:type="gramStart"/>
            <w:r>
              <w:rPr>
                <w:rFonts w:ascii="Courier New" w:eastAsia="Courier New" w:hAnsi="Courier New" w:cs="Courier New"/>
                <w:b/>
                <w:bCs/>
                <w:color w:val="0F766E"/>
              </w:rPr>
              <w:t>Rp,t</w:t>
            </w:r>
            <w:proofErr w:type="spellEnd"/>
            <w:proofErr w:type="gramEnd"/>
            <w:r>
              <w:rPr>
                <w:rFonts w:ascii="Courier New" w:eastAsia="Courier New" w:hAnsi="Courier New" w:cs="Courier New"/>
                <w:b/>
                <w:bCs/>
                <w:color w:val="0F766E"/>
              </w:rPr>
              <w:t xml:space="preserve"> = α + β × </w:t>
            </w:r>
            <w:proofErr w:type="spellStart"/>
            <w:proofErr w:type="gramStart"/>
            <w:r>
              <w:rPr>
                <w:rFonts w:ascii="Courier New" w:eastAsia="Courier New" w:hAnsi="Courier New" w:cs="Courier New"/>
                <w:b/>
                <w:bCs/>
                <w:color w:val="0F766E"/>
              </w:rPr>
              <w:t>Rm,t</w:t>
            </w:r>
            <w:proofErr w:type="spellEnd"/>
            <w:proofErr w:type="gramEnd"/>
            <w:r>
              <w:rPr>
                <w:rFonts w:ascii="Courier New" w:eastAsia="Courier New" w:hAnsi="Courier New" w:cs="Courier New"/>
                <w:b/>
                <w:bCs/>
                <w:color w:val="0F766E"/>
              </w:rPr>
              <w:t xml:space="preserve"> + </w:t>
            </w:r>
            <w:proofErr w:type="spellStart"/>
            <w:r>
              <w:rPr>
                <w:rFonts w:ascii="Courier New" w:eastAsia="Courier New" w:hAnsi="Courier New" w:cs="Courier New"/>
                <w:b/>
                <w:bCs/>
                <w:color w:val="0F766E"/>
              </w:rPr>
              <w:t>εt</w:t>
            </w:r>
            <w:proofErr w:type="spellEnd"/>
            <w:proofErr w:type="gramStart"/>
            <w:r>
              <w:rPr>
                <w:rFonts w:ascii="Courier New" w:eastAsia="Courier New" w:hAnsi="Courier New" w:cs="Courier New"/>
                <w:b/>
                <w:bCs/>
                <w:color w:val="0F766E"/>
              </w:rPr>
              <w:t xml:space="preserve">   [</w:t>
            </w:r>
            <w:proofErr w:type="gramEnd"/>
            <w:r>
              <w:rPr>
                <w:rFonts w:ascii="Courier New" w:eastAsia="Courier New" w:hAnsi="Courier New" w:cs="Courier New"/>
                <w:b/>
                <w:bCs/>
                <w:color w:val="0F766E"/>
              </w:rPr>
              <w:t>OLS regression]</w:t>
            </w:r>
          </w:p>
        </w:tc>
      </w:tr>
      <w:tr w:rsidR="00C337B8" w14:paraId="7C5137C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42137053" w14:textId="77777777" w:rsidR="00C337B8" w:rsidRDefault="00C337B8">
            <w:pPr>
              <w:spacing w:after="100" w:line="276" w:lineRule="auto"/>
            </w:pP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40" w:type="dxa"/>
              <w:left w:w="160" w:type="dxa"/>
              <w:bottom w:w="60" w:type="dxa"/>
              <w:right w:w="120" w:type="dxa"/>
            </w:tcMar>
          </w:tcPr>
          <w:p w14:paraId="7EC8E6F5" w14:textId="77777777" w:rsidR="00C337B8" w:rsidRDefault="00000000">
            <w:r>
              <w:rPr>
                <w:i/>
                <w:iCs/>
                <w:color w:val="475569"/>
                <w:sz w:val="19"/>
                <w:szCs w:val="19"/>
              </w:rPr>
              <w:t xml:space="preserve">Where </w:t>
            </w:r>
            <w:proofErr w:type="spellStart"/>
            <w:proofErr w:type="gramStart"/>
            <w:r>
              <w:rPr>
                <w:i/>
                <w:iCs/>
                <w:color w:val="475569"/>
                <w:sz w:val="19"/>
                <w:szCs w:val="19"/>
              </w:rPr>
              <w:t>Rp,t</w:t>
            </w:r>
            <w:proofErr w:type="spellEnd"/>
            <w:proofErr w:type="gramEnd"/>
            <w:r>
              <w:rPr>
                <w:i/>
                <w:iCs/>
                <w:color w:val="475569"/>
                <w:sz w:val="19"/>
                <w:szCs w:val="19"/>
              </w:rPr>
              <w:t xml:space="preserve"> = fund daily return, </w:t>
            </w:r>
            <w:proofErr w:type="spellStart"/>
            <w:proofErr w:type="gramStart"/>
            <w:r>
              <w:rPr>
                <w:i/>
                <w:iCs/>
                <w:color w:val="475569"/>
                <w:sz w:val="19"/>
                <w:szCs w:val="19"/>
              </w:rPr>
              <w:t>Rm,t</w:t>
            </w:r>
            <w:proofErr w:type="spellEnd"/>
            <w:proofErr w:type="gramEnd"/>
            <w:r>
              <w:rPr>
                <w:i/>
                <w:iCs/>
                <w:color w:val="475569"/>
                <w:sz w:val="19"/>
                <w:szCs w:val="19"/>
              </w:rPr>
              <w:t xml:space="preserve"> = benchmark daily return, α = Jensen's Alpha (daily), β = Beta coefficient. Regressed using </w:t>
            </w:r>
            <w:proofErr w:type="spellStart"/>
            <w:proofErr w:type="gramStart"/>
            <w:r>
              <w:rPr>
                <w:i/>
                <w:iCs/>
                <w:color w:val="475569"/>
                <w:sz w:val="19"/>
                <w:szCs w:val="19"/>
              </w:rPr>
              <w:t>scipy.stats</w:t>
            </w:r>
            <w:proofErr w:type="gramEnd"/>
            <w:r>
              <w:rPr>
                <w:i/>
                <w:iCs/>
                <w:color w:val="475569"/>
                <w:sz w:val="19"/>
                <w:szCs w:val="19"/>
              </w:rPr>
              <w:t>.linregress</w:t>
            </w:r>
            <w:proofErr w:type="spellEnd"/>
            <w:r>
              <w:rPr>
                <w:i/>
                <w:iCs/>
                <w:color w:val="475569"/>
                <w:sz w:val="19"/>
                <w:szCs w:val="19"/>
              </w:rPr>
              <w:t xml:space="preserve"> over the full 4-year return history.</w:t>
            </w:r>
          </w:p>
        </w:tc>
      </w:tr>
    </w:tbl>
    <w:p w14:paraId="52D64B13" w14:textId="77777777" w:rsidR="00C337B8" w:rsidRDefault="00C337B8">
      <w:pPr>
        <w:spacing w:after="60"/>
      </w:pPr>
    </w:p>
    <w:p w14:paraId="020AFA23" w14:textId="77777777" w:rsidR="00C337B8" w:rsidRDefault="00000000">
      <w:pPr>
        <w:spacing w:after="100" w:line="276" w:lineRule="auto"/>
      </w:pPr>
      <w:r>
        <w:rPr>
          <w:color w:val="1E293B"/>
        </w:rPr>
        <w:t>Alpha and Beta were estimated via OLS regression of each fund's daily returns against its stated benchmark index (NIFTY 50 or NIFTY 100). The analysis yielded significant differentiation across the 40-scheme cohort:</w:t>
      </w:r>
    </w:p>
    <w:p w14:paraId="7A2AC935" w14:textId="77777777" w:rsidR="00C337B8" w:rsidRDefault="00000000">
      <w:pPr>
        <w:pStyle w:val="ListParagraph"/>
        <w:numPr>
          <w:ilvl w:val="0"/>
          <w:numId w:val="2"/>
        </w:numPr>
      </w:pPr>
      <w:r>
        <w:rPr>
          <w:color w:val="1E293B"/>
        </w:rPr>
        <w:t>27 of 40 schemes (67.5%) generated positive annualized Alpha — excess return beyond what is explained by benchmark market exposure. These funds are classified as value-adding active management mandates.</w:t>
      </w:r>
    </w:p>
    <w:p w14:paraId="5675F4CF" w14:textId="77777777" w:rsidR="00C337B8" w:rsidRDefault="00000000">
      <w:pPr>
        <w:pStyle w:val="ListParagraph"/>
        <w:numPr>
          <w:ilvl w:val="0"/>
          <w:numId w:val="2"/>
        </w:numPr>
      </w:pPr>
      <w:r>
        <w:rPr>
          <w:color w:val="1E293B"/>
        </w:rPr>
        <w:t>13 of 40 schemes showed negative Alpha, indicating benchmark underperformance on a risk-adjusted basis after accounting for market sensitivity. These funds warrant strategic review.</w:t>
      </w:r>
    </w:p>
    <w:p w14:paraId="063D9207" w14:textId="4EF27DE5" w:rsidR="00C337B8" w:rsidRDefault="00000000">
      <w:pPr>
        <w:pStyle w:val="ListParagraph"/>
        <w:numPr>
          <w:ilvl w:val="0"/>
          <w:numId w:val="2"/>
        </w:numPr>
      </w:pPr>
      <w:r>
        <w:rPr>
          <w:color w:val="1E293B"/>
        </w:rPr>
        <w:t>18 schemes had Beta &gt; 1.0 — amplifying market movements in both directions. These are higher-conviction equity plays, suitable for investors with longer time horizons and higher risk tolerance.</w:t>
      </w:r>
    </w:p>
    <w:p w14:paraId="0317CE72" w14:textId="649BE8E8" w:rsidR="00C337B8" w:rsidRDefault="00000000">
      <w:pPr>
        <w:pStyle w:val="ListParagraph"/>
        <w:numPr>
          <w:ilvl w:val="0"/>
          <w:numId w:val="2"/>
        </w:numPr>
      </w:pPr>
      <w:r>
        <w:rPr>
          <w:color w:val="1E293B"/>
        </w:rPr>
        <w:t>8 schemes exhibited Beta &lt; 0.7, classifying them as low-beta defensive funds — providing meaningful downside protection during market corrections while participating in upside rallies at a moderated pace.</w:t>
      </w:r>
    </w:p>
    <w:p w14:paraId="43578BDC" w14:textId="683866F3"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7B8" w14:paraId="7EAC5AD8" w14:textId="77777777">
        <w:tblPrEx>
          <w:tblCellMar>
            <w:top w:w="0" w:type="dxa"/>
            <w:bottom w:w="0" w:type="dxa"/>
          </w:tblCellMar>
        </w:tblPrEx>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109D435B" w14:textId="0A157BFC" w:rsidR="00C337B8" w:rsidRDefault="00000000">
            <w:pPr>
              <w:spacing w:after="40"/>
              <w:jc w:val="center"/>
            </w:pPr>
            <w:r>
              <w:rPr>
                <w:b/>
                <w:bCs/>
                <w:color w:val="475569"/>
              </w:rPr>
              <w:t xml:space="preserve">[ Alpha vs Beta Scatter Plot — Each point represents one fund; quadrant analysis: positive/negative Alpha vs high/low </w:t>
            </w:r>
            <w:proofErr w:type="gramStart"/>
            <w:r>
              <w:rPr>
                <w:b/>
                <w:bCs/>
                <w:color w:val="475569"/>
              </w:rPr>
              <w:t>Beta ]</w:t>
            </w:r>
            <w:proofErr w:type="gramEnd"/>
          </w:p>
          <w:p w14:paraId="7C2DA8A9" w14:textId="47D4A4BD" w:rsidR="00C337B8" w:rsidRDefault="001A19EE">
            <w:pPr>
              <w:jc w:val="center"/>
            </w:pPr>
            <w:r>
              <w:rPr>
                <w:noProof/>
              </w:rPr>
              <w:lastRenderedPageBreak/>
              <w:drawing>
                <wp:anchor distT="0" distB="0" distL="114300" distR="114300" simplePos="0" relativeHeight="251664384" behindDoc="1" locked="0" layoutInCell="1" allowOverlap="1" wp14:anchorId="43C0CBBD" wp14:editId="5654ECC6">
                  <wp:simplePos x="0" y="0"/>
                  <wp:positionH relativeFrom="column">
                    <wp:posOffset>-6350</wp:posOffset>
                  </wp:positionH>
                  <wp:positionV relativeFrom="paragraph">
                    <wp:posOffset>179070</wp:posOffset>
                  </wp:positionV>
                  <wp:extent cx="5347855" cy="3208714"/>
                  <wp:effectExtent l="0" t="0" r="5715" b="0"/>
                  <wp:wrapThrough wrapText="bothSides">
                    <wp:wrapPolygon edited="0">
                      <wp:start x="0" y="0"/>
                      <wp:lineTo x="0" y="21416"/>
                      <wp:lineTo x="21546" y="21416"/>
                      <wp:lineTo x="21546" y="0"/>
                      <wp:lineTo x="0" y="0"/>
                    </wp:wrapPolygon>
                  </wp:wrapThrough>
                  <wp:docPr id="1807722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7855" cy="3208714"/>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5260FA0" w14:textId="77777777" w:rsidR="00C337B8" w:rsidRDefault="00C337B8">
      <w:pPr>
        <w:spacing w:after="60"/>
      </w:pPr>
    </w:p>
    <w:p w14:paraId="10322A0C" w14:textId="77777777" w:rsidR="00C337B8" w:rsidRDefault="00000000">
      <w:pPr>
        <w:pStyle w:val="Heading2"/>
      </w:pPr>
      <w:bookmarkStart w:id="23" w:name="_Toc232150567"/>
      <w:r>
        <w:t>6.6 Maximum Drawdown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37B8" w14:paraId="071DA83C" w14:textId="77777777">
        <w:tblPrEx>
          <w:tblCellMar>
            <w:top w:w="0" w:type="dxa"/>
            <w:bottom w:w="0" w:type="dxa"/>
          </w:tblCellMar>
        </w:tblPrEx>
        <w:tc>
          <w:tcPr>
            <w:tcW w:w="2200" w:type="dxa"/>
            <w:tcBorders>
              <w:top w:val="single" w:sz="4" w:space="0" w:color="0F766E"/>
              <w:left w:val="single" w:sz="4" w:space="0" w:color="0F766E"/>
              <w:bottom w:val="single" w:sz="4" w:space="0" w:color="0F766E"/>
              <w:right w:val="single" w:sz="4" w:space="0" w:color="0F766E"/>
            </w:tcBorders>
            <w:shd w:val="clear" w:color="auto" w:fill="0F766E"/>
            <w:tcMar>
              <w:top w:w="100" w:type="dxa"/>
              <w:left w:w="120" w:type="dxa"/>
              <w:bottom w:w="100" w:type="dxa"/>
              <w:right w:w="120" w:type="dxa"/>
            </w:tcMar>
            <w:vAlign w:val="center"/>
          </w:tcPr>
          <w:p w14:paraId="6F83B552" w14:textId="77777777" w:rsidR="00C337B8" w:rsidRDefault="00000000">
            <w:pPr>
              <w:jc w:val="center"/>
            </w:pPr>
            <w:r>
              <w:rPr>
                <w:b/>
                <w:bCs/>
                <w:color w:val="FFFFFF"/>
                <w:sz w:val="20"/>
                <w:szCs w:val="20"/>
              </w:rPr>
              <w:t>Max Drawdown (MDD)</w:t>
            </w:r>
          </w:p>
        </w:tc>
        <w:tc>
          <w:tcPr>
            <w:tcW w:w="7160" w:type="dxa"/>
            <w:tcBorders>
              <w:top w:val="single" w:sz="4" w:space="0" w:color="0D9488"/>
              <w:left w:val="single" w:sz="4" w:space="0" w:color="0D9488"/>
              <w:bottom w:val="single" w:sz="4" w:space="0" w:color="0D9488"/>
              <w:right w:val="single" w:sz="4" w:space="0" w:color="0D9488"/>
            </w:tcBorders>
            <w:shd w:val="clear" w:color="auto" w:fill="F0FDFA"/>
            <w:tcMar>
              <w:top w:w="80" w:type="dxa"/>
              <w:left w:w="160" w:type="dxa"/>
              <w:bottom w:w="80" w:type="dxa"/>
              <w:right w:w="120" w:type="dxa"/>
            </w:tcMar>
          </w:tcPr>
          <w:p w14:paraId="2ACFF603" w14:textId="77777777" w:rsidR="00C337B8" w:rsidRDefault="00000000">
            <w:r>
              <w:rPr>
                <w:rFonts w:ascii="Courier New" w:eastAsia="Courier New" w:hAnsi="Courier New" w:cs="Courier New"/>
                <w:b/>
                <w:bCs/>
                <w:color w:val="0F766E"/>
              </w:rPr>
              <w:t xml:space="preserve">MDD = </w:t>
            </w:r>
            <w:proofErr w:type="gramStart"/>
            <w:r>
              <w:rPr>
                <w:rFonts w:ascii="Courier New" w:eastAsia="Courier New" w:hAnsi="Courier New" w:cs="Courier New"/>
                <w:b/>
                <w:bCs/>
                <w:color w:val="0F766E"/>
              </w:rPr>
              <w:t>min(</w:t>
            </w:r>
            <w:proofErr w:type="gramEnd"/>
            <w:r>
              <w:rPr>
                <w:rFonts w:ascii="Courier New" w:eastAsia="Courier New" w:hAnsi="Courier New" w:cs="Courier New"/>
                <w:b/>
                <w:bCs/>
                <w:color w:val="0F766E"/>
              </w:rPr>
              <w:t>(</w:t>
            </w:r>
            <w:proofErr w:type="spellStart"/>
            <w:r>
              <w:rPr>
                <w:rFonts w:ascii="Courier New" w:eastAsia="Courier New" w:hAnsi="Courier New" w:cs="Courier New"/>
                <w:b/>
                <w:bCs/>
                <w:color w:val="0F766E"/>
              </w:rPr>
              <w:t>NAV_t</w:t>
            </w:r>
            <w:proofErr w:type="spellEnd"/>
            <w:r>
              <w:rPr>
                <w:rFonts w:ascii="Courier New" w:eastAsia="Courier New" w:hAnsi="Courier New" w:cs="Courier New"/>
                <w:b/>
                <w:bCs/>
                <w:color w:val="0F766E"/>
              </w:rPr>
              <w:t xml:space="preserve"> - </w:t>
            </w:r>
            <w:proofErr w:type="spellStart"/>
            <w:r>
              <w:rPr>
                <w:rFonts w:ascii="Courier New" w:eastAsia="Courier New" w:hAnsi="Courier New" w:cs="Courier New"/>
                <w:b/>
                <w:bCs/>
                <w:color w:val="0F766E"/>
              </w:rPr>
              <w:t>Peak_t</w:t>
            </w:r>
            <w:proofErr w:type="spellEnd"/>
            <w:r>
              <w:rPr>
                <w:rFonts w:ascii="Courier New" w:eastAsia="Courier New" w:hAnsi="Courier New" w:cs="Courier New"/>
                <w:b/>
                <w:bCs/>
                <w:color w:val="0F766E"/>
              </w:rPr>
              <w:t xml:space="preserve">) / </w:t>
            </w:r>
            <w:proofErr w:type="spellStart"/>
            <w:r>
              <w:rPr>
                <w:rFonts w:ascii="Courier New" w:eastAsia="Courier New" w:hAnsi="Courier New" w:cs="Courier New"/>
                <w:b/>
                <w:bCs/>
                <w:color w:val="0F766E"/>
              </w:rPr>
              <w:t>Peak_</w:t>
            </w:r>
            <w:proofErr w:type="gramStart"/>
            <w:r>
              <w:rPr>
                <w:rFonts w:ascii="Courier New" w:eastAsia="Courier New" w:hAnsi="Courier New" w:cs="Courier New"/>
                <w:b/>
                <w:bCs/>
                <w:color w:val="0F766E"/>
              </w:rPr>
              <w:t>t</w:t>
            </w:r>
            <w:proofErr w:type="spellEnd"/>
            <w:r>
              <w:rPr>
                <w:rFonts w:ascii="Courier New" w:eastAsia="Courier New" w:hAnsi="Courier New" w:cs="Courier New"/>
                <w:b/>
                <w:bCs/>
                <w:color w:val="0F766E"/>
              </w:rPr>
              <w:t xml:space="preserve">)   </w:t>
            </w:r>
            <w:proofErr w:type="gramEnd"/>
            <w:r>
              <w:rPr>
                <w:rFonts w:ascii="Courier New" w:eastAsia="Courier New" w:hAnsi="Courier New" w:cs="Courier New"/>
                <w:b/>
                <w:bCs/>
                <w:color w:val="0F766E"/>
              </w:rPr>
              <w:t>over all t</w:t>
            </w:r>
          </w:p>
        </w:tc>
      </w:tr>
      <w:tr w:rsidR="00C337B8" w14:paraId="3ABA3AF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17CBC2CB" w14:textId="77777777" w:rsidR="00C337B8" w:rsidRDefault="00C337B8">
            <w:pPr>
              <w:spacing w:after="100" w:line="276" w:lineRule="auto"/>
            </w:pP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40" w:type="dxa"/>
              <w:left w:w="160" w:type="dxa"/>
              <w:bottom w:w="60" w:type="dxa"/>
              <w:right w:w="120" w:type="dxa"/>
            </w:tcMar>
          </w:tcPr>
          <w:p w14:paraId="7EFC93AC" w14:textId="77777777" w:rsidR="00C337B8" w:rsidRDefault="00000000">
            <w:r>
              <w:rPr>
                <w:i/>
                <w:iCs/>
                <w:color w:val="475569"/>
                <w:sz w:val="19"/>
                <w:szCs w:val="19"/>
              </w:rPr>
              <w:t xml:space="preserve">Where </w:t>
            </w:r>
            <w:proofErr w:type="spellStart"/>
            <w:r>
              <w:rPr>
                <w:i/>
                <w:iCs/>
                <w:color w:val="475569"/>
                <w:sz w:val="19"/>
                <w:szCs w:val="19"/>
              </w:rPr>
              <w:t>Peak_t</w:t>
            </w:r>
            <w:proofErr w:type="spellEnd"/>
            <w:r>
              <w:rPr>
                <w:i/>
                <w:iCs/>
                <w:color w:val="475569"/>
                <w:sz w:val="19"/>
                <w:szCs w:val="19"/>
              </w:rPr>
              <w:t xml:space="preserve"> = maximum NAV observed from inception to date t. Represents the largest peak-to-trough NAV decline — the worst-case scenario for a perfectly ill-timed investor.</w:t>
            </w:r>
          </w:p>
        </w:tc>
      </w:tr>
    </w:tbl>
    <w:p w14:paraId="157453B9" w14:textId="77777777" w:rsidR="00C337B8" w:rsidRDefault="00C337B8">
      <w:pPr>
        <w:spacing w:after="60"/>
      </w:pPr>
    </w:p>
    <w:p w14:paraId="2ABC92B6" w14:textId="77777777" w:rsidR="00C337B8" w:rsidRDefault="00000000">
      <w:pPr>
        <w:spacing w:after="100" w:line="276" w:lineRule="auto"/>
      </w:pPr>
      <w:r>
        <w:rPr>
          <w:color w:val="1E293B"/>
        </w:rPr>
        <w:t>Maximum Drawdown analysis revealed substantial differences in capital preservation characteristics across fund categories. Small-cap and thematic funds recorded MDD values ranging from -32% to -41% during the 2022 correction — meaning a worst-case entry investor would have seen over a third of their capital erased temporarily. Large-cap funds showed more moderate drawdowns of -14% to -22%. Debt funds, as expected, maintained MDD values under -5% throughout the period. This metric is particularly important for retirement-oriented investors and those with shorter remaining investment horizons.</w:t>
      </w:r>
    </w:p>
    <w:p w14:paraId="1F5513EE" w14:textId="77777777" w:rsidR="00C337B8" w:rsidRDefault="00000000">
      <w:r>
        <w:br w:type="page"/>
      </w:r>
    </w:p>
    <w:p w14:paraId="1DEA53B3" w14:textId="77777777" w:rsidR="00C337B8" w:rsidRDefault="00000000">
      <w:pPr>
        <w:pStyle w:val="Heading1"/>
        <w:pBdr>
          <w:bottom w:val="single" w:sz="12" w:space="2" w:color="0D9488"/>
        </w:pBdr>
      </w:pPr>
      <w:bookmarkStart w:id="24" w:name="_Toc232150568"/>
      <w:r>
        <w:lastRenderedPageBreak/>
        <w:t>7. Advanced Analytics &amp; Investor Intelligence</w:t>
      </w:r>
      <w:bookmarkEnd w:id="24"/>
    </w:p>
    <w:p w14:paraId="4199C362" w14:textId="77777777" w:rsidR="00C337B8" w:rsidRDefault="00000000">
      <w:pPr>
        <w:pStyle w:val="Heading2"/>
      </w:pPr>
      <w:bookmarkStart w:id="25" w:name="_Toc232150569"/>
      <w:r>
        <w:t>7.1 Value at Risk (</w:t>
      </w:r>
      <w:proofErr w:type="spellStart"/>
      <w:r>
        <w:t>VaR</w:t>
      </w:r>
      <w:proofErr w:type="spellEnd"/>
      <w:r>
        <w:t>) — 95% Historical</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37B8" w14:paraId="7E18E253" w14:textId="77777777">
        <w:tblPrEx>
          <w:tblCellMar>
            <w:top w:w="0" w:type="dxa"/>
            <w:bottom w:w="0" w:type="dxa"/>
          </w:tblCellMar>
        </w:tblPrEx>
        <w:tc>
          <w:tcPr>
            <w:tcW w:w="2200" w:type="dxa"/>
            <w:tcBorders>
              <w:top w:val="single" w:sz="4" w:space="0" w:color="0F766E"/>
              <w:left w:val="single" w:sz="4" w:space="0" w:color="0F766E"/>
              <w:bottom w:val="single" w:sz="4" w:space="0" w:color="0F766E"/>
              <w:right w:val="single" w:sz="4" w:space="0" w:color="0F766E"/>
            </w:tcBorders>
            <w:shd w:val="clear" w:color="auto" w:fill="0F766E"/>
            <w:tcMar>
              <w:top w:w="100" w:type="dxa"/>
              <w:left w:w="120" w:type="dxa"/>
              <w:bottom w:w="100" w:type="dxa"/>
              <w:right w:w="120" w:type="dxa"/>
            </w:tcMar>
            <w:vAlign w:val="center"/>
          </w:tcPr>
          <w:p w14:paraId="42E959C6" w14:textId="77777777" w:rsidR="00C337B8" w:rsidRDefault="00000000">
            <w:pPr>
              <w:jc w:val="center"/>
            </w:pPr>
            <w:proofErr w:type="spellStart"/>
            <w:r>
              <w:rPr>
                <w:b/>
                <w:bCs/>
                <w:color w:val="FFFFFF"/>
                <w:sz w:val="20"/>
                <w:szCs w:val="20"/>
              </w:rPr>
              <w:t>VaR</w:t>
            </w:r>
            <w:proofErr w:type="spellEnd"/>
            <w:r>
              <w:rPr>
                <w:b/>
                <w:bCs/>
                <w:color w:val="FFFFFF"/>
                <w:sz w:val="20"/>
                <w:szCs w:val="20"/>
              </w:rPr>
              <w:t xml:space="preserve"> (95%)</w:t>
            </w:r>
          </w:p>
        </w:tc>
        <w:tc>
          <w:tcPr>
            <w:tcW w:w="7160" w:type="dxa"/>
            <w:tcBorders>
              <w:top w:val="single" w:sz="4" w:space="0" w:color="0D9488"/>
              <w:left w:val="single" w:sz="4" w:space="0" w:color="0D9488"/>
              <w:bottom w:val="single" w:sz="4" w:space="0" w:color="0D9488"/>
              <w:right w:val="single" w:sz="4" w:space="0" w:color="0D9488"/>
            </w:tcBorders>
            <w:shd w:val="clear" w:color="auto" w:fill="F0FDFA"/>
            <w:tcMar>
              <w:top w:w="80" w:type="dxa"/>
              <w:left w:w="160" w:type="dxa"/>
              <w:bottom w:w="80" w:type="dxa"/>
              <w:right w:w="120" w:type="dxa"/>
            </w:tcMar>
          </w:tcPr>
          <w:p w14:paraId="0D25CC3C" w14:textId="77777777" w:rsidR="00C337B8" w:rsidRDefault="00000000">
            <w:r>
              <w:rPr>
                <w:rFonts w:ascii="Courier New" w:eastAsia="Courier New" w:hAnsi="Courier New" w:cs="Courier New"/>
                <w:b/>
                <w:bCs/>
                <w:color w:val="0F766E"/>
              </w:rPr>
              <w:t xml:space="preserve">VaR95 = </w:t>
            </w:r>
            <w:proofErr w:type="gramStart"/>
            <w:r>
              <w:rPr>
                <w:rFonts w:ascii="Courier New" w:eastAsia="Courier New" w:hAnsi="Courier New" w:cs="Courier New"/>
                <w:b/>
                <w:bCs/>
                <w:color w:val="0F766E"/>
              </w:rPr>
              <w:t>Percentile(</w:t>
            </w:r>
            <w:proofErr w:type="gramEnd"/>
            <w:r>
              <w:rPr>
                <w:rFonts w:ascii="Courier New" w:eastAsia="Courier New" w:hAnsi="Courier New" w:cs="Courier New"/>
                <w:b/>
                <w:bCs/>
                <w:color w:val="0F766E"/>
              </w:rPr>
              <w:t>Daily Return Distribution, 5</w:t>
            </w:r>
            <w:proofErr w:type="gramStart"/>
            <w:r>
              <w:rPr>
                <w:rFonts w:ascii="Courier New" w:eastAsia="Courier New" w:hAnsi="Courier New" w:cs="Courier New"/>
                <w:b/>
                <w:bCs/>
                <w:color w:val="0F766E"/>
              </w:rPr>
              <w:t xml:space="preserve">th)   </w:t>
            </w:r>
            <w:proofErr w:type="gramEnd"/>
            <w:r>
              <w:rPr>
                <w:rFonts w:ascii="Courier New" w:eastAsia="Courier New" w:hAnsi="Courier New" w:cs="Courier New"/>
                <w:b/>
                <w:bCs/>
                <w:color w:val="0F766E"/>
              </w:rPr>
              <w:t>× Portfolio Value</w:t>
            </w:r>
          </w:p>
        </w:tc>
      </w:tr>
      <w:tr w:rsidR="00C337B8" w14:paraId="4480D6D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1BAF83C3" w14:textId="77777777" w:rsidR="00C337B8" w:rsidRDefault="00C337B8">
            <w:pPr>
              <w:spacing w:after="100" w:line="276" w:lineRule="auto"/>
            </w:pP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40" w:type="dxa"/>
              <w:left w:w="160" w:type="dxa"/>
              <w:bottom w:w="60" w:type="dxa"/>
              <w:right w:w="120" w:type="dxa"/>
            </w:tcMar>
          </w:tcPr>
          <w:p w14:paraId="375EA230" w14:textId="77777777" w:rsidR="00C337B8" w:rsidRDefault="00000000">
            <w:r>
              <w:rPr>
                <w:i/>
                <w:iCs/>
                <w:color w:val="475569"/>
                <w:sz w:val="19"/>
                <w:szCs w:val="19"/>
              </w:rPr>
              <w:t>Historical simulation method: no distributional assumption. Uses actual daily return observations over 4-year period. At 95% confidence: on 95% of trading days, the fund's loss will not exceed VaR95.</w:t>
            </w:r>
          </w:p>
        </w:tc>
      </w:tr>
    </w:tbl>
    <w:p w14:paraId="1DBDDF6D" w14:textId="77777777" w:rsidR="00C337B8" w:rsidRDefault="00C337B8">
      <w:pPr>
        <w:spacing w:after="60"/>
      </w:pPr>
    </w:p>
    <w:p w14:paraId="183127BA" w14:textId="77777777" w:rsidR="00C337B8" w:rsidRDefault="00000000">
      <w:pPr>
        <w:spacing w:after="100" w:line="276" w:lineRule="auto"/>
      </w:pPr>
      <w:proofErr w:type="spellStart"/>
      <w:r>
        <w:rPr>
          <w:color w:val="1E293B"/>
        </w:rPr>
        <w:t>VaR</w:t>
      </w:r>
      <w:proofErr w:type="spellEnd"/>
      <w:r>
        <w:rPr>
          <w:color w:val="1E293B"/>
        </w:rPr>
        <w:t xml:space="preserve"> was computed for all 40 schemes using the full 4-year daily return history. Results confirm the category-level risk hierarchy expected from the NAV volatility analysis. Small-cap and thematic funds show 1-day </w:t>
      </w:r>
      <w:proofErr w:type="spellStart"/>
      <w:r>
        <w:rPr>
          <w:color w:val="1E293B"/>
        </w:rPr>
        <w:t>VaR</w:t>
      </w:r>
      <w:proofErr w:type="spellEnd"/>
      <w:r>
        <w:rPr>
          <w:color w:val="1E293B"/>
        </w:rPr>
        <w:t xml:space="preserve"> values of -1.8% to -2.4% of portfolio value, implying potential daily losses of ₹1,800–₹2,400 per ₹1 lakh invested on adverse days. Large-cap funds show significantly lower </w:t>
      </w:r>
      <w:proofErr w:type="spellStart"/>
      <w:r>
        <w:rPr>
          <w:color w:val="1E293B"/>
        </w:rPr>
        <w:t>VaR</w:t>
      </w:r>
      <w:proofErr w:type="spellEnd"/>
      <w:r>
        <w:rPr>
          <w:color w:val="1E293B"/>
        </w:rPr>
        <w:t xml:space="preserve"> values of -0.7% to -1.1%, confirming their capital preservation characteristics. Debt funds exhibit minimal </w:t>
      </w:r>
      <w:proofErr w:type="spellStart"/>
      <w:r>
        <w:rPr>
          <w:color w:val="1E293B"/>
        </w:rPr>
        <w:t>VaR</w:t>
      </w:r>
      <w:proofErr w:type="spellEnd"/>
      <w:r>
        <w:rPr>
          <w:color w:val="1E293B"/>
        </w:rPr>
        <w:t xml:space="preserve"> (-0.1% to -0.3%), consistent with their near-linear NAV growth trajectories observed in the EDA phase.</w:t>
      </w:r>
    </w:p>
    <w:p w14:paraId="30CDB6DB" w14:textId="77777777" w:rsidR="00C337B8" w:rsidRDefault="00C337B8">
      <w:pPr>
        <w:spacing w:after="60"/>
      </w:pPr>
    </w:p>
    <w:p w14:paraId="5EECB072" w14:textId="77777777" w:rsidR="00C337B8" w:rsidRDefault="00000000">
      <w:pPr>
        <w:pStyle w:val="Heading2"/>
      </w:pPr>
      <w:bookmarkStart w:id="26" w:name="_Toc232150570"/>
      <w:r>
        <w:t>7.2 Conditional Value at Risk (CVaR) — Expected Shortfall</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37B8" w14:paraId="2AF28713" w14:textId="77777777">
        <w:tblPrEx>
          <w:tblCellMar>
            <w:top w:w="0" w:type="dxa"/>
            <w:bottom w:w="0" w:type="dxa"/>
          </w:tblCellMar>
        </w:tblPrEx>
        <w:tc>
          <w:tcPr>
            <w:tcW w:w="2200" w:type="dxa"/>
            <w:tcBorders>
              <w:top w:val="single" w:sz="4" w:space="0" w:color="0F766E"/>
              <w:left w:val="single" w:sz="4" w:space="0" w:color="0F766E"/>
              <w:bottom w:val="single" w:sz="4" w:space="0" w:color="0F766E"/>
              <w:right w:val="single" w:sz="4" w:space="0" w:color="0F766E"/>
            </w:tcBorders>
            <w:shd w:val="clear" w:color="auto" w:fill="0F766E"/>
            <w:tcMar>
              <w:top w:w="100" w:type="dxa"/>
              <w:left w:w="120" w:type="dxa"/>
              <w:bottom w:w="100" w:type="dxa"/>
              <w:right w:w="120" w:type="dxa"/>
            </w:tcMar>
            <w:vAlign w:val="center"/>
          </w:tcPr>
          <w:p w14:paraId="3939EACB" w14:textId="77777777" w:rsidR="00C337B8" w:rsidRDefault="00000000">
            <w:pPr>
              <w:jc w:val="center"/>
            </w:pPr>
            <w:r>
              <w:rPr>
                <w:b/>
                <w:bCs/>
                <w:color w:val="FFFFFF"/>
                <w:sz w:val="20"/>
                <w:szCs w:val="20"/>
              </w:rPr>
              <w:t>CVaR (95%)</w:t>
            </w:r>
          </w:p>
        </w:tc>
        <w:tc>
          <w:tcPr>
            <w:tcW w:w="7160" w:type="dxa"/>
            <w:tcBorders>
              <w:top w:val="single" w:sz="4" w:space="0" w:color="0D9488"/>
              <w:left w:val="single" w:sz="4" w:space="0" w:color="0D9488"/>
              <w:bottom w:val="single" w:sz="4" w:space="0" w:color="0D9488"/>
              <w:right w:val="single" w:sz="4" w:space="0" w:color="0D9488"/>
            </w:tcBorders>
            <w:shd w:val="clear" w:color="auto" w:fill="F0FDFA"/>
            <w:tcMar>
              <w:top w:w="80" w:type="dxa"/>
              <w:left w:w="160" w:type="dxa"/>
              <w:bottom w:w="80" w:type="dxa"/>
              <w:right w:w="120" w:type="dxa"/>
            </w:tcMar>
          </w:tcPr>
          <w:p w14:paraId="7DF13E5E" w14:textId="77777777" w:rsidR="00C337B8" w:rsidRDefault="00000000">
            <w:r>
              <w:rPr>
                <w:rFonts w:ascii="Courier New" w:eastAsia="Courier New" w:hAnsi="Courier New" w:cs="Courier New"/>
                <w:b/>
                <w:bCs/>
                <w:color w:val="0F766E"/>
              </w:rPr>
              <w:t xml:space="preserve">CVaR95 = </w:t>
            </w:r>
            <w:proofErr w:type="gramStart"/>
            <w:r>
              <w:rPr>
                <w:rFonts w:ascii="Courier New" w:eastAsia="Courier New" w:hAnsi="Courier New" w:cs="Courier New"/>
                <w:b/>
                <w:bCs/>
                <w:color w:val="0F766E"/>
              </w:rPr>
              <w:t>Mean(</w:t>
            </w:r>
            <w:proofErr w:type="gramEnd"/>
            <w:r>
              <w:rPr>
                <w:rFonts w:ascii="Courier New" w:eastAsia="Courier New" w:hAnsi="Courier New" w:cs="Courier New"/>
                <w:b/>
                <w:bCs/>
                <w:color w:val="0F766E"/>
              </w:rPr>
              <w:t>Daily Returns | Return &lt; VaR95)</w:t>
            </w:r>
          </w:p>
        </w:tc>
      </w:tr>
      <w:tr w:rsidR="00C337B8" w14:paraId="12DC09A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35349F2C" w14:textId="77777777" w:rsidR="00C337B8" w:rsidRDefault="00C337B8">
            <w:pPr>
              <w:spacing w:after="100" w:line="276" w:lineRule="auto"/>
            </w:pP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40" w:type="dxa"/>
              <w:left w:w="160" w:type="dxa"/>
              <w:bottom w:w="60" w:type="dxa"/>
              <w:right w:w="120" w:type="dxa"/>
            </w:tcMar>
          </w:tcPr>
          <w:p w14:paraId="3ECB2876" w14:textId="77777777" w:rsidR="00C337B8" w:rsidRDefault="00000000">
            <w:r>
              <w:rPr>
                <w:i/>
                <w:iCs/>
                <w:color w:val="475569"/>
                <w:sz w:val="19"/>
                <w:szCs w:val="19"/>
              </w:rPr>
              <w:t xml:space="preserve">Measures the average loss in the worst 5% of return observations — the expected loss given that the loss exceeds </w:t>
            </w:r>
            <w:proofErr w:type="spellStart"/>
            <w:r>
              <w:rPr>
                <w:i/>
                <w:iCs/>
                <w:color w:val="475569"/>
                <w:sz w:val="19"/>
                <w:szCs w:val="19"/>
              </w:rPr>
              <w:t>VaR.</w:t>
            </w:r>
            <w:proofErr w:type="spellEnd"/>
            <w:r>
              <w:rPr>
                <w:i/>
                <w:iCs/>
                <w:color w:val="475569"/>
                <w:sz w:val="19"/>
                <w:szCs w:val="19"/>
              </w:rPr>
              <w:t xml:space="preserve"> Provides a fuller picture of tail risk by characterizing the severity of extreme loss events.</w:t>
            </w:r>
          </w:p>
        </w:tc>
      </w:tr>
    </w:tbl>
    <w:p w14:paraId="1E6B8D96" w14:textId="77777777" w:rsidR="00C337B8" w:rsidRDefault="00C337B8">
      <w:pPr>
        <w:spacing w:after="60"/>
      </w:pPr>
    </w:p>
    <w:p w14:paraId="1F236A44" w14:textId="77777777" w:rsidR="00C337B8" w:rsidRDefault="00000000">
      <w:pPr>
        <w:spacing w:after="100" w:line="276" w:lineRule="auto"/>
      </w:pPr>
      <w:r>
        <w:rPr>
          <w:color w:val="1E293B"/>
        </w:rPr>
        <w:t xml:space="preserve">CVaR exceeded </w:t>
      </w:r>
      <w:proofErr w:type="spellStart"/>
      <w:r>
        <w:rPr>
          <w:color w:val="1E293B"/>
        </w:rPr>
        <w:t>VaR</w:t>
      </w:r>
      <w:proofErr w:type="spellEnd"/>
      <w:r>
        <w:rPr>
          <w:color w:val="1E293B"/>
        </w:rPr>
        <w:t xml:space="preserve"> by 25–40% for aggressive equity schemes, confirming fat-tailed return distributions — consistent with the negative skewness identified in the daily return analysis. For aggressive small-cap funds, CVaR values of -2.8% to -3.6% on a daily basis imply that when the worst days occur, losses are substantially larger than the </w:t>
      </w:r>
      <w:proofErr w:type="spellStart"/>
      <w:r>
        <w:rPr>
          <w:color w:val="1E293B"/>
        </w:rPr>
        <w:t>VaR</w:t>
      </w:r>
      <w:proofErr w:type="spellEnd"/>
      <w:r>
        <w:rPr>
          <w:color w:val="1E293B"/>
        </w:rPr>
        <w:t xml:space="preserve"> threshold alone suggests. This has material implications for stop-loss strategy design, portfolio sizing, and margin of safety calculations.</w:t>
      </w:r>
    </w:p>
    <w:p w14:paraId="2CB08414"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337B8" w14:paraId="094E2B68" w14:textId="77777777">
        <w:tblPrEx>
          <w:tblCellMar>
            <w:top w:w="0" w:type="dxa"/>
            <w:bottom w:w="0" w:type="dxa"/>
          </w:tblCellMar>
        </w:tblPrEx>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0AC7B0C9" w14:textId="77777777" w:rsidR="00C337B8" w:rsidRDefault="00000000">
            <w:pPr>
              <w:spacing w:after="40"/>
              <w:jc w:val="center"/>
            </w:pPr>
            <w:r>
              <w:rPr>
                <w:b/>
                <w:bCs/>
                <w:color w:val="475569"/>
              </w:rPr>
              <w:t xml:space="preserve">[ </w:t>
            </w:r>
            <w:proofErr w:type="spellStart"/>
            <w:r>
              <w:rPr>
                <w:b/>
                <w:bCs/>
                <w:color w:val="475569"/>
              </w:rPr>
              <w:t>VaR</w:t>
            </w:r>
            <w:proofErr w:type="spellEnd"/>
            <w:r>
              <w:rPr>
                <w:b/>
                <w:bCs/>
                <w:color w:val="475569"/>
              </w:rPr>
              <w:t xml:space="preserve"> vs CVaR Comparison — Side-by-side bar chart for all 40 schemes, sorted by CVaR </w:t>
            </w:r>
            <w:proofErr w:type="gramStart"/>
            <w:r>
              <w:rPr>
                <w:b/>
                <w:bCs/>
                <w:color w:val="475569"/>
              </w:rPr>
              <w:t>magnitude ]</w:t>
            </w:r>
            <w:proofErr w:type="gramEnd"/>
          </w:p>
          <w:p w14:paraId="29D5C75E" w14:textId="09CF31F1" w:rsidR="00C337B8" w:rsidRDefault="001A19EE">
            <w:pPr>
              <w:jc w:val="center"/>
            </w:pPr>
            <w:r>
              <w:rPr>
                <w:noProof/>
              </w:rPr>
              <w:lastRenderedPageBreak/>
              <w:drawing>
                <wp:anchor distT="0" distB="0" distL="114300" distR="114300" simplePos="0" relativeHeight="251665408" behindDoc="1" locked="0" layoutInCell="1" allowOverlap="1" wp14:anchorId="06183D91" wp14:editId="7BABD31E">
                  <wp:simplePos x="0" y="0"/>
                  <wp:positionH relativeFrom="column">
                    <wp:posOffset>0</wp:posOffset>
                  </wp:positionH>
                  <wp:positionV relativeFrom="paragraph">
                    <wp:posOffset>0</wp:posOffset>
                  </wp:positionV>
                  <wp:extent cx="6393815" cy="3814445"/>
                  <wp:effectExtent l="0" t="0" r="6985" b="0"/>
                  <wp:wrapThrough wrapText="bothSides">
                    <wp:wrapPolygon edited="0">
                      <wp:start x="0" y="0"/>
                      <wp:lineTo x="0" y="21467"/>
                      <wp:lineTo x="21559" y="21467"/>
                      <wp:lineTo x="21559" y="0"/>
                      <wp:lineTo x="0" y="0"/>
                    </wp:wrapPolygon>
                  </wp:wrapThrough>
                  <wp:docPr id="8845555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3815" cy="381444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6E3E87C" w14:textId="77777777" w:rsidR="00C337B8" w:rsidRDefault="00C337B8">
      <w:pPr>
        <w:spacing w:after="60"/>
      </w:pPr>
    </w:p>
    <w:p w14:paraId="405A9D43" w14:textId="77777777" w:rsidR="00C337B8" w:rsidRDefault="00000000">
      <w:pPr>
        <w:pStyle w:val="Heading2"/>
      </w:pPr>
      <w:bookmarkStart w:id="27" w:name="_Toc232150571"/>
      <w:r>
        <w:t>7.3 Rolling 90-Day Sharpe Ratio</w:t>
      </w:r>
      <w:bookmarkEnd w:id="27"/>
    </w:p>
    <w:p w14:paraId="6F4FE05D" w14:textId="77777777" w:rsidR="00C337B8" w:rsidRDefault="00000000">
      <w:pPr>
        <w:spacing w:after="100" w:line="276" w:lineRule="auto"/>
      </w:pPr>
      <w:r>
        <w:rPr>
          <w:color w:val="1E293B"/>
        </w:rPr>
        <w:t xml:space="preserve">A rolling Sharpe Ratio with a 90-trading-day (approximately 4-month) window was computed for all schemes to assess performance consistency across market regimes. This analysis distinguishes truly consistent outperformers from funds whose strong long-term Sharpe is driven by a single high-performance episode. Top-quartile funds (SBI Small Cap, Kotak </w:t>
      </w:r>
      <w:proofErr w:type="spellStart"/>
      <w:r>
        <w:rPr>
          <w:color w:val="1E293B"/>
        </w:rPr>
        <w:t>Flexicap</w:t>
      </w:r>
      <w:proofErr w:type="spellEnd"/>
      <w:r>
        <w:rPr>
          <w:color w:val="1E293B"/>
        </w:rPr>
        <w:t>, HDFC Flexi Cap) maintained rolling Sharpe &gt; 0.8 for over 70% of all 90-day windows, confirming genuine performance persistence. Bottom-quartile funds showed high rolling Sharpe variance — alternating between strong quarters and prolonged underperformance — indicating higher manager skill uncertainty.</w:t>
      </w:r>
    </w:p>
    <w:p w14:paraId="665F457F"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7B8" w14:paraId="36990132" w14:textId="77777777">
        <w:tblPrEx>
          <w:tblCellMar>
            <w:top w:w="0" w:type="dxa"/>
            <w:bottom w:w="0" w:type="dxa"/>
          </w:tblCellMar>
        </w:tblPrEx>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6FFA00C3" w14:textId="77777777" w:rsidR="00C337B8" w:rsidRDefault="00000000">
            <w:pPr>
              <w:spacing w:after="40"/>
              <w:jc w:val="center"/>
            </w:pPr>
            <w:r>
              <w:rPr>
                <w:b/>
                <w:bCs/>
                <w:color w:val="475569"/>
              </w:rPr>
              <w:t xml:space="preserve">[ Rolling 90-Day Sharpe Ratio — Line chart for top 5 and bottom 5 funds, 2022–2026 with market event </w:t>
            </w:r>
            <w:proofErr w:type="gramStart"/>
            <w:r>
              <w:rPr>
                <w:b/>
                <w:bCs/>
                <w:color w:val="475569"/>
              </w:rPr>
              <w:t>annotations ]</w:t>
            </w:r>
            <w:proofErr w:type="gramEnd"/>
          </w:p>
          <w:p w14:paraId="64FC1AB2" w14:textId="21D4A216" w:rsidR="00C337B8" w:rsidRDefault="001A19EE">
            <w:pPr>
              <w:jc w:val="center"/>
            </w:pPr>
            <w:r>
              <w:rPr>
                <w:noProof/>
              </w:rPr>
              <w:lastRenderedPageBreak/>
              <w:drawing>
                <wp:anchor distT="0" distB="0" distL="114300" distR="114300" simplePos="0" relativeHeight="251670528" behindDoc="1" locked="0" layoutInCell="1" allowOverlap="1" wp14:anchorId="5C45854B" wp14:editId="534C37A7">
                  <wp:simplePos x="0" y="0"/>
                  <wp:positionH relativeFrom="column">
                    <wp:posOffset>-123825</wp:posOffset>
                  </wp:positionH>
                  <wp:positionV relativeFrom="paragraph">
                    <wp:posOffset>80645</wp:posOffset>
                  </wp:positionV>
                  <wp:extent cx="3143885" cy="1571625"/>
                  <wp:effectExtent l="0" t="0" r="0" b="9525"/>
                  <wp:wrapThrough wrapText="bothSides">
                    <wp:wrapPolygon edited="0">
                      <wp:start x="0" y="0"/>
                      <wp:lineTo x="0" y="21469"/>
                      <wp:lineTo x="21465" y="21469"/>
                      <wp:lineTo x="21465" y="0"/>
                      <wp:lineTo x="0" y="0"/>
                    </wp:wrapPolygon>
                  </wp:wrapThrough>
                  <wp:docPr id="284854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3885" cy="15716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1" locked="0" layoutInCell="1" allowOverlap="1" wp14:anchorId="66B405DE" wp14:editId="28A4BF50">
                  <wp:simplePos x="0" y="0"/>
                  <wp:positionH relativeFrom="column">
                    <wp:posOffset>2931795</wp:posOffset>
                  </wp:positionH>
                  <wp:positionV relativeFrom="paragraph">
                    <wp:posOffset>129135</wp:posOffset>
                  </wp:positionV>
                  <wp:extent cx="2881630" cy="1440815"/>
                  <wp:effectExtent l="0" t="0" r="0" b="6985"/>
                  <wp:wrapThrough wrapText="bothSides">
                    <wp:wrapPolygon edited="0">
                      <wp:start x="0" y="0"/>
                      <wp:lineTo x="0" y="21419"/>
                      <wp:lineTo x="21419" y="21419"/>
                      <wp:lineTo x="21419" y="0"/>
                      <wp:lineTo x="0" y="0"/>
                    </wp:wrapPolygon>
                  </wp:wrapThrough>
                  <wp:docPr id="20105900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1630" cy="1440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281D46DE" wp14:editId="67C26B8C">
                  <wp:simplePos x="0" y="0"/>
                  <wp:positionH relativeFrom="column">
                    <wp:posOffset>-123248</wp:posOffset>
                  </wp:positionH>
                  <wp:positionV relativeFrom="paragraph">
                    <wp:posOffset>1733665</wp:posOffset>
                  </wp:positionV>
                  <wp:extent cx="2826398" cy="1412818"/>
                  <wp:effectExtent l="0" t="0" r="0" b="0"/>
                  <wp:wrapThrough wrapText="bothSides">
                    <wp:wrapPolygon edited="0">
                      <wp:start x="0" y="0"/>
                      <wp:lineTo x="0" y="21270"/>
                      <wp:lineTo x="21401" y="21270"/>
                      <wp:lineTo x="21401" y="0"/>
                      <wp:lineTo x="0" y="0"/>
                    </wp:wrapPolygon>
                  </wp:wrapThrough>
                  <wp:docPr id="611120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5730" cy="141748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73069927" wp14:editId="2AE329AC">
                  <wp:simplePos x="0" y="0"/>
                  <wp:positionH relativeFrom="column">
                    <wp:posOffset>3159529</wp:posOffset>
                  </wp:positionH>
                  <wp:positionV relativeFrom="paragraph">
                    <wp:posOffset>1651576</wp:posOffset>
                  </wp:positionV>
                  <wp:extent cx="3103418" cy="1551709"/>
                  <wp:effectExtent l="0" t="0" r="1905" b="0"/>
                  <wp:wrapThrough wrapText="bothSides">
                    <wp:wrapPolygon edited="0">
                      <wp:start x="0" y="0"/>
                      <wp:lineTo x="0" y="21220"/>
                      <wp:lineTo x="21481" y="21220"/>
                      <wp:lineTo x="21481" y="0"/>
                      <wp:lineTo x="0" y="0"/>
                    </wp:wrapPolygon>
                  </wp:wrapThrough>
                  <wp:docPr id="2996255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9872" cy="1554936"/>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6CFAF89" w14:textId="0F4D2501" w:rsidR="00C337B8" w:rsidRDefault="001A19EE">
      <w:pPr>
        <w:spacing w:after="60"/>
      </w:pPr>
      <w:r>
        <w:rPr>
          <w:noProof/>
        </w:rPr>
        <w:lastRenderedPageBreak/>
        <w:drawing>
          <wp:anchor distT="0" distB="0" distL="114300" distR="114300" simplePos="0" relativeHeight="251668480" behindDoc="1" locked="0" layoutInCell="1" allowOverlap="1" wp14:anchorId="76072447" wp14:editId="79902B89">
            <wp:simplePos x="0" y="0"/>
            <wp:positionH relativeFrom="column">
              <wp:posOffset>1315085</wp:posOffset>
            </wp:positionH>
            <wp:positionV relativeFrom="paragraph">
              <wp:posOffset>-3272790</wp:posOffset>
            </wp:positionV>
            <wp:extent cx="3105150" cy="1552575"/>
            <wp:effectExtent l="0" t="0" r="0" b="9525"/>
            <wp:wrapThrough wrapText="bothSides">
              <wp:wrapPolygon edited="0">
                <wp:start x="0" y="0"/>
                <wp:lineTo x="0" y="21467"/>
                <wp:lineTo x="21467" y="21467"/>
                <wp:lineTo x="21467" y="0"/>
                <wp:lineTo x="0" y="0"/>
              </wp:wrapPolygon>
            </wp:wrapThrough>
            <wp:docPr id="17660055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5150" cy="1552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8DE27B" w14:textId="77777777" w:rsidR="00C337B8" w:rsidRDefault="00000000">
      <w:pPr>
        <w:pStyle w:val="Heading2"/>
      </w:pPr>
      <w:bookmarkStart w:id="28" w:name="_Toc232150572"/>
      <w:r>
        <w:t>7.4 Investor Cohort Analysis</w:t>
      </w:r>
      <w:bookmarkEnd w:id="28"/>
    </w:p>
    <w:p w14:paraId="463635A4" w14:textId="77777777" w:rsidR="00C337B8" w:rsidRDefault="00000000">
      <w:pPr>
        <w:spacing w:after="100" w:line="276" w:lineRule="auto"/>
      </w:pPr>
      <w:r>
        <w:rPr>
          <w:color w:val="1E293B"/>
        </w:rPr>
        <w:t>Investor transaction records were segmented into four cohorts based on first transaction year (2022, 2023, 2024, 2025) and analyzed across multiple behavioral and financial dimensions. The analysis reveals a clear evolution in investor sophistication and investment scale over the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80"/>
        <w:gridCol w:w="3480"/>
      </w:tblGrid>
      <w:tr w:rsidR="00C337B8" w14:paraId="75C6BA11" w14:textId="77777777">
        <w:tblPrEx>
          <w:tblCellMar>
            <w:top w:w="0" w:type="dxa"/>
            <w:bottom w:w="0" w:type="dxa"/>
          </w:tblCellMar>
        </w:tblPrEx>
        <w:tc>
          <w:tcPr>
            <w:tcW w:w="140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28B4ADD2" w14:textId="77777777" w:rsidR="00C337B8" w:rsidRDefault="00000000">
            <w:pPr>
              <w:jc w:val="center"/>
            </w:pPr>
            <w:r>
              <w:rPr>
                <w:b/>
                <w:bCs/>
                <w:color w:val="FFFFFF"/>
                <w:sz w:val="20"/>
                <w:szCs w:val="20"/>
              </w:rPr>
              <w:t>Cohort</w:t>
            </w:r>
          </w:p>
        </w:tc>
        <w:tc>
          <w:tcPr>
            <w:tcW w:w="448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367D1194" w14:textId="77777777" w:rsidR="00C337B8" w:rsidRDefault="00000000">
            <w:pPr>
              <w:jc w:val="center"/>
            </w:pPr>
            <w:r>
              <w:rPr>
                <w:b/>
                <w:bCs/>
                <w:color w:val="FFFFFF"/>
                <w:sz w:val="20"/>
                <w:szCs w:val="20"/>
              </w:rPr>
              <w:t>Investment Profile</w:t>
            </w:r>
          </w:p>
        </w:tc>
        <w:tc>
          <w:tcPr>
            <w:tcW w:w="348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77182EC2" w14:textId="77777777" w:rsidR="00C337B8" w:rsidRDefault="00000000">
            <w:pPr>
              <w:jc w:val="center"/>
            </w:pPr>
            <w:r>
              <w:rPr>
                <w:b/>
                <w:bCs/>
                <w:color w:val="FFFFFF"/>
                <w:sz w:val="20"/>
                <w:szCs w:val="20"/>
              </w:rPr>
              <w:t>Key Behavioral Findings</w:t>
            </w:r>
          </w:p>
        </w:tc>
      </w:tr>
      <w:tr w:rsidR="00C337B8" w14:paraId="60DE83B0"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3DD0619" w14:textId="77777777" w:rsidR="00C337B8" w:rsidRDefault="00000000">
            <w:r>
              <w:rPr>
                <w:b/>
                <w:bCs/>
                <w:color w:val="0D1B2A"/>
              </w:rPr>
              <w:t>2022 Cohort</w:t>
            </w:r>
          </w:p>
        </w:tc>
        <w:tc>
          <w:tcPr>
            <w:tcW w:w="44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313FEAE3" w14:textId="77777777" w:rsidR="00C337B8" w:rsidRDefault="00000000">
            <w:r>
              <w:rPr>
                <w:color w:val="1E293B"/>
              </w:rPr>
              <w:t>Highest tenure investors. Average SIP: ₹4,200/month. Strong preference for Large Cap and Balanced Advantage funds — consistent with risk-averse profiles entering post-COVID markets. Highest SIP continuity rate (82% active).</w:t>
            </w:r>
          </w:p>
        </w:tc>
        <w:tc>
          <w:tcPr>
            <w:tcW w:w="34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7C22DF54" w14:textId="77777777" w:rsidR="00C337B8" w:rsidRDefault="00000000">
            <w:r>
              <w:rPr>
                <w:color w:val="1E293B"/>
              </w:rPr>
              <w:t>Experienced market corrections in 2022 but maintained SIP discipline. Demonstrate the highest long-term wealth creation outcomes in the cohort.</w:t>
            </w:r>
          </w:p>
        </w:tc>
      </w:tr>
      <w:tr w:rsidR="00C337B8" w14:paraId="7F7DCFA2"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36EDF9D" w14:textId="77777777" w:rsidR="00C337B8" w:rsidRDefault="00000000">
            <w:r>
              <w:rPr>
                <w:b/>
                <w:bCs/>
                <w:color w:val="0D1B2A"/>
              </w:rPr>
              <w:lastRenderedPageBreak/>
              <w:t>2023 Cohort</w:t>
            </w:r>
          </w:p>
        </w:tc>
        <w:tc>
          <w:tcPr>
            <w:tcW w:w="44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F855A5B" w14:textId="77777777" w:rsidR="00C337B8" w:rsidRDefault="00000000">
            <w:r>
              <w:rPr>
                <w:color w:val="1E293B"/>
              </w:rPr>
              <w:t>Increased participation from tier-2 cities; 38% from B30 locations. Average SIP: ₹3,600/month. Higher share of hybrid fund investments — indicating moderate risk profiles.</w:t>
            </w:r>
          </w:p>
        </w:tc>
        <w:tc>
          <w:tcPr>
            <w:tcW w:w="34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9E84A79" w14:textId="77777777" w:rsidR="00C337B8" w:rsidRDefault="00000000">
            <w:r>
              <w:rPr>
                <w:color w:val="1E293B"/>
              </w:rPr>
              <w:t>Entered during a relatively stable market phase. SIP continuity rate: 79%. Slightly higher at-risk proportion (21%) concentrated in B30 cities.</w:t>
            </w:r>
          </w:p>
        </w:tc>
      </w:tr>
      <w:tr w:rsidR="00C337B8" w14:paraId="235ADF66"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893653A" w14:textId="77777777" w:rsidR="00C337B8" w:rsidRDefault="00000000">
            <w:r>
              <w:rPr>
                <w:b/>
                <w:bCs/>
                <w:color w:val="0D1B2A"/>
              </w:rPr>
              <w:t>2024 Cohort</w:t>
            </w:r>
          </w:p>
        </w:tc>
        <w:tc>
          <w:tcPr>
            <w:tcW w:w="44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699F20C8" w14:textId="77777777" w:rsidR="00C337B8" w:rsidRDefault="00000000">
            <w:r>
              <w:rPr>
                <w:color w:val="1E293B"/>
              </w:rPr>
              <w:t>Fastest-growing cohort by new folio additions. Average SIP: ₹3,900/month. Strong mid-cap and flexi-cap preference, consistent with mid-cap outperformance cycle of 2024.</w:t>
            </w:r>
          </w:p>
        </w:tc>
        <w:tc>
          <w:tcPr>
            <w:tcW w:w="348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20" w:type="dxa"/>
              <w:bottom w:w="80" w:type="dxa"/>
              <w:right w:w="120" w:type="dxa"/>
            </w:tcMar>
          </w:tcPr>
          <w:p w14:paraId="18B99A23" w14:textId="77777777" w:rsidR="00C337B8" w:rsidRDefault="00000000">
            <w:r>
              <w:rPr>
                <w:color w:val="1E293B"/>
              </w:rPr>
              <w:t>Benefited from strong 2024 equity returns in early months. SIP continuity: 76%. Higher proportion of digital-native investors using app-based platforms.</w:t>
            </w:r>
          </w:p>
        </w:tc>
      </w:tr>
      <w:tr w:rsidR="00C337B8" w14:paraId="1DC559F6"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703905BF" w14:textId="77777777" w:rsidR="00C337B8" w:rsidRDefault="00000000">
            <w:r>
              <w:rPr>
                <w:b/>
                <w:bCs/>
                <w:color w:val="0D1B2A"/>
              </w:rPr>
              <w:t>2025 Cohort</w:t>
            </w:r>
          </w:p>
        </w:tc>
        <w:tc>
          <w:tcPr>
            <w:tcW w:w="44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569E6B58" w14:textId="77777777" w:rsidR="00C337B8" w:rsidRDefault="00000000">
            <w:r>
              <w:rPr>
                <w:color w:val="1E293B"/>
              </w:rPr>
              <w:t>Youngest cohort by investment tenure. Average SIP: ₹4,100/month — highest among all cohorts. Concentrated in equity categories. Highest proportion of SIP amounts via UPI Autopay.</w:t>
            </w:r>
          </w:p>
        </w:tc>
        <w:tc>
          <w:tcPr>
            <w:tcW w:w="34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20" w:type="dxa"/>
              <w:bottom w:w="80" w:type="dxa"/>
              <w:right w:w="120" w:type="dxa"/>
            </w:tcMar>
          </w:tcPr>
          <w:p w14:paraId="1688EBA8" w14:textId="77777777" w:rsidR="00C337B8" w:rsidRDefault="00000000">
            <w:r>
              <w:rPr>
                <w:color w:val="1E293B"/>
              </w:rPr>
              <w:t>Entered at elevated market valuations. Continuity rate: 71% — lowest among cohorts, reflecting higher churn among newer investors not yet habituated to market cycles.</w:t>
            </w:r>
          </w:p>
        </w:tc>
      </w:tr>
    </w:tbl>
    <w:p w14:paraId="3718E23F" w14:textId="77777777" w:rsidR="00C337B8" w:rsidRDefault="00C337B8">
      <w:pPr>
        <w:spacing w:after="60"/>
      </w:pPr>
    </w:p>
    <w:p w14:paraId="50AC6759" w14:textId="77777777" w:rsidR="00C337B8" w:rsidRDefault="00000000">
      <w:pPr>
        <w:pStyle w:val="Heading2"/>
      </w:pPr>
      <w:bookmarkStart w:id="29" w:name="_Toc232150573"/>
      <w:r>
        <w:t>7.5 SIP Continuity Analysis</w:t>
      </w:r>
      <w:bookmarkEnd w:id="29"/>
    </w:p>
    <w:p w14:paraId="0105A0B8" w14:textId="77777777" w:rsidR="00C337B8" w:rsidRDefault="00000000">
      <w:pPr>
        <w:spacing w:after="100" w:line="276" w:lineRule="auto"/>
      </w:pPr>
      <w:r>
        <w:rPr>
          <w:color w:val="1E293B"/>
        </w:rPr>
        <w:t>SIP continuity was measured by computing the mean gap (in days) between consecutive SIP transactions per investor. A gap exceeding 35 days was designated as an at-risk threshold, reflecting a missed SIP instalment. The analysis found that 78% of investors maintained average gaps under 32 days, demonstrating strong financial discipline across the majority of the investor base. The at-risk segment (22% of investors) was disproportionately concentrated in B30 cities (47% of at-risk vs 38% overall), investors aged 18–25 (29% of at-risk vs 21% overall), and investors in debt fund categories. These segments represent priority targets for proactive retention interventions, including automated payment reminders, SIP pause-and-resume features, and micro-SIP options with lower minimum amounts.</w:t>
      </w:r>
    </w:p>
    <w:p w14:paraId="4FF36F16" w14:textId="77777777" w:rsidR="00C337B8" w:rsidRDefault="00C337B8">
      <w:pPr>
        <w:spacing w:after="60"/>
      </w:pPr>
    </w:p>
    <w:p w14:paraId="48F97A55" w14:textId="77777777" w:rsidR="00C337B8" w:rsidRDefault="00000000">
      <w:pPr>
        <w:pStyle w:val="Heading2"/>
      </w:pPr>
      <w:bookmarkStart w:id="30" w:name="_Toc232150574"/>
      <w:r>
        <w:t>7.6 Portfolio Concentration — Herfindahl-Hirschman Index (HHI)</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337B8" w14:paraId="670D8D16" w14:textId="77777777">
        <w:tblPrEx>
          <w:tblCellMar>
            <w:top w:w="0" w:type="dxa"/>
            <w:bottom w:w="0" w:type="dxa"/>
          </w:tblCellMar>
        </w:tblPrEx>
        <w:tc>
          <w:tcPr>
            <w:tcW w:w="2200" w:type="dxa"/>
            <w:tcBorders>
              <w:top w:val="single" w:sz="4" w:space="0" w:color="0F766E"/>
              <w:left w:val="single" w:sz="4" w:space="0" w:color="0F766E"/>
              <w:bottom w:val="single" w:sz="4" w:space="0" w:color="0F766E"/>
              <w:right w:val="single" w:sz="4" w:space="0" w:color="0F766E"/>
            </w:tcBorders>
            <w:shd w:val="clear" w:color="auto" w:fill="0F766E"/>
            <w:tcMar>
              <w:top w:w="100" w:type="dxa"/>
              <w:left w:w="120" w:type="dxa"/>
              <w:bottom w:w="100" w:type="dxa"/>
              <w:right w:w="120" w:type="dxa"/>
            </w:tcMar>
            <w:vAlign w:val="center"/>
          </w:tcPr>
          <w:p w14:paraId="25D6DDEE" w14:textId="77777777" w:rsidR="00C337B8" w:rsidRDefault="00000000">
            <w:pPr>
              <w:jc w:val="center"/>
            </w:pPr>
            <w:r>
              <w:rPr>
                <w:b/>
                <w:bCs/>
                <w:color w:val="FFFFFF"/>
                <w:sz w:val="20"/>
                <w:szCs w:val="20"/>
              </w:rPr>
              <w:t>HHI</w:t>
            </w:r>
          </w:p>
        </w:tc>
        <w:tc>
          <w:tcPr>
            <w:tcW w:w="7160" w:type="dxa"/>
            <w:tcBorders>
              <w:top w:val="single" w:sz="4" w:space="0" w:color="0D9488"/>
              <w:left w:val="single" w:sz="4" w:space="0" w:color="0D9488"/>
              <w:bottom w:val="single" w:sz="4" w:space="0" w:color="0D9488"/>
              <w:right w:val="single" w:sz="4" w:space="0" w:color="0D9488"/>
            </w:tcBorders>
            <w:shd w:val="clear" w:color="auto" w:fill="F0FDFA"/>
            <w:tcMar>
              <w:top w:w="80" w:type="dxa"/>
              <w:left w:w="160" w:type="dxa"/>
              <w:bottom w:w="80" w:type="dxa"/>
              <w:right w:w="120" w:type="dxa"/>
            </w:tcMar>
          </w:tcPr>
          <w:p w14:paraId="3F0CBF24" w14:textId="77777777" w:rsidR="00C337B8" w:rsidRDefault="00000000">
            <w:r>
              <w:rPr>
                <w:rFonts w:ascii="Courier New" w:eastAsia="Courier New" w:hAnsi="Courier New" w:cs="Courier New"/>
                <w:b/>
                <w:bCs/>
                <w:color w:val="0F766E"/>
              </w:rPr>
              <w:t>HHI = Σ(</w:t>
            </w:r>
            <w:proofErr w:type="spellStart"/>
            <w:r>
              <w:rPr>
                <w:rFonts w:ascii="Courier New" w:eastAsia="Courier New" w:hAnsi="Courier New" w:cs="Courier New"/>
                <w:b/>
                <w:bCs/>
                <w:color w:val="0F766E"/>
              </w:rPr>
              <w:t>wi</w:t>
            </w:r>
            <w:proofErr w:type="spellEnd"/>
            <w:r>
              <w:rPr>
                <w:rFonts w:ascii="Courier New" w:eastAsia="Courier New" w:hAnsi="Courier New" w:cs="Courier New"/>
                <w:b/>
                <w:bCs/>
                <w:color w:val="0F766E"/>
              </w:rPr>
              <w:t xml:space="preserve">)²   for all sectors </w:t>
            </w:r>
            <w:proofErr w:type="spellStart"/>
            <w:r>
              <w:rPr>
                <w:rFonts w:ascii="Courier New" w:eastAsia="Courier New" w:hAnsi="Courier New" w:cs="Courier New"/>
                <w:b/>
                <w:bCs/>
                <w:color w:val="0F766E"/>
              </w:rPr>
              <w:t>i</w:t>
            </w:r>
            <w:proofErr w:type="spellEnd"/>
            <w:r>
              <w:rPr>
                <w:rFonts w:ascii="Courier New" w:eastAsia="Courier New" w:hAnsi="Courier New" w:cs="Courier New"/>
                <w:b/>
                <w:bCs/>
                <w:color w:val="0F766E"/>
              </w:rPr>
              <w:t xml:space="preserve"> in portfolio</w:t>
            </w:r>
          </w:p>
        </w:tc>
      </w:tr>
      <w:tr w:rsidR="00C337B8" w14:paraId="63C2E4D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0DEA6A00" w14:textId="77777777" w:rsidR="00C337B8" w:rsidRDefault="00C337B8">
            <w:pPr>
              <w:spacing w:after="100" w:line="276" w:lineRule="auto"/>
            </w:pPr>
          </w:p>
        </w:tc>
        <w:tc>
          <w:tcPr>
            <w:tcW w:w="7160" w:type="dxa"/>
            <w:tcBorders>
              <w:top w:val="none" w:sz="0" w:space="0" w:color="FFFFFF"/>
              <w:left w:val="none" w:sz="0" w:space="0" w:color="FFFFFF"/>
              <w:bottom w:val="none" w:sz="0" w:space="0" w:color="FFFFFF"/>
              <w:right w:val="none" w:sz="0" w:space="0" w:color="FFFFFF"/>
            </w:tcBorders>
            <w:shd w:val="clear" w:color="auto" w:fill="FFFFFF"/>
            <w:tcMar>
              <w:top w:w="40" w:type="dxa"/>
              <w:left w:w="160" w:type="dxa"/>
              <w:bottom w:w="60" w:type="dxa"/>
              <w:right w:w="120" w:type="dxa"/>
            </w:tcMar>
          </w:tcPr>
          <w:p w14:paraId="74F12FC7" w14:textId="77777777" w:rsidR="00C337B8" w:rsidRDefault="00000000">
            <w:r>
              <w:rPr>
                <w:i/>
                <w:iCs/>
                <w:color w:val="475569"/>
                <w:sz w:val="19"/>
                <w:szCs w:val="19"/>
              </w:rPr>
              <w:t xml:space="preserve">Where </w:t>
            </w:r>
            <w:proofErr w:type="spellStart"/>
            <w:r>
              <w:rPr>
                <w:i/>
                <w:iCs/>
                <w:color w:val="475569"/>
                <w:sz w:val="19"/>
                <w:szCs w:val="19"/>
              </w:rPr>
              <w:t>wi</w:t>
            </w:r>
            <w:proofErr w:type="spellEnd"/>
            <w:r>
              <w:rPr>
                <w:i/>
                <w:iCs/>
                <w:color w:val="475569"/>
                <w:sz w:val="19"/>
                <w:szCs w:val="19"/>
              </w:rPr>
              <w:t xml:space="preserve"> = portfolio weight of sector </w:t>
            </w:r>
            <w:proofErr w:type="spellStart"/>
            <w:r>
              <w:rPr>
                <w:i/>
                <w:iCs/>
                <w:color w:val="475569"/>
                <w:sz w:val="19"/>
                <w:szCs w:val="19"/>
              </w:rPr>
              <w:t>i</w:t>
            </w:r>
            <w:proofErr w:type="spellEnd"/>
            <w:r>
              <w:rPr>
                <w:i/>
                <w:iCs/>
                <w:color w:val="475569"/>
                <w:sz w:val="19"/>
                <w:szCs w:val="19"/>
              </w:rPr>
              <w:t>. Ranges from near-0 (perfectly diversified) to 1.0 (100% in single sector). HHI &gt; 0.25 indicates significant concentration risk.</w:t>
            </w:r>
          </w:p>
        </w:tc>
      </w:tr>
    </w:tbl>
    <w:p w14:paraId="46D12C1F" w14:textId="77777777" w:rsidR="00C337B8" w:rsidRDefault="00C337B8">
      <w:pPr>
        <w:spacing w:after="60"/>
      </w:pPr>
    </w:p>
    <w:p w14:paraId="61968750" w14:textId="77777777" w:rsidR="00C337B8" w:rsidRDefault="00000000">
      <w:pPr>
        <w:spacing w:after="100" w:line="276" w:lineRule="auto"/>
      </w:pPr>
      <w:r>
        <w:rPr>
          <w:color w:val="1E293B"/>
        </w:rPr>
        <w:t>The HHI analysis across portfolio holding data revealed meaningful concentration risk in a substantial portion of the fund cohort. Of the 40 schemes analyzed, 12 funds (30%) had HHI values exceeding 0.25, with the highest concentration observed in Financial Services (dominant sector weight in 8 schemes), IT &amp; Technology (3 schemes), and Energy &amp; Utilities (2 schemes). Notably, several funds marketed as 'broadly diversified' portfolios exhibited HHI values above 0.30 — raising potential concerns about the alignment between marketing materials and actual portfolio construction discipline. These funds were flagged in the dashboard for stakeholder review.</w:t>
      </w:r>
    </w:p>
    <w:p w14:paraId="66D1F109" w14:textId="77777777" w:rsidR="00C337B8" w:rsidRDefault="00000000">
      <w:r>
        <w:br w:type="page"/>
      </w:r>
    </w:p>
    <w:p w14:paraId="1F18D278" w14:textId="77777777" w:rsidR="00C337B8" w:rsidRDefault="00000000">
      <w:pPr>
        <w:pStyle w:val="Heading1"/>
        <w:pBdr>
          <w:bottom w:val="single" w:sz="12" w:space="2" w:color="0D9488"/>
        </w:pBdr>
      </w:pPr>
      <w:bookmarkStart w:id="31" w:name="_Toc232150575"/>
      <w:r>
        <w:lastRenderedPageBreak/>
        <w:t>8. Power BI Dashboard — 4-Page Overview</w:t>
      </w:r>
      <w:bookmarkEnd w:id="31"/>
    </w:p>
    <w:p w14:paraId="164F0429" w14:textId="77777777" w:rsidR="00C337B8" w:rsidRDefault="00000000">
      <w:pPr>
        <w:spacing w:after="100" w:line="276" w:lineRule="auto"/>
      </w:pPr>
      <w:r>
        <w:rPr>
          <w:color w:val="1E293B"/>
        </w:rPr>
        <w:t xml:space="preserve">A four-page interactive Power BI dashboard was designed and built to provide full self-service analytics for all stakeholder groups. The dashboard implements cross-filtering across all visuals on each page, drill-through navigation between pages, and dynamic slicers for fund name, category, AMC, date range, and geography. All visuals are connected live to the SQLite fact tables via </w:t>
      </w:r>
      <w:proofErr w:type="spellStart"/>
      <w:r>
        <w:rPr>
          <w:color w:val="1E293B"/>
        </w:rPr>
        <w:t>DirectQuery</w:t>
      </w:r>
      <w:proofErr w:type="spellEnd"/>
      <w:r>
        <w:rPr>
          <w:color w:val="1E293B"/>
        </w:rPr>
        <w:t>, ensuring data refresh capability.</w:t>
      </w:r>
    </w:p>
    <w:p w14:paraId="705F6611" w14:textId="77777777" w:rsidR="00C337B8" w:rsidRDefault="00C337B8">
      <w:pPr>
        <w:spacing w:after="60"/>
      </w:pPr>
    </w:p>
    <w:p w14:paraId="16DB9DD4" w14:textId="77777777" w:rsidR="00C337B8" w:rsidRDefault="00000000">
      <w:pPr>
        <w:pStyle w:val="Heading2"/>
      </w:pPr>
      <w:bookmarkStart w:id="32" w:name="_Toc232150576"/>
      <w:r>
        <w:t>8.1 Page 1 — Industry Overview</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7B8" w14:paraId="4D4346E0" w14:textId="77777777">
        <w:tblPrEx>
          <w:tblCellMar>
            <w:top w:w="0" w:type="dxa"/>
            <w:bottom w:w="0" w:type="dxa"/>
          </w:tblCellMar>
        </w:tblPrEx>
        <w:tc>
          <w:tcPr>
            <w:tcW w:w="9360" w:type="dxa"/>
            <w:tcBorders>
              <w:top w:val="single" w:sz="2" w:space="0" w:color="0D9488"/>
              <w:left w:val="single" w:sz="24" w:space="0" w:color="0D9488"/>
              <w:bottom w:val="single" w:sz="2" w:space="0" w:color="0D9488"/>
              <w:right w:val="single" w:sz="2" w:space="0" w:color="0D9488"/>
            </w:tcBorders>
            <w:shd w:val="clear" w:color="auto" w:fill="F0FDFA"/>
            <w:tcMar>
              <w:top w:w="100" w:type="dxa"/>
              <w:left w:w="200" w:type="dxa"/>
              <w:bottom w:w="100" w:type="dxa"/>
              <w:right w:w="140" w:type="dxa"/>
            </w:tcMar>
          </w:tcPr>
          <w:p w14:paraId="0242870A" w14:textId="77777777" w:rsidR="00C337B8" w:rsidRDefault="00000000">
            <w:r>
              <w:rPr>
                <w:i/>
                <w:iCs/>
                <w:color w:val="0F766E"/>
              </w:rPr>
              <w:t>High-level cockpit of the Indian mutual fund landscape with top-line KPIs, AUM trends, and market share distribution.</w:t>
            </w:r>
          </w:p>
        </w:tc>
      </w:tr>
    </w:tbl>
    <w:p w14:paraId="2902DAB7" w14:textId="77777777" w:rsidR="00C337B8" w:rsidRDefault="00C337B8">
      <w:pPr>
        <w:spacing w:after="60"/>
      </w:pPr>
    </w:p>
    <w:p w14:paraId="6D8D7911" w14:textId="77777777" w:rsidR="00C337B8" w:rsidRDefault="00000000">
      <w:pPr>
        <w:spacing w:after="100" w:line="276" w:lineRule="auto"/>
      </w:pPr>
      <w:r>
        <w:rPr>
          <w:color w:val="1E293B"/>
        </w:rPr>
        <w:t>The Industry Overview page provides a real-time summary of the macro landscape with the following components:</w:t>
      </w:r>
    </w:p>
    <w:p w14:paraId="676A722A" w14:textId="77777777" w:rsidR="00C337B8" w:rsidRDefault="00000000">
      <w:pPr>
        <w:pStyle w:val="ListParagraph"/>
        <w:numPr>
          <w:ilvl w:val="0"/>
          <w:numId w:val="2"/>
        </w:numPr>
      </w:pPr>
      <w:r>
        <w:rPr>
          <w:color w:val="1E293B"/>
        </w:rPr>
        <w:t>KPI Cards (top row): Total AUM — ₹391.76 Lakh Crore; Industry Folios — 26.12 Crore; Monthly SIP Inflows — ₹31K Crore average; Active Fund Count — 40 schemes.</w:t>
      </w:r>
    </w:p>
    <w:p w14:paraId="79AAB229" w14:textId="77777777" w:rsidR="00C337B8" w:rsidRDefault="00000000">
      <w:pPr>
        <w:pStyle w:val="ListParagraph"/>
        <w:numPr>
          <w:ilvl w:val="0"/>
          <w:numId w:val="2"/>
        </w:numPr>
      </w:pPr>
      <w:r>
        <w:rPr>
          <w:color w:val="1E293B"/>
        </w:rPr>
        <w:t>AUM Trend Chart: Monthly area chart from 2022–2026, breakable by AMC or category. Highlights the exponential growth trajectory and the equity-debt AUM ratio shift.</w:t>
      </w:r>
    </w:p>
    <w:p w14:paraId="2481C73B" w14:textId="77777777" w:rsidR="00C337B8" w:rsidRDefault="00000000">
      <w:pPr>
        <w:pStyle w:val="ListParagraph"/>
        <w:numPr>
          <w:ilvl w:val="0"/>
          <w:numId w:val="2"/>
        </w:numPr>
      </w:pPr>
      <w:r>
        <w:rPr>
          <w:color w:val="1E293B"/>
        </w:rPr>
        <w:t>AMC Market Share Donut: Current AUM distribution across top-10 AMCs. SBI MF dominates at ₹85 L Cr (21.7% share), followed by ICICI Prudential ₹63 L Cr (16.1%).</w:t>
      </w:r>
    </w:p>
    <w:p w14:paraId="21C4F17C" w14:textId="77777777" w:rsidR="00C337B8" w:rsidRDefault="00000000">
      <w:pPr>
        <w:pStyle w:val="ListParagraph"/>
        <w:numPr>
          <w:ilvl w:val="0"/>
          <w:numId w:val="2"/>
        </w:numPr>
      </w:pPr>
      <w:r>
        <w:rPr>
          <w:color w:val="1E293B"/>
        </w:rPr>
        <w:t>SIP Growth Bar Chart: Monthly SIP inflows with YoY percentage growth annotations. Reveals the structural uptrend and seasonality patterns identified in EDA.</w:t>
      </w:r>
    </w:p>
    <w:p w14:paraId="1B70EDBA" w14:textId="77777777" w:rsidR="00C337B8" w:rsidRDefault="00000000">
      <w:pPr>
        <w:pStyle w:val="ListParagraph"/>
        <w:numPr>
          <w:ilvl w:val="0"/>
          <w:numId w:val="2"/>
        </w:numPr>
      </w:pPr>
      <w:r>
        <w:rPr>
          <w:color w:val="1E293B"/>
        </w:rPr>
        <w:t>Folio Growth Line: Cumulative industry folio count by month, with category breakdown toggle.</w:t>
      </w:r>
    </w:p>
    <w:p w14:paraId="565CBD94"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7B8" w14:paraId="4E0B4748" w14:textId="77777777">
        <w:tblPrEx>
          <w:tblCellMar>
            <w:top w:w="0" w:type="dxa"/>
            <w:bottom w:w="0" w:type="dxa"/>
          </w:tblCellMar>
        </w:tblPrEx>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3EE1BBC5" w14:textId="687B3D1B" w:rsidR="00C337B8" w:rsidRDefault="001A19EE">
            <w:pPr>
              <w:spacing w:after="40"/>
              <w:jc w:val="center"/>
            </w:pPr>
            <w:r>
              <w:rPr>
                <w:noProof/>
              </w:rPr>
              <w:drawing>
                <wp:anchor distT="0" distB="0" distL="114300" distR="114300" simplePos="0" relativeHeight="251671552" behindDoc="1" locked="0" layoutInCell="1" allowOverlap="1" wp14:anchorId="27A33DD8" wp14:editId="2358E981">
                  <wp:simplePos x="0" y="0"/>
                  <wp:positionH relativeFrom="column">
                    <wp:posOffset>15991</wp:posOffset>
                  </wp:positionH>
                  <wp:positionV relativeFrom="paragraph">
                    <wp:posOffset>238472</wp:posOffset>
                  </wp:positionV>
                  <wp:extent cx="5664200" cy="3199765"/>
                  <wp:effectExtent l="0" t="0" r="0" b="635"/>
                  <wp:wrapThrough wrapText="bothSides">
                    <wp:wrapPolygon edited="0">
                      <wp:start x="0" y="0"/>
                      <wp:lineTo x="0" y="21476"/>
                      <wp:lineTo x="21503" y="21476"/>
                      <wp:lineTo x="21503" y="0"/>
                      <wp:lineTo x="0" y="0"/>
                    </wp:wrapPolygon>
                  </wp:wrapThrough>
                  <wp:docPr id="16174354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4200" cy="319976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bCs/>
                <w:color w:val="475569"/>
              </w:rPr>
              <w:t xml:space="preserve">[ Power BI Dashboard — Page 1: Industry </w:t>
            </w:r>
            <w:proofErr w:type="gramStart"/>
            <w:r w:rsidR="00000000">
              <w:rPr>
                <w:b/>
                <w:bCs/>
                <w:color w:val="475569"/>
              </w:rPr>
              <w:t>Overview ]</w:t>
            </w:r>
            <w:proofErr w:type="gramEnd"/>
          </w:p>
          <w:p w14:paraId="74ED48B5" w14:textId="55599378" w:rsidR="00C337B8" w:rsidRDefault="00C337B8">
            <w:pPr>
              <w:jc w:val="center"/>
            </w:pPr>
          </w:p>
        </w:tc>
      </w:tr>
    </w:tbl>
    <w:p w14:paraId="21BA74FE" w14:textId="77777777" w:rsidR="00C337B8" w:rsidRDefault="00C337B8">
      <w:pPr>
        <w:spacing w:after="60"/>
      </w:pPr>
    </w:p>
    <w:p w14:paraId="0926F3F7" w14:textId="77777777" w:rsidR="00C337B8" w:rsidRDefault="00000000">
      <w:pPr>
        <w:pStyle w:val="Heading2"/>
      </w:pPr>
      <w:bookmarkStart w:id="33" w:name="_Toc232150577"/>
      <w:r>
        <w:t>8.2 Page 2 — Fund Performance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7B8" w14:paraId="1D8EAECE" w14:textId="77777777">
        <w:tblPrEx>
          <w:tblCellMar>
            <w:top w:w="0" w:type="dxa"/>
            <w:bottom w:w="0" w:type="dxa"/>
          </w:tblCellMar>
        </w:tblPrEx>
        <w:tc>
          <w:tcPr>
            <w:tcW w:w="9360" w:type="dxa"/>
            <w:tcBorders>
              <w:top w:val="single" w:sz="2" w:space="0" w:color="0D9488"/>
              <w:left w:val="single" w:sz="24" w:space="0" w:color="0D9488"/>
              <w:bottom w:val="single" w:sz="2" w:space="0" w:color="0D9488"/>
              <w:right w:val="single" w:sz="2" w:space="0" w:color="0D9488"/>
            </w:tcBorders>
            <w:shd w:val="clear" w:color="auto" w:fill="F0FDFA"/>
            <w:tcMar>
              <w:top w:w="100" w:type="dxa"/>
              <w:left w:w="200" w:type="dxa"/>
              <w:bottom w:w="100" w:type="dxa"/>
              <w:right w:w="140" w:type="dxa"/>
            </w:tcMar>
          </w:tcPr>
          <w:p w14:paraId="366A0D58" w14:textId="77777777" w:rsidR="00C337B8" w:rsidRDefault="00000000">
            <w:r>
              <w:rPr>
                <w:i/>
                <w:iCs/>
                <w:color w:val="0F766E"/>
              </w:rPr>
              <w:t>Quantitative deep-dive into scheme performance with risk-return visualization, fund scorecard, and benchmark comparison.</w:t>
            </w:r>
          </w:p>
        </w:tc>
      </w:tr>
    </w:tbl>
    <w:p w14:paraId="05D4D368" w14:textId="77777777" w:rsidR="00C337B8" w:rsidRDefault="00C337B8">
      <w:pPr>
        <w:spacing w:after="60"/>
      </w:pPr>
    </w:p>
    <w:p w14:paraId="50BEE398" w14:textId="77777777" w:rsidR="00C337B8" w:rsidRDefault="00000000">
      <w:pPr>
        <w:pStyle w:val="ListParagraph"/>
        <w:numPr>
          <w:ilvl w:val="0"/>
          <w:numId w:val="2"/>
        </w:numPr>
      </w:pPr>
      <w:r>
        <w:rPr>
          <w:color w:val="1E293B"/>
        </w:rPr>
        <w:t>Risk vs Return Scatter Plot: Each of the 40 funds plotted at coordinates (annualized standard deviation, annualized return). Bubble size proportional to AUM. Quadrant lines at market average return and volatility thresholds. Color-coded by fund category. Enables instant identification of funds in the high-return / low-volatility quadrant.</w:t>
      </w:r>
    </w:p>
    <w:p w14:paraId="462E1B81" w14:textId="77777777" w:rsidR="00C337B8" w:rsidRDefault="00000000">
      <w:pPr>
        <w:pStyle w:val="ListParagraph"/>
        <w:numPr>
          <w:ilvl w:val="0"/>
          <w:numId w:val="2"/>
        </w:numPr>
      </w:pPr>
      <w:r>
        <w:rPr>
          <w:color w:val="1E293B"/>
        </w:rPr>
        <w:t xml:space="preserve">Fund Scorecard Table: All 40 funds ranked by composite performance score (Sharpe × 0.4 + Alpha × 0.3 + CAGR_3Y × 0.3). Color-coded heatmap cells for each metric column. Drill-through to fund-level detail page. Top </w:t>
      </w:r>
      <w:proofErr w:type="spellStart"/>
      <w:r>
        <w:rPr>
          <w:color w:val="1E293B"/>
        </w:rPr>
        <w:t>scores</w:t>
      </w:r>
      <w:proofErr w:type="spellEnd"/>
      <w:r>
        <w:rPr>
          <w:color w:val="1E293B"/>
        </w:rPr>
        <w:t xml:space="preserve">: SBI Small Cap Fund (72.75), Kotak </w:t>
      </w:r>
      <w:proofErr w:type="spellStart"/>
      <w:r>
        <w:rPr>
          <w:color w:val="1E293B"/>
        </w:rPr>
        <w:t>Flexicap</w:t>
      </w:r>
      <w:proofErr w:type="spellEnd"/>
      <w:r>
        <w:rPr>
          <w:color w:val="1E293B"/>
        </w:rPr>
        <w:t xml:space="preserve"> Fund (71.50).</w:t>
      </w:r>
    </w:p>
    <w:p w14:paraId="71E2032B" w14:textId="77777777" w:rsidR="00C337B8" w:rsidRDefault="00000000">
      <w:pPr>
        <w:pStyle w:val="ListParagraph"/>
        <w:numPr>
          <w:ilvl w:val="0"/>
          <w:numId w:val="2"/>
        </w:numPr>
      </w:pPr>
      <w:r>
        <w:rPr>
          <w:color w:val="1E293B"/>
        </w:rPr>
        <w:t>NAV Trend Line: Interactive NAV chart for any fund selected from the scorecard, overlaid with its benchmark index (NIFTY 50 or NIFTY 100) normalized to the same starting date.</w:t>
      </w:r>
    </w:p>
    <w:p w14:paraId="06A08AA0" w14:textId="77777777" w:rsidR="00C337B8" w:rsidRDefault="00000000">
      <w:pPr>
        <w:pStyle w:val="ListParagraph"/>
        <w:numPr>
          <w:ilvl w:val="0"/>
          <w:numId w:val="2"/>
        </w:numPr>
      </w:pPr>
      <w:r>
        <w:rPr>
          <w:color w:val="1E293B"/>
        </w:rPr>
        <w:t>Performance Summary Card: Displays 1Y CAGR, 3Y CAGR, Sharpe, Sortino, Beta, Alpha, and MDD for the selected fund in a compact, visually structured summary panel.</w:t>
      </w:r>
    </w:p>
    <w:p w14:paraId="57F2D54B"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337B8" w14:paraId="0EB16906" w14:textId="77777777">
        <w:tblPrEx>
          <w:tblCellMar>
            <w:top w:w="0" w:type="dxa"/>
            <w:bottom w:w="0" w:type="dxa"/>
          </w:tblCellMar>
        </w:tblPrEx>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19ED8ECB" w14:textId="77777777" w:rsidR="00C337B8" w:rsidRDefault="00000000">
            <w:pPr>
              <w:spacing w:after="40"/>
              <w:jc w:val="center"/>
            </w:pPr>
            <w:r>
              <w:rPr>
                <w:b/>
                <w:bCs/>
                <w:color w:val="475569"/>
              </w:rPr>
              <w:t xml:space="preserve">[ Power BI Dashboard — Page 2: Fund Performance &amp; </w:t>
            </w:r>
            <w:proofErr w:type="gramStart"/>
            <w:r>
              <w:rPr>
                <w:b/>
                <w:bCs/>
                <w:color w:val="475569"/>
              </w:rPr>
              <w:t>Scorecard ]</w:t>
            </w:r>
            <w:proofErr w:type="gramEnd"/>
          </w:p>
          <w:p w14:paraId="498BAE7A" w14:textId="3BBE3CB3" w:rsidR="00C337B8" w:rsidRDefault="001A19EE">
            <w:pPr>
              <w:jc w:val="center"/>
            </w:pPr>
            <w:r>
              <w:rPr>
                <w:noProof/>
              </w:rPr>
              <w:drawing>
                <wp:anchor distT="0" distB="0" distL="114300" distR="114300" simplePos="0" relativeHeight="251672576" behindDoc="1" locked="0" layoutInCell="1" allowOverlap="1" wp14:anchorId="446D088C" wp14:editId="5FD9A5E5">
                  <wp:simplePos x="0" y="0"/>
                  <wp:positionH relativeFrom="column">
                    <wp:posOffset>0</wp:posOffset>
                  </wp:positionH>
                  <wp:positionV relativeFrom="paragraph">
                    <wp:posOffset>0</wp:posOffset>
                  </wp:positionV>
                  <wp:extent cx="6395085" cy="3615055"/>
                  <wp:effectExtent l="0" t="0" r="5715" b="4445"/>
                  <wp:wrapThrough wrapText="bothSides">
                    <wp:wrapPolygon edited="0">
                      <wp:start x="0" y="0"/>
                      <wp:lineTo x="0" y="21513"/>
                      <wp:lineTo x="21555" y="21513"/>
                      <wp:lineTo x="21555" y="0"/>
                      <wp:lineTo x="0" y="0"/>
                    </wp:wrapPolygon>
                  </wp:wrapThrough>
                  <wp:docPr id="3825271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95085" cy="361505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716B178" w14:textId="77777777" w:rsidR="00C337B8" w:rsidRDefault="00C337B8">
      <w:pPr>
        <w:spacing w:after="60"/>
      </w:pPr>
    </w:p>
    <w:p w14:paraId="4CA31B77" w14:textId="77777777" w:rsidR="00C337B8" w:rsidRDefault="00000000">
      <w:pPr>
        <w:pStyle w:val="Heading2"/>
      </w:pPr>
      <w:bookmarkStart w:id="34" w:name="_Toc232150578"/>
      <w:r>
        <w:lastRenderedPageBreak/>
        <w:t>8.3 Page 3 — Investor Analytics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7B8" w14:paraId="3E931132" w14:textId="77777777">
        <w:tblPrEx>
          <w:tblCellMar>
            <w:top w:w="0" w:type="dxa"/>
            <w:bottom w:w="0" w:type="dxa"/>
          </w:tblCellMar>
        </w:tblPrEx>
        <w:tc>
          <w:tcPr>
            <w:tcW w:w="9360" w:type="dxa"/>
            <w:tcBorders>
              <w:top w:val="single" w:sz="2" w:space="0" w:color="0D9488"/>
              <w:left w:val="single" w:sz="24" w:space="0" w:color="0D9488"/>
              <w:bottom w:val="single" w:sz="2" w:space="0" w:color="0D9488"/>
              <w:right w:val="single" w:sz="2" w:space="0" w:color="0D9488"/>
            </w:tcBorders>
            <w:shd w:val="clear" w:color="auto" w:fill="F0FDFA"/>
            <w:tcMar>
              <w:top w:w="100" w:type="dxa"/>
              <w:left w:w="200" w:type="dxa"/>
              <w:bottom w:w="100" w:type="dxa"/>
              <w:right w:w="140" w:type="dxa"/>
            </w:tcMar>
          </w:tcPr>
          <w:p w14:paraId="28617A06" w14:textId="77777777" w:rsidR="00C337B8" w:rsidRDefault="00000000">
            <w:r>
              <w:rPr>
                <w:i/>
                <w:iCs/>
                <w:color w:val="0F766E"/>
              </w:rPr>
              <w:t>Granular view of investor participation across India — geography, demographics, transaction patterns, and SIP behavior.</w:t>
            </w:r>
          </w:p>
        </w:tc>
      </w:tr>
    </w:tbl>
    <w:p w14:paraId="2B077CEA" w14:textId="77777777" w:rsidR="00C337B8" w:rsidRDefault="00C337B8">
      <w:pPr>
        <w:spacing w:after="60"/>
      </w:pPr>
    </w:p>
    <w:p w14:paraId="594FD700" w14:textId="77777777" w:rsidR="00C337B8" w:rsidRDefault="00000000">
      <w:pPr>
        <w:pStyle w:val="ListParagraph"/>
        <w:numPr>
          <w:ilvl w:val="0"/>
          <w:numId w:val="2"/>
        </w:numPr>
      </w:pPr>
      <w:r>
        <w:rPr>
          <w:color w:val="1E293B"/>
        </w:rPr>
        <w:t>India Choropleth Map: State-level heat map of total investment amounts. Top 5 contributing states: Punjab, Tamil Nadu, Madhya Pradesh, Rajasthan, and Gujarat — collectively accounting for a significant majority of transaction volume.</w:t>
      </w:r>
    </w:p>
    <w:p w14:paraId="66F80B77" w14:textId="77777777" w:rsidR="00C337B8" w:rsidRDefault="00000000">
      <w:pPr>
        <w:pStyle w:val="ListParagraph"/>
        <w:numPr>
          <w:ilvl w:val="0"/>
          <w:numId w:val="2"/>
        </w:numPr>
      </w:pPr>
      <w:r>
        <w:rPr>
          <w:color w:val="1E293B"/>
        </w:rPr>
        <w:t>City Tier Filter: T30 (Top 30) vs B30 (Beyond Top 30) segmentation slider to track geographic penetration beyond metro India. B30 contribution has grown from 22% in 2022 to 29% in 2026.</w:t>
      </w:r>
    </w:p>
    <w:p w14:paraId="54DCC6B8" w14:textId="77777777" w:rsidR="00C337B8" w:rsidRDefault="00000000">
      <w:pPr>
        <w:pStyle w:val="ListParagraph"/>
        <w:numPr>
          <w:ilvl w:val="0"/>
          <w:numId w:val="2"/>
        </w:numPr>
      </w:pPr>
      <w:r>
        <w:rPr>
          <w:color w:val="1E293B"/>
        </w:rPr>
        <w:t>Transaction Type Distribution: Pie chart showing split between SIP, Lumpsum, and Redemption transactions, filterable by year, state, and fund category.</w:t>
      </w:r>
    </w:p>
    <w:p w14:paraId="34C06FAA" w14:textId="77777777" w:rsidR="00C337B8" w:rsidRDefault="00000000">
      <w:pPr>
        <w:pStyle w:val="ListParagraph"/>
        <w:numPr>
          <w:ilvl w:val="0"/>
          <w:numId w:val="2"/>
        </w:numPr>
      </w:pPr>
      <w:r>
        <w:rPr>
          <w:color w:val="1E293B"/>
        </w:rPr>
        <w:t>Age Group Demographics: Bar chart of investor count and average investment ticket size by age band (18–25, 26–35, 36–45, 46–55, 55+). The 18–25 segment shows surprisingly high average ticket sizes of ₹4,100/month, driven by high-income young professionals in Tier-1 cities.</w:t>
      </w:r>
    </w:p>
    <w:p w14:paraId="55889909" w14:textId="77777777" w:rsidR="00C337B8" w:rsidRDefault="00000000">
      <w:pPr>
        <w:pStyle w:val="ListParagraph"/>
        <w:numPr>
          <w:ilvl w:val="0"/>
          <w:numId w:val="2"/>
        </w:numPr>
      </w:pPr>
      <w:r>
        <w:rPr>
          <w:color w:val="1E293B"/>
        </w:rPr>
        <w:t>Monthly Transaction Trend: Line chart of total transaction value by month, overlaid with market event markers (rate hike announcements, budget dates, index milestones).</w:t>
      </w:r>
    </w:p>
    <w:p w14:paraId="7463C4A9"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337B8" w14:paraId="37D39AD2" w14:textId="77777777">
        <w:tblPrEx>
          <w:tblCellMar>
            <w:top w:w="0" w:type="dxa"/>
            <w:bottom w:w="0" w:type="dxa"/>
          </w:tblCellMar>
        </w:tblPrEx>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327C71CB" w14:textId="77777777" w:rsidR="00C337B8" w:rsidRDefault="00000000">
            <w:pPr>
              <w:spacing w:after="40"/>
              <w:jc w:val="center"/>
            </w:pPr>
            <w:r>
              <w:rPr>
                <w:b/>
                <w:bCs/>
                <w:color w:val="475569"/>
              </w:rPr>
              <w:t xml:space="preserve">[ Power BI Dashboard — Page 3: Investor Analytics &amp; Geographic </w:t>
            </w:r>
            <w:proofErr w:type="gramStart"/>
            <w:r>
              <w:rPr>
                <w:b/>
                <w:bCs/>
                <w:color w:val="475569"/>
              </w:rPr>
              <w:t>Distribution ]</w:t>
            </w:r>
            <w:proofErr w:type="gramEnd"/>
          </w:p>
          <w:p w14:paraId="6B264FE3" w14:textId="365948CD" w:rsidR="00C337B8" w:rsidRDefault="001A19EE">
            <w:pPr>
              <w:jc w:val="center"/>
            </w:pPr>
            <w:r>
              <w:rPr>
                <w:noProof/>
              </w:rPr>
              <w:drawing>
                <wp:anchor distT="0" distB="0" distL="114300" distR="114300" simplePos="0" relativeHeight="251673600" behindDoc="1" locked="0" layoutInCell="1" allowOverlap="1" wp14:anchorId="74E94A09" wp14:editId="725808DF">
                  <wp:simplePos x="0" y="0"/>
                  <wp:positionH relativeFrom="column">
                    <wp:posOffset>0</wp:posOffset>
                  </wp:positionH>
                  <wp:positionV relativeFrom="paragraph">
                    <wp:posOffset>0</wp:posOffset>
                  </wp:positionV>
                  <wp:extent cx="6394450" cy="3617595"/>
                  <wp:effectExtent l="0" t="0" r="6350" b="1905"/>
                  <wp:wrapThrough wrapText="bothSides">
                    <wp:wrapPolygon edited="0">
                      <wp:start x="0" y="0"/>
                      <wp:lineTo x="0" y="21498"/>
                      <wp:lineTo x="21557" y="21498"/>
                      <wp:lineTo x="21557" y="0"/>
                      <wp:lineTo x="0" y="0"/>
                    </wp:wrapPolygon>
                  </wp:wrapThrough>
                  <wp:docPr id="19436867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94450" cy="36175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BE73EBC" w14:textId="77777777" w:rsidR="00C337B8" w:rsidRDefault="00C337B8">
      <w:pPr>
        <w:spacing w:after="60"/>
      </w:pPr>
    </w:p>
    <w:p w14:paraId="015E80FA" w14:textId="77777777" w:rsidR="00C337B8" w:rsidRDefault="00000000">
      <w:pPr>
        <w:pStyle w:val="Heading2"/>
      </w:pPr>
      <w:bookmarkStart w:id="35" w:name="_Toc232150579"/>
      <w:r>
        <w:t>8.4 Page 4 — SIP &amp; Market Trends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7B8" w14:paraId="44A7C9A6" w14:textId="77777777">
        <w:tblPrEx>
          <w:tblCellMar>
            <w:top w:w="0" w:type="dxa"/>
            <w:bottom w:w="0" w:type="dxa"/>
          </w:tblCellMar>
        </w:tblPrEx>
        <w:tc>
          <w:tcPr>
            <w:tcW w:w="9360" w:type="dxa"/>
            <w:tcBorders>
              <w:top w:val="single" w:sz="2" w:space="0" w:color="0D9488"/>
              <w:left w:val="single" w:sz="24" w:space="0" w:color="0D9488"/>
              <w:bottom w:val="single" w:sz="2" w:space="0" w:color="0D9488"/>
              <w:right w:val="single" w:sz="2" w:space="0" w:color="0D9488"/>
            </w:tcBorders>
            <w:shd w:val="clear" w:color="auto" w:fill="F0FDFA"/>
            <w:tcMar>
              <w:top w:w="100" w:type="dxa"/>
              <w:left w:w="200" w:type="dxa"/>
              <w:bottom w:w="100" w:type="dxa"/>
              <w:right w:w="140" w:type="dxa"/>
            </w:tcMar>
          </w:tcPr>
          <w:p w14:paraId="21869FA9" w14:textId="77777777" w:rsidR="00C337B8" w:rsidRDefault="00000000">
            <w:r>
              <w:rPr>
                <w:i/>
                <w:iCs/>
                <w:color w:val="0F766E"/>
              </w:rPr>
              <w:lastRenderedPageBreak/>
              <w:t>Macro tracking of SIP growth trajectories, market benchmark performance, and category-level capital flows.</w:t>
            </w:r>
          </w:p>
        </w:tc>
      </w:tr>
    </w:tbl>
    <w:p w14:paraId="73EFAD92" w14:textId="77777777" w:rsidR="00C337B8" w:rsidRDefault="00C337B8">
      <w:pPr>
        <w:spacing w:after="60"/>
      </w:pPr>
    </w:p>
    <w:p w14:paraId="4CE2AE7A" w14:textId="77777777" w:rsidR="00C337B8" w:rsidRDefault="00000000">
      <w:pPr>
        <w:pStyle w:val="ListParagraph"/>
        <w:numPr>
          <w:ilvl w:val="0"/>
          <w:numId w:val="2"/>
        </w:numPr>
      </w:pPr>
      <w:r>
        <w:rPr>
          <w:color w:val="1E293B"/>
        </w:rPr>
        <w:t>SIP Growth Line: Monthly SIP inflow trend with 6-month moving average overlay. Dual-axis chart showing both absolute inflow values and month-over-month growth percentage.</w:t>
      </w:r>
    </w:p>
    <w:p w14:paraId="2F4C62A7" w14:textId="77777777" w:rsidR="00C337B8" w:rsidRDefault="00000000">
      <w:pPr>
        <w:pStyle w:val="ListParagraph"/>
        <w:numPr>
          <w:ilvl w:val="0"/>
          <w:numId w:val="2"/>
        </w:numPr>
      </w:pPr>
      <w:r>
        <w:rPr>
          <w:color w:val="1E293B"/>
        </w:rPr>
        <w:t>Benchmark Tracker: NIFTY 50 and NIFTY 100 indexed price chart from 2022–2026, normalized to base 100. Overlaid with selectable fund NAV trajectories for visual benchmark comparison.</w:t>
      </w:r>
    </w:p>
    <w:p w14:paraId="20715C77" w14:textId="77777777" w:rsidR="00C337B8" w:rsidRDefault="00000000">
      <w:pPr>
        <w:pStyle w:val="ListParagraph"/>
        <w:numPr>
          <w:ilvl w:val="0"/>
          <w:numId w:val="2"/>
        </w:numPr>
      </w:pPr>
      <w:r>
        <w:rPr>
          <w:color w:val="1E293B"/>
        </w:rPr>
        <w:t>Category Net Inflow Heatmap: Monthly net inflows per category — green gradient for net inflows, red for net outflows. Liquid fund dominance (₹4.51 Lakh Crore total) immediately visible. Interactive filters by year and category group.</w:t>
      </w:r>
    </w:p>
    <w:p w14:paraId="37F4F2C2" w14:textId="77777777" w:rsidR="00C337B8" w:rsidRDefault="00000000">
      <w:pPr>
        <w:pStyle w:val="ListParagraph"/>
        <w:numPr>
          <w:ilvl w:val="0"/>
          <w:numId w:val="2"/>
        </w:numPr>
      </w:pPr>
      <w:r>
        <w:rPr>
          <w:color w:val="1E293B"/>
        </w:rPr>
        <w:t>Folio Growth Stacked Area: Cumulative folio count by equity / debt / hybrid / liquid category, 2022–2026. Equity folio dominance visually confirms retail investor preference for growth-oriented products.</w:t>
      </w:r>
    </w:p>
    <w:p w14:paraId="4B11D8CA"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C337B8" w14:paraId="1A8F09E0" w14:textId="77777777">
        <w:tblPrEx>
          <w:tblCellMar>
            <w:top w:w="0" w:type="dxa"/>
            <w:bottom w:w="0" w:type="dxa"/>
          </w:tblCellMar>
        </w:tblPrEx>
        <w:tc>
          <w:tcPr>
            <w:tcW w:w="9360" w:type="dxa"/>
            <w:tcBorders>
              <w:top w:val="single" w:sz="4" w:space="0" w:color="CBD5E1"/>
              <w:left w:val="single" w:sz="4" w:space="0" w:color="CBD5E1"/>
              <w:bottom w:val="single" w:sz="4" w:space="0" w:color="CBD5E1"/>
              <w:right w:val="single" w:sz="4" w:space="0" w:color="CBD5E1"/>
            </w:tcBorders>
            <w:shd w:val="clear" w:color="auto" w:fill="F1F5F9"/>
            <w:tcMar>
              <w:top w:w="280" w:type="dxa"/>
              <w:left w:w="200" w:type="dxa"/>
              <w:bottom w:w="280" w:type="dxa"/>
              <w:right w:w="200" w:type="dxa"/>
            </w:tcMar>
          </w:tcPr>
          <w:p w14:paraId="06B68ED5" w14:textId="77777777" w:rsidR="00C337B8" w:rsidRDefault="00000000">
            <w:pPr>
              <w:spacing w:after="40"/>
              <w:jc w:val="center"/>
            </w:pPr>
            <w:r>
              <w:rPr>
                <w:b/>
                <w:bCs/>
                <w:color w:val="475569"/>
              </w:rPr>
              <w:t xml:space="preserve">[ Power BI Dashboard — Page 4: SIP Trends &amp; Market </w:t>
            </w:r>
            <w:proofErr w:type="gramStart"/>
            <w:r>
              <w:rPr>
                <w:b/>
                <w:bCs/>
                <w:color w:val="475569"/>
              </w:rPr>
              <w:t>Benchmarks ]</w:t>
            </w:r>
            <w:proofErr w:type="gramEnd"/>
          </w:p>
          <w:p w14:paraId="249245DE" w14:textId="701F3DBB" w:rsidR="00C337B8" w:rsidRDefault="001A19EE">
            <w:pPr>
              <w:jc w:val="center"/>
            </w:pPr>
            <w:r>
              <w:rPr>
                <w:noProof/>
              </w:rPr>
              <w:drawing>
                <wp:anchor distT="0" distB="0" distL="114300" distR="114300" simplePos="0" relativeHeight="251674624" behindDoc="1" locked="0" layoutInCell="1" allowOverlap="1" wp14:anchorId="3D0F2707" wp14:editId="70C5D23C">
                  <wp:simplePos x="0" y="0"/>
                  <wp:positionH relativeFrom="column">
                    <wp:posOffset>0</wp:posOffset>
                  </wp:positionH>
                  <wp:positionV relativeFrom="paragraph">
                    <wp:posOffset>0</wp:posOffset>
                  </wp:positionV>
                  <wp:extent cx="6395085" cy="3966845"/>
                  <wp:effectExtent l="0" t="0" r="5715" b="0"/>
                  <wp:wrapThrough wrapText="bothSides">
                    <wp:wrapPolygon edited="0">
                      <wp:start x="0" y="0"/>
                      <wp:lineTo x="0" y="21472"/>
                      <wp:lineTo x="21555" y="21472"/>
                      <wp:lineTo x="21555" y="0"/>
                      <wp:lineTo x="0" y="0"/>
                    </wp:wrapPolygon>
                  </wp:wrapThrough>
                  <wp:docPr id="3245761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95085" cy="396684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C7AA100" w14:textId="77777777" w:rsidR="00C337B8" w:rsidRDefault="00000000">
      <w:r>
        <w:br w:type="page"/>
      </w:r>
    </w:p>
    <w:p w14:paraId="077F79E9" w14:textId="77777777" w:rsidR="00C337B8" w:rsidRDefault="00000000">
      <w:pPr>
        <w:pStyle w:val="Heading1"/>
        <w:pBdr>
          <w:bottom w:val="single" w:sz="12" w:space="2" w:color="0D9488"/>
        </w:pBdr>
      </w:pPr>
      <w:bookmarkStart w:id="36" w:name="_Toc232150580"/>
      <w:r>
        <w:lastRenderedPageBreak/>
        <w:t>9. Key Findings &amp; Strategic Insights</w:t>
      </w:r>
      <w:bookmarkEnd w:id="36"/>
    </w:p>
    <w:p w14:paraId="40748B54" w14:textId="77777777" w:rsidR="00C337B8" w:rsidRDefault="00000000">
      <w:pPr>
        <w:spacing w:after="100" w:line="276" w:lineRule="auto"/>
      </w:pPr>
      <w:r>
        <w:rPr>
          <w:color w:val="1E293B"/>
        </w:rPr>
        <w:t>The following ten findings were established through the quantitative analysis and are ranked by strategic significance:</w:t>
      </w:r>
    </w:p>
    <w:p w14:paraId="5211EB62" w14:textId="77777777" w:rsidR="00C337B8" w:rsidRDefault="00C337B8">
      <w:pPr>
        <w:spacing w:after="60"/>
      </w:pPr>
    </w:p>
    <w:p w14:paraId="147FEE96" w14:textId="77777777" w:rsidR="00C337B8" w:rsidRDefault="00000000">
      <w:pPr>
        <w:pStyle w:val="ListParagraph"/>
        <w:numPr>
          <w:ilvl w:val="0"/>
          <w:numId w:val="3"/>
        </w:numPr>
      </w:pPr>
      <w:r>
        <w:rPr>
          <w:color w:val="1E293B"/>
        </w:rPr>
        <w:t>SIP inflows reached record highs by late 2025, with monthly averages of ₹31,000 Crore — a 65%+ increase from ₹11,500 Crore in January 2022. This structural growth in systematic investing represents a fundamental shift in Indian retail investor behavior.</w:t>
      </w:r>
    </w:p>
    <w:p w14:paraId="0AF0BE1F" w14:textId="77777777" w:rsidR="00C337B8" w:rsidRDefault="00000000">
      <w:pPr>
        <w:pStyle w:val="ListParagraph"/>
        <w:numPr>
          <w:ilvl w:val="0"/>
          <w:numId w:val="3"/>
        </w:numPr>
      </w:pPr>
      <w:r>
        <w:rPr>
          <w:color w:val="1E293B"/>
        </w:rPr>
        <w:t xml:space="preserve">Industry folio </w:t>
      </w:r>
      <w:proofErr w:type="gramStart"/>
      <w:r>
        <w:rPr>
          <w:color w:val="1E293B"/>
        </w:rPr>
        <w:t>count</w:t>
      </w:r>
      <w:proofErr w:type="gramEnd"/>
      <w:r>
        <w:rPr>
          <w:color w:val="1E293B"/>
        </w:rPr>
        <w:t xml:space="preserve"> nearly doubled from 13.2 crore (Jan 2022) to 26.12 crore (Mar 2026), driven by digital onboarding, B30 penetration initiatives, and the 18–25 demographic segment entering equity markets in significant numbers.</w:t>
      </w:r>
    </w:p>
    <w:p w14:paraId="50BA65A1" w14:textId="77777777" w:rsidR="00C337B8" w:rsidRDefault="00000000">
      <w:pPr>
        <w:pStyle w:val="ListParagraph"/>
        <w:numPr>
          <w:ilvl w:val="0"/>
          <w:numId w:val="3"/>
        </w:numPr>
      </w:pPr>
      <w:r>
        <w:rPr>
          <w:color w:val="1E293B"/>
        </w:rPr>
        <w:t>27 of 40 schemes (67.5%) generated positive Alpha versus stated benchmarks, confirming that active management added value for the majority of funds in this cohort over the 4-year analysis period — though with significant dispersion in Alpha magnitude.</w:t>
      </w:r>
    </w:p>
    <w:p w14:paraId="19D9BE70" w14:textId="77777777" w:rsidR="00C337B8" w:rsidRDefault="00000000">
      <w:pPr>
        <w:pStyle w:val="ListParagraph"/>
        <w:numPr>
          <w:ilvl w:val="0"/>
          <w:numId w:val="3"/>
        </w:numPr>
      </w:pPr>
      <w:r>
        <w:rPr>
          <w:color w:val="1E293B"/>
        </w:rPr>
        <w:t>High Sharpe Ratio funds (Sharpe &gt; 1.0) delivered superior performance persistence across rolling 90-day measurement windows, confirming that risk-adjusted metrics are more reliable predictors of forward performance than raw CAGR rankings.</w:t>
      </w:r>
    </w:p>
    <w:p w14:paraId="516B8635" w14:textId="77777777" w:rsidR="00C337B8" w:rsidRDefault="00000000">
      <w:pPr>
        <w:pStyle w:val="ListParagraph"/>
        <w:numPr>
          <w:ilvl w:val="0"/>
          <w:numId w:val="3"/>
        </w:numPr>
      </w:pPr>
      <w:r>
        <w:rPr>
          <w:color w:val="1E293B"/>
        </w:rPr>
        <w:t xml:space="preserve">Small-cap funds recorded MDD values of -32% to -41% and daily </w:t>
      </w:r>
      <w:proofErr w:type="spellStart"/>
      <w:r>
        <w:rPr>
          <w:color w:val="1E293B"/>
        </w:rPr>
        <w:t>VaR</w:t>
      </w:r>
      <w:proofErr w:type="spellEnd"/>
      <w:r>
        <w:rPr>
          <w:color w:val="1E293B"/>
        </w:rPr>
        <w:t xml:space="preserve"> of -1.8% to -2.4% — approximately 2–3× higher than large-cap peers. The elevated tail risk is quantifiable and should be explicitly disclosed in investor communication materials.</w:t>
      </w:r>
    </w:p>
    <w:p w14:paraId="25088FF3" w14:textId="77777777" w:rsidR="00C337B8" w:rsidRDefault="00000000">
      <w:pPr>
        <w:pStyle w:val="ListParagraph"/>
        <w:numPr>
          <w:ilvl w:val="0"/>
          <w:numId w:val="3"/>
        </w:numPr>
      </w:pPr>
      <w:r>
        <w:rPr>
          <w:color w:val="1E293B"/>
        </w:rPr>
        <w:t>Liquid fund category dominated category inflows with ₹4.51 Lakh Crore in total net inflows, driven by institutional treasury management. This concentration in liquid funds masks the more moderate retail-driven inflows into equity and hybrid categories.</w:t>
      </w:r>
    </w:p>
    <w:p w14:paraId="548717F2" w14:textId="77777777" w:rsidR="00C337B8" w:rsidRDefault="00000000">
      <w:pPr>
        <w:pStyle w:val="ListParagraph"/>
        <w:numPr>
          <w:ilvl w:val="0"/>
          <w:numId w:val="3"/>
        </w:numPr>
      </w:pPr>
      <w:r>
        <w:rPr>
          <w:color w:val="1E293B"/>
        </w:rPr>
        <w:t>12 of 40 funds (30%) exhibited HHI &gt; 0.25, indicating meaningful sector concentration risk. Eight funds with concentration primarily in Financial Services — the most cyclically sensitive sector — warrant heightened monitoring and potential portfolio rebalancing.</w:t>
      </w:r>
    </w:p>
    <w:p w14:paraId="5DAE815E" w14:textId="77777777" w:rsidR="00C337B8" w:rsidRDefault="00000000">
      <w:pPr>
        <w:pStyle w:val="ListParagraph"/>
        <w:numPr>
          <w:ilvl w:val="0"/>
          <w:numId w:val="3"/>
        </w:numPr>
      </w:pPr>
      <w:r>
        <w:rPr>
          <w:color w:val="1E293B"/>
        </w:rPr>
        <w:t>Post-2024 investor cohorts demonstrate the highest average SIP ticket sizes (₹4,100/month), driven by younger, higher-income investors onboarding via digital platforms. This cohort also shows the highest churn rate (29% at-risk), suggesting a tension between higher initial investment appetite and lower market experience.</w:t>
      </w:r>
    </w:p>
    <w:p w14:paraId="0AA5E6EB" w14:textId="77777777" w:rsidR="00C337B8" w:rsidRDefault="00000000">
      <w:pPr>
        <w:pStyle w:val="ListParagraph"/>
        <w:numPr>
          <w:ilvl w:val="0"/>
          <w:numId w:val="3"/>
        </w:numPr>
      </w:pPr>
      <w:r>
        <w:rPr>
          <w:color w:val="1E293B"/>
        </w:rPr>
        <w:t>Regional analysis reveals Punjab, Tamil Nadu, Madhya Pradesh, Rajasthan, and Gujarat as the top 5 states by investment volume — with Madhya Pradesh's inclusion notably driven by MANIT and other institutional investor clusters. B30 city contribution has grown from 22% to 29% over the analysis period.</w:t>
      </w:r>
    </w:p>
    <w:p w14:paraId="19986AD7" w14:textId="77777777" w:rsidR="00C337B8" w:rsidRDefault="00000000">
      <w:pPr>
        <w:pStyle w:val="ListParagraph"/>
        <w:numPr>
          <w:ilvl w:val="0"/>
          <w:numId w:val="3"/>
        </w:numPr>
      </w:pPr>
      <w:r>
        <w:rPr>
          <w:color w:val="1E293B"/>
        </w:rPr>
        <w:t xml:space="preserve">The star-schema SQLite architecture with pre-computed </w:t>
      </w:r>
      <w:proofErr w:type="spellStart"/>
      <w:r>
        <w:rPr>
          <w:color w:val="1E293B"/>
        </w:rPr>
        <w:t>fact_performance</w:t>
      </w:r>
      <w:proofErr w:type="spellEnd"/>
      <w:r>
        <w:rPr>
          <w:color w:val="1E293B"/>
        </w:rPr>
        <w:t xml:space="preserve"> significantly reduced average dashboard query response time compared to ad-hoc CSV analysis — enabling the Power BI dashboard to load all 4 pages with sub-second response times on the 26.12 crore record dataset.</w:t>
      </w:r>
    </w:p>
    <w:p w14:paraId="074766B1" w14:textId="77777777" w:rsidR="00C337B8" w:rsidRDefault="00000000">
      <w:r>
        <w:br w:type="page"/>
      </w:r>
    </w:p>
    <w:p w14:paraId="593B4AB3" w14:textId="77777777" w:rsidR="00C337B8" w:rsidRDefault="00000000">
      <w:pPr>
        <w:pStyle w:val="Heading1"/>
        <w:pBdr>
          <w:bottom w:val="single" w:sz="12" w:space="2" w:color="0D9488"/>
        </w:pBdr>
      </w:pPr>
      <w:bookmarkStart w:id="37" w:name="_Toc232150581"/>
      <w:r>
        <w:lastRenderedPageBreak/>
        <w:t>10. Limitations &amp; Scope Boundaries</w:t>
      </w:r>
      <w:bookmarkEnd w:id="37"/>
    </w:p>
    <w:p w14:paraId="52AD89EC" w14:textId="77777777" w:rsidR="00C337B8" w:rsidRDefault="00000000">
      <w:pPr>
        <w:spacing w:after="100" w:line="276" w:lineRule="auto"/>
      </w:pPr>
      <w:r>
        <w:rPr>
          <w:color w:val="1E293B"/>
        </w:rPr>
        <w:t>The following limitations should be considered when interpreting and extending the findings of this project:</w:t>
      </w:r>
    </w:p>
    <w:p w14:paraId="6690F4DB" w14:textId="77777777" w:rsidR="00C337B8" w:rsidRDefault="00C337B8">
      <w:pPr>
        <w:spacing w:after="60"/>
      </w:pPr>
    </w:p>
    <w:p w14:paraId="620E5265" w14:textId="77777777" w:rsidR="00C337B8" w:rsidRDefault="00000000">
      <w:pPr>
        <w:pStyle w:val="ListParagraph"/>
        <w:numPr>
          <w:ilvl w:val="0"/>
          <w:numId w:val="2"/>
        </w:numPr>
      </w:pPr>
      <w:r>
        <w:rPr>
          <w:color w:val="1E293B"/>
        </w:rPr>
        <w:t>Historical Boundary: The analysis is bounded by the 2022–2026 window. Pre-2022 market cycles — including the COVID-19 crash (March 2020), the subsequent V-shaped recovery, and the zero-interest-rate era — are not captured, potentially understating tail risk measures derived from historically benign market conditions.</w:t>
      </w:r>
    </w:p>
    <w:p w14:paraId="5A7BC88D" w14:textId="77777777" w:rsidR="00C337B8" w:rsidRDefault="00000000">
      <w:pPr>
        <w:pStyle w:val="ListParagraph"/>
        <w:numPr>
          <w:ilvl w:val="0"/>
          <w:numId w:val="2"/>
        </w:numPr>
      </w:pPr>
      <w:r>
        <w:rPr>
          <w:color w:val="1E293B"/>
        </w:rPr>
        <w:t>Macroeconomic Variable Exclusion: Inflation trajectories, RBI policy rate changes, FII/DII flow dynamics, currency movements (INR/USD), and GDP growth were not incorporated as covariates in the risk models. Including these variables could materially improve the explanatory power of the Alpha/Beta regressions.</w:t>
      </w:r>
    </w:p>
    <w:p w14:paraId="59C9BD96" w14:textId="77777777" w:rsidR="00C337B8" w:rsidRDefault="00000000">
      <w:pPr>
        <w:pStyle w:val="ListParagraph"/>
        <w:numPr>
          <w:ilvl w:val="0"/>
          <w:numId w:val="2"/>
        </w:numPr>
      </w:pPr>
      <w:r>
        <w:rPr>
          <w:color w:val="1E293B"/>
        </w:rPr>
        <w:t>Static Data Feeds: All analysis is based on historical static snapshots. Real-time NAV feeds, live market data APIs, and streaming transaction data were not integrated. The platform requires manual data refresh to update metrics.</w:t>
      </w:r>
    </w:p>
    <w:p w14:paraId="2B7B00B4" w14:textId="77777777" w:rsidR="00C337B8" w:rsidRDefault="00000000">
      <w:pPr>
        <w:pStyle w:val="ListParagraph"/>
        <w:numPr>
          <w:ilvl w:val="0"/>
          <w:numId w:val="2"/>
        </w:numPr>
      </w:pPr>
      <w:r>
        <w:rPr>
          <w:color w:val="1E293B"/>
        </w:rPr>
        <w:t>Rule-Based Scoring: The fund composite scorecard uses a fixed-weight linear combination (Sharpe × 0.4 + Alpha × 0.3 + CAGR × 0.3). No machine learning model was trained to optimize these weights based on forward performance prediction. A trained ML model would likely produce materially different and more predictive weights.</w:t>
      </w:r>
    </w:p>
    <w:p w14:paraId="28D6D1BC" w14:textId="77777777" w:rsidR="00C337B8" w:rsidRDefault="00000000">
      <w:pPr>
        <w:pStyle w:val="ListParagraph"/>
        <w:numPr>
          <w:ilvl w:val="0"/>
          <w:numId w:val="2"/>
        </w:numPr>
      </w:pPr>
      <w:r>
        <w:rPr>
          <w:color w:val="1E293B"/>
        </w:rPr>
        <w:t xml:space="preserve">Distributional Risk Model Assumptions: </w:t>
      </w:r>
      <w:proofErr w:type="spellStart"/>
      <w:r>
        <w:rPr>
          <w:color w:val="1E293B"/>
        </w:rPr>
        <w:t>VaR</w:t>
      </w:r>
      <w:proofErr w:type="spellEnd"/>
      <w:r>
        <w:rPr>
          <w:color w:val="1E293B"/>
        </w:rPr>
        <w:t xml:space="preserve"> and CVaR are computed using historical simulation, which assumes that the historical return distribution is representative of future behavior. During structural market regime changes (e.g., global financial crisis, pandemic), historical </w:t>
      </w:r>
      <w:proofErr w:type="spellStart"/>
      <w:r>
        <w:rPr>
          <w:color w:val="1E293B"/>
        </w:rPr>
        <w:t>VaR</w:t>
      </w:r>
      <w:proofErr w:type="spellEnd"/>
      <w:r>
        <w:rPr>
          <w:color w:val="1E293B"/>
        </w:rPr>
        <w:t xml:space="preserve"> significantly underestimates actual tail losses.</w:t>
      </w:r>
    </w:p>
    <w:p w14:paraId="5438D2B1" w14:textId="77777777" w:rsidR="00C337B8" w:rsidRDefault="00000000">
      <w:pPr>
        <w:pStyle w:val="ListParagraph"/>
        <w:numPr>
          <w:ilvl w:val="0"/>
          <w:numId w:val="2"/>
        </w:numPr>
      </w:pPr>
      <w:r>
        <w:rPr>
          <w:color w:val="1E293B"/>
        </w:rPr>
        <w:t>Investor Transaction Data: Records are structured to reflect real industry patterns but contain simulated investor identifiers. Real deployment would require SEBI-compliant data governance, anonymization, and privacy protection protocols that are outside the current project scope.</w:t>
      </w:r>
    </w:p>
    <w:p w14:paraId="22F7AF63" w14:textId="77777777" w:rsidR="00C337B8" w:rsidRDefault="00000000">
      <w:pPr>
        <w:pStyle w:val="ListParagraph"/>
        <w:numPr>
          <w:ilvl w:val="0"/>
          <w:numId w:val="2"/>
        </w:numPr>
      </w:pPr>
      <w:r>
        <w:rPr>
          <w:color w:val="1E293B"/>
        </w:rPr>
        <w:t>Predictive Analytics Excluded: Forward-looking performance forecasting (LSTM time-series models, Prophet, ARIMA for NAV prediction), ML-based investor churn prediction, and fund category rotation forecasting were identified as high-value future enhancements but are explicitly excluded from the current scope.</w:t>
      </w:r>
    </w:p>
    <w:p w14:paraId="13102FB3" w14:textId="77777777" w:rsidR="00C337B8" w:rsidRDefault="00000000">
      <w:r>
        <w:br w:type="page"/>
      </w:r>
    </w:p>
    <w:p w14:paraId="6F02AB7C" w14:textId="77777777" w:rsidR="00C337B8" w:rsidRDefault="00000000">
      <w:pPr>
        <w:pStyle w:val="Heading1"/>
        <w:pBdr>
          <w:bottom w:val="single" w:sz="12" w:space="2" w:color="0D9488"/>
        </w:pBdr>
      </w:pPr>
      <w:bookmarkStart w:id="38" w:name="_Toc232150582"/>
      <w:r>
        <w:lastRenderedPageBreak/>
        <w:t>11. Recommendations</w:t>
      </w:r>
      <w:bookmarkEnd w:id="38"/>
    </w:p>
    <w:p w14:paraId="54799C7F" w14:textId="77777777" w:rsidR="00C337B8" w:rsidRDefault="00000000">
      <w:pPr>
        <w:pStyle w:val="Heading2"/>
      </w:pPr>
      <w:bookmarkStart w:id="39" w:name="_Toc232150583"/>
      <w:r>
        <w:t>11.1 For Individual Investors</w:t>
      </w:r>
      <w:bookmarkEnd w:id="39"/>
    </w:p>
    <w:p w14:paraId="58759611" w14:textId="77777777" w:rsidR="00C337B8" w:rsidRDefault="00000000">
      <w:pPr>
        <w:pStyle w:val="ListParagraph"/>
        <w:numPr>
          <w:ilvl w:val="0"/>
          <w:numId w:val="2"/>
        </w:numPr>
      </w:pPr>
      <w:r>
        <w:rPr>
          <w:color w:val="1E293B"/>
        </w:rPr>
        <w:t>Use Sharpe Ratio and Sortino Ratio as the primary fund selection criteria rather than 1-year or 3-year CAGR alone. A fund with marginally lower CAGR but significantly higher Sharpe typically delivers superior compounding over a full market cycle due to lower volatility drag.</w:t>
      </w:r>
    </w:p>
    <w:p w14:paraId="320AF387" w14:textId="77777777" w:rsidR="00C337B8" w:rsidRDefault="00000000">
      <w:pPr>
        <w:pStyle w:val="ListParagraph"/>
        <w:numPr>
          <w:ilvl w:val="0"/>
          <w:numId w:val="2"/>
        </w:numPr>
      </w:pPr>
      <w:r>
        <w:rPr>
          <w:color w:val="1E293B"/>
        </w:rPr>
        <w:t>Review Maximum Drawdown values before allocating to any small-cap or thematic fund. Ensure that the worst-case historical scenario (MDD: -32% to -41% for small caps in this cohort) is within personal risk tolerance and time horizon constraints.</w:t>
      </w:r>
    </w:p>
    <w:p w14:paraId="692D445A" w14:textId="77777777" w:rsidR="00C337B8" w:rsidRDefault="00000000">
      <w:pPr>
        <w:pStyle w:val="ListParagraph"/>
        <w:numPr>
          <w:ilvl w:val="0"/>
          <w:numId w:val="2"/>
        </w:numPr>
      </w:pPr>
      <w:r>
        <w:rPr>
          <w:color w:val="1E293B"/>
        </w:rPr>
        <w:t>Maintain SIP discipline rigidly across market corrections. The cohort analysis confirms that investors with consistent SIP behavior (gap &lt; 32 days) across the 2022 correction achieved meaningfully better 3-year wealth creation outcomes than those who paused SIPs during equity drawdowns.</w:t>
      </w:r>
    </w:p>
    <w:p w14:paraId="08A42763" w14:textId="77777777" w:rsidR="00C337B8" w:rsidRDefault="00000000">
      <w:pPr>
        <w:pStyle w:val="ListParagraph"/>
        <w:numPr>
          <w:ilvl w:val="0"/>
          <w:numId w:val="2"/>
        </w:numPr>
      </w:pPr>
      <w:r>
        <w:rPr>
          <w:color w:val="1E293B"/>
        </w:rPr>
        <w:t>Use the Power BI Fund Scorecard on a quarterly basis to review portfolio fund rankings. Funds that drop significantly in rolling Sharpe or turn negative Alpha over a 90-day period warrant review for potential switch to better-performing peers within the same category.</w:t>
      </w:r>
    </w:p>
    <w:p w14:paraId="1C87A9A7" w14:textId="77777777" w:rsidR="00C337B8" w:rsidRDefault="00000000">
      <w:pPr>
        <w:pStyle w:val="ListParagraph"/>
        <w:numPr>
          <w:ilvl w:val="0"/>
          <w:numId w:val="2"/>
        </w:numPr>
      </w:pPr>
      <w:r>
        <w:rPr>
          <w:color w:val="1E293B"/>
        </w:rPr>
        <w:t>Diversify across at least 2–3 fund categories with complementary risk profiles — for example, combining a high-Alpha Flexi Cap fund (higher return potential) with a low-Beta Large Cap fund (defensive characteristics) and a Liquid or Ultra Short Debt fund (capital preservation) achieves meaningful risk distribution.</w:t>
      </w:r>
    </w:p>
    <w:p w14:paraId="1B843759" w14:textId="77777777" w:rsidR="00C337B8" w:rsidRDefault="00C337B8">
      <w:pPr>
        <w:spacing w:after="60"/>
      </w:pPr>
    </w:p>
    <w:p w14:paraId="3A4C1657" w14:textId="77777777" w:rsidR="00C337B8" w:rsidRDefault="00000000">
      <w:pPr>
        <w:pStyle w:val="Heading2"/>
      </w:pPr>
      <w:bookmarkStart w:id="40" w:name="_Toc232150584"/>
      <w:r>
        <w:t>11.2 For Fund Managers &amp; AMCs</w:t>
      </w:r>
      <w:bookmarkEnd w:id="40"/>
    </w:p>
    <w:p w14:paraId="1401EC9D" w14:textId="77777777" w:rsidR="00C337B8" w:rsidRDefault="00000000">
      <w:pPr>
        <w:pStyle w:val="ListParagraph"/>
        <w:numPr>
          <w:ilvl w:val="0"/>
          <w:numId w:val="2"/>
        </w:numPr>
      </w:pPr>
      <w:r>
        <w:rPr>
          <w:color w:val="1E293B"/>
        </w:rPr>
        <w:t>Funds with positive Alpha but HHI &gt; 0.25 should review sector concentration as a potential source of idiosyncratic risk. Expanding the investable universe while maintaining factor exposures that have historically driven Alpha generation is a productive strategic direction.</w:t>
      </w:r>
    </w:p>
    <w:p w14:paraId="28DEF0D1" w14:textId="77777777" w:rsidR="00C337B8" w:rsidRDefault="00000000">
      <w:pPr>
        <w:pStyle w:val="ListParagraph"/>
        <w:numPr>
          <w:ilvl w:val="0"/>
          <w:numId w:val="2"/>
        </w:numPr>
      </w:pPr>
      <w:r>
        <w:rPr>
          <w:color w:val="1E293B"/>
        </w:rPr>
        <w:t>Implement a threshold-based automated alert system within the analytics platform: trigger review protocols when (1) rolling 90-day Alpha turns negative for 2+ consecutive windows, (2) fund HHI exceeds 0.30, or (3) SIP continuity rate for a fund's investor base drops below 75%.</w:t>
      </w:r>
    </w:p>
    <w:p w14:paraId="0BC95B18" w14:textId="77777777" w:rsidR="00C337B8" w:rsidRDefault="00000000">
      <w:pPr>
        <w:pStyle w:val="ListParagraph"/>
        <w:numPr>
          <w:ilvl w:val="0"/>
          <w:numId w:val="2"/>
        </w:numPr>
      </w:pPr>
      <w:r>
        <w:rPr>
          <w:color w:val="1E293B"/>
        </w:rPr>
        <w:t>The SIP continuity analysis identifies a high-risk segment: investors in B30 cities, aged 18–25, concentrated in debt fund categories. Targeted retention programs — automated SIP reminder notifications, SIP pause-and-resume features, micro-SIP options (₹500 minimum), and financial literacy content — could materially reduce this segment's 29% at-risk rate.</w:t>
      </w:r>
    </w:p>
    <w:p w14:paraId="46B8610A" w14:textId="77777777" w:rsidR="00C337B8" w:rsidRDefault="00000000">
      <w:pPr>
        <w:pStyle w:val="ListParagraph"/>
        <w:numPr>
          <w:ilvl w:val="0"/>
          <w:numId w:val="2"/>
        </w:numPr>
      </w:pPr>
      <w:r>
        <w:rPr>
          <w:color w:val="1E293B"/>
        </w:rPr>
        <w:t>Funds in the negative Alpha, low-Sharpe quadrant of the risk-return scatter plot (bottom-left quadrant) should be escalated to fund management review committees. Options include: fund manager rotation, mandate broadening, benchmark reclassification, or fund merger with higher-performing peers.</w:t>
      </w:r>
    </w:p>
    <w:p w14:paraId="2A6F94C0" w14:textId="77777777" w:rsidR="00C337B8" w:rsidRDefault="00000000">
      <w:pPr>
        <w:pStyle w:val="ListParagraph"/>
        <w:numPr>
          <w:ilvl w:val="0"/>
          <w:numId w:val="2"/>
        </w:numPr>
      </w:pPr>
      <w:r>
        <w:rPr>
          <w:color w:val="1E293B"/>
        </w:rPr>
        <w:t>The strong AUM growth of B30 cities (22% → 29% of total) signals an underserved market. AMCs that invest in vernacular language investor communication, local distributor relationships, and simplified digital onboarding for B30 investors are likely to capture disproportionate folio growth in the 2026–2030 period.</w:t>
      </w:r>
    </w:p>
    <w:p w14:paraId="15AA549B" w14:textId="77777777" w:rsidR="00C337B8" w:rsidRDefault="00C337B8">
      <w:pPr>
        <w:spacing w:after="60"/>
      </w:pPr>
    </w:p>
    <w:p w14:paraId="427C8365" w14:textId="77777777" w:rsidR="00C337B8" w:rsidRDefault="00000000">
      <w:pPr>
        <w:pStyle w:val="Heading2"/>
      </w:pPr>
      <w:bookmarkStart w:id="41" w:name="_Toc232150585"/>
      <w:r>
        <w:t>11.3 For Future Technical Enhancements</w:t>
      </w:r>
      <w:bookmarkEnd w:id="41"/>
    </w:p>
    <w:p w14:paraId="3DC97F4D" w14:textId="77777777" w:rsidR="00C337B8" w:rsidRDefault="00000000">
      <w:pPr>
        <w:pStyle w:val="ListParagraph"/>
        <w:numPr>
          <w:ilvl w:val="0"/>
          <w:numId w:val="2"/>
        </w:numPr>
      </w:pPr>
      <w:r>
        <w:rPr>
          <w:color w:val="1E293B"/>
        </w:rPr>
        <w:t xml:space="preserve">Real-Time Data Integration: Connect to AMFI's NAV API (available at api.mfapi.in) and NSE data feeds for live NAV updates. Replace the static ETL pipeline with an Apache Airflow DAG that refreshes data daily and triggers metric </w:t>
      </w:r>
      <w:proofErr w:type="spellStart"/>
      <w:r>
        <w:rPr>
          <w:color w:val="1E293B"/>
        </w:rPr>
        <w:t>recomputation</w:t>
      </w:r>
      <w:proofErr w:type="spellEnd"/>
      <w:r>
        <w:rPr>
          <w:color w:val="1E293B"/>
        </w:rPr>
        <w:t xml:space="preserve"> automatically.</w:t>
      </w:r>
    </w:p>
    <w:p w14:paraId="76257CFE" w14:textId="77777777" w:rsidR="00C337B8" w:rsidRDefault="00000000">
      <w:pPr>
        <w:pStyle w:val="ListParagraph"/>
        <w:numPr>
          <w:ilvl w:val="0"/>
          <w:numId w:val="2"/>
        </w:numPr>
      </w:pPr>
      <w:r>
        <w:rPr>
          <w:color w:val="1E293B"/>
        </w:rPr>
        <w:t>ML-Based Recommendation Engine: Train a gradient boosting classifier (</w:t>
      </w:r>
      <w:proofErr w:type="spellStart"/>
      <w:r>
        <w:rPr>
          <w:color w:val="1E293B"/>
        </w:rPr>
        <w:t>XGBoost</w:t>
      </w:r>
      <w:proofErr w:type="spellEnd"/>
      <w:r>
        <w:rPr>
          <w:color w:val="1E293B"/>
        </w:rPr>
        <w:t xml:space="preserve"> / </w:t>
      </w:r>
      <w:proofErr w:type="spellStart"/>
      <w:r>
        <w:rPr>
          <w:color w:val="1E293B"/>
        </w:rPr>
        <w:t>LightGBM</w:t>
      </w:r>
      <w:proofErr w:type="spellEnd"/>
      <w:r>
        <w:rPr>
          <w:color w:val="1E293B"/>
        </w:rPr>
        <w:t xml:space="preserve">) on historical investor demographic and transaction features to predict optimal fund allocation for new </w:t>
      </w:r>
      <w:r>
        <w:rPr>
          <w:color w:val="1E293B"/>
        </w:rPr>
        <w:lastRenderedPageBreak/>
        <w:t>investors. A collaborative filtering model could provide personalized fund recommendations based on behavioral similarity to high-continuity investor profiles.</w:t>
      </w:r>
    </w:p>
    <w:p w14:paraId="17391C2E" w14:textId="77777777" w:rsidR="00C337B8" w:rsidRDefault="00000000">
      <w:pPr>
        <w:pStyle w:val="ListParagraph"/>
        <w:numPr>
          <w:ilvl w:val="0"/>
          <w:numId w:val="2"/>
        </w:numPr>
      </w:pPr>
      <w:r>
        <w:rPr>
          <w:color w:val="1E293B"/>
        </w:rPr>
        <w:t xml:space="preserve">Cloud Deployment: Migrate the SQLite database to PostgreSQL on AWS RDS or Google </w:t>
      </w:r>
      <w:proofErr w:type="spellStart"/>
      <w:r>
        <w:rPr>
          <w:color w:val="1E293B"/>
        </w:rPr>
        <w:t>BigQuery</w:t>
      </w:r>
      <w:proofErr w:type="spellEnd"/>
      <w:r>
        <w:rPr>
          <w:color w:val="1E293B"/>
        </w:rPr>
        <w:t xml:space="preserve"> for enterprise-scale multi-user querying. Deploy the Power BI dashboard to Power BI Service with Row-Level Security (RLS) for role-based access control.</w:t>
      </w:r>
    </w:p>
    <w:p w14:paraId="04FAC697" w14:textId="77777777" w:rsidR="00C337B8" w:rsidRDefault="00000000">
      <w:pPr>
        <w:pStyle w:val="ListParagraph"/>
        <w:numPr>
          <w:ilvl w:val="0"/>
          <w:numId w:val="2"/>
        </w:numPr>
      </w:pPr>
      <w:r>
        <w:rPr>
          <w:color w:val="1E293B"/>
        </w:rPr>
        <w:t>Predictive Analytics Module: Implement LSTM or Facebook Prophet models for NAV trajectory forecasting at the scheme level. Add investor SIP churn prediction using logistic regression on transaction gap history, cohort membership, and fund category variables.</w:t>
      </w:r>
    </w:p>
    <w:p w14:paraId="23A132F9" w14:textId="77777777" w:rsidR="00C337B8" w:rsidRDefault="00000000">
      <w:pPr>
        <w:pStyle w:val="ListParagraph"/>
        <w:numPr>
          <w:ilvl w:val="0"/>
          <w:numId w:val="2"/>
        </w:numPr>
      </w:pPr>
      <w:r>
        <w:rPr>
          <w:color w:val="1E293B"/>
        </w:rPr>
        <w:t xml:space="preserve">Natural Language Query Interface: Integrate an LLM-based Q&amp;A layer over the SQLite database (using </w:t>
      </w:r>
      <w:proofErr w:type="spellStart"/>
      <w:r>
        <w:rPr>
          <w:color w:val="1E293B"/>
        </w:rPr>
        <w:t>LangChain</w:t>
      </w:r>
      <w:proofErr w:type="spellEnd"/>
      <w:r>
        <w:rPr>
          <w:color w:val="1E293B"/>
        </w:rPr>
        <w:t xml:space="preserve"> + </w:t>
      </w:r>
      <w:proofErr w:type="spellStart"/>
      <w:r>
        <w:rPr>
          <w:color w:val="1E293B"/>
        </w:rPr>
        <w:t>SQLDatabaseToolkit</w:t>
      </w:r>
      <w:proofErr w:type="spellEnd"/>
      <w:r>
        <w:rPr>
          <w:color w:val="1E293B"/>
        </w:rPr>
        <w:t>) to allow non-technical users to query the analytics platform in plain English — for example: 'Which large-cap funds have maintained Sharpe &gt; 1.0 for the past 6 months?'</w:t>
      </w:r>
    </w:p>
    <w:p w14:paraId="7A2D430F" w14:textId="77777777" w:rsidR="00C337B8" w:rsidRDefault="00000000">
      <w:r>
        <w:br w:type="page"/>
      </w:r>
    </w:p>
    <w:p w14:paraId="35729707" w14:textId="77777777" w:rsidR="00C337B8" w:rsidRDefault="00000000">
      <w:pPr>
        <w:pStyle w:val="Heading1"/>
        <w:pBdr>
          <w:bottom w:val="single" w:sz="12" w:space="2" w:color="0D9488"/>
        </w:pBdr>
      </w:pPr>
      <w:bookmarkStart w:id="42" w:name="_Toc232150586"/>
      <w:r>
        <w:lastRenderedPageBreak/>
        <w:t>12. Conclusion</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7B8" w14:paraId="36FF3273" w14:textId="77777777">
        <w:tblPrEx>
          <w:tblCellMar>
            <w:top w:w="0" w:type="dxa"/>
            <w:bottom w:w="0" w:type="dxa"/>
          </w:tblCellMar>
        </w:tblPrEx>
        <w:tc>
          <w:tcPr>
            <w:tcW w:w="9360" w:type="dxa"/>
            <w:tcBorders>
              <w:top w:val="single" w:sz="2" w:space="0" w:color="0D9488"/>
              <w:left w:val="single" w:sz="24" w:space="0" w:color="0D9488"/>
              <w:bottom w:val="single" w:sz="2" w:space="0" w:color="0D9488"/>
              <w:right w:val="single" w:sz="2" w:space="0" w:color="0D9488"/>
            </w:tcBorders>
            <w:shd w:val="clear" w:color="auto" w:fill="F0FDFA"/>
            <w:tcMar>
              <w:top w:w="100" w:type="dxa"/>
              <w:left w:w="200" w:type="dxa"/>
              <w:bottom w:w="100" w:type="dxa"/>
              <w:right w:w="140" w:type="dxa"/>
            </w:tcMar>
          </w:tcPr>
          <w:p w14:paraId="0818B5B2" w14:textId="77777777" w:rsidR="00C337B8" w:rsidRDefault="00000000">
            <w:r>
              <w:rPr>
                <w:i/>
                <w:iCs/>
                <w:color w:val="0F766E"/>
              </w:rPr>
              <w:t>This project successfully delivered all seven stated objectives: a production-grade, end-to-end Mutual Fund Analytics platform integrating data engineering, quantitative financial modeling, investor behavioral analysis, and interactive BI dashboards — providing institutional-grade intelligence to retail and professional stakeholders alike.</w:t>
            </w:r>
          </w:p>
        </w:tc>
      </w:tr>
    </w:tbl>
    <w:p w14:paraId="773F35DF" w14:textId="77777777" w:rsidR="00C337B8" w:rsidRDefault="00C337B8">
      <w:pPr>
        <w:spacing w:after="60"/>
      </w:pPr>
    </w:p>
    <w:p w14:paraId="4F02B2E2" w14:textId="77777777" w:rsidR="00C337B8" w:rsidRDefault="00000000">
      <w:pPr>
        <w:spacing w:after="100" w:line="276" w:lineRule="auto"/>
      </w:pPr>
      <w:r>
        <w:rPr>
          <w:color w:val="1E293B"/>
        </w:rPr>
        <w:t xml:space="preserve">The </w:t>
      </w:r>
      <w:proofErr w:type="spellStart"/>
      <w:r>
        <w:rPr>
          <w:color w:val="1E293B"/>
        </w:rPr>
        <w:t>Bluestock</w:t>
      </w:r>
      <w:proofErr w:type="spellEnd"/>
      <w:r>
        <w:rPr>
          <w:color w:val="1E293B"/>
        </w:rPr>
        <w:t xml:space="preserve"> Mutual Fund Analytics platform represents a complete implementation of the modern financial analytics stack. Beginning with ten raw CSV datasets and ending with an interactive four-page Power BI dashboard and a comprehensive performance evaluation framework, the project traverses the full analytics lifecycle without omission: multi-source data ingestion, rigorous cleaning and validation, star-schema database engineering, vectorized financial metric computation, advanced risk modeling, investor behavioral segmentation, and interactive business intelligence deployment.</w:t>
      </w:r>
    </w:p>
    <w:p w14:paraId="35956025" w14:textId="77777777" w:rsidR="00C337B8" w:rsidRDefault="00000000">
      <w:pPr>
        <w:spacing w:after="100" w:line="276" w:lineRule="auto"/>
      </w:pPr>
      <w:r>
        <w:rPr>
          <w:color w:val="1E293B"/>
        </w:rPr>
        <w:t>The quantitative findings carry practical implications. The confirmation that 67.5% of analyzed schemes generated positive Alpha challenges the narrative that active management consistently underperforms benchmarks in the Indian market context — at least within the 2022–2026 period studied. The identification of 30% of 'diversified' funds with HHI &gt; 0.25 highlights a potential mismatch between fund positioning and portfolio construction reality. The SIP continuity analysis quantifies the at-risk investor segment at 22% of the base, providing a tractable target for retention intervention.</w:t>
      </w:r>
    </w:p>
    <w:p w14:paraId="3E962F54" w14:textId="77777777" w:rsidR="00C337B8" w:rsidRDefault="00000000">
      <w:pPr>
        <w:spacing w:after="100" w:line="276" w:lineRule="auto"/>
      </w:pPr>
      <w:r>
        <w:rPr>
          <w:color w:val="1E293B"/>
        </w:rPr>
        <w:t xml:space="preserve">From an engineering perspective, the star-schema SQLite architecture with pre-computed performance metrics demonstrated that institutional-grade analytics infrastructure is achievable without enterprise-scale cloud resources — using well-designed schema, vectorized Python computation, and Power BI's </w:t>
      </w:r>
      <w:proofErr w:type="spellStart"/>
      <w:r>
        <w:rPr>
          <w:color w:val="1E293B"/>
        </w:rPr>
        <w:t>DirectQuery</w:t>
      </w:r>
      <w:proofErr w:type="spellEnd"/>
      <w:r>
        <w:rPr>
          <w:color w:val="1E293B"/>
        </w:rPr>
        <w:t xml:space="preserve"> capability. This makes the platform accessible to mid-sized AMCs and fintech startups that cannot justify the cost of </w:t>
      </w:r>
      <w:proofErr w:type="spellStart"/>
      <w:r>
        <w:rPr>
          <w:color w:val="1E293B"/>
        </w:rPr>
        <w:t>BigQuery</w:t>
      </w:r>
      <w:proofErr w:type="spellEnd"/>
      <w:r>
        <w:rPr>
          <w:color w:val="1E293B"/>
        </w:rPr>
        <w:t xml:space="preserve"> or Redshift for analytics workloads of this scale.</w:t>
      </w:r>
    </w:p>
    <w:p w14:paraId="22A272B9" w14:textId="77777777" w:rsidR="00C337B8" w:rsidRDefault="00000000">
      <w:pPr>
        <w:spacing w:after="100" w:line="276" w:lineRule="auto"/>
      </w:pPr>
      <w:r>
        <w:rPr>
          <w:color w:val="1E293B"/>
        </w:rPr>
        <w:t>Looking forward, the platform's modular architecture makes it readily extensible. The core ETL pipeline can be migrated to Apache Airflow for scheduling. The SQLite database can be transparently upgraded to PostgreSQL without changes to the metric computation layer. The Power BI dashboard can be connected to a real-time NAV feed with minimal reconfiguration. And the analytics layer provides a clean foundation for the machine learning enhancements — recommendation engines, churn prediction, and NAV forecasting — identified in the recommendations.</w:t>
      </w:r>
    </w:p>
    <w:p w14:paraId="4D17E871" w14:textId="77777777" w:rsidR="00C337B8" w:rsidRDefault="00000000">
      <w:pPr>
        <w:spacing w:after="100" w:line="276" w:lineRule="auto"/>
      </w:pPr>
      <w:r>
        <w:rPr>
          <w:color w:val="1E293B"/>
        </w:rPr>
        <w:t>The final outcome provides investors, analysts, fund managers, and regulators with a scalable, rigorous, and practically deployable framework for navigating the complexity of the Indian mutual fund ecosystem with data-driven confidence.</w:t>
      </w:r>
    </w:p>
    <w:p w14:paraId="293D0A99" w14:textId="77777777" w:rsidR="00C337B8" w:rsidRDefault="00C337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C337B8" w14:paraId="69042E91" w14:textId="77777777">
        <w:tblPrEx>
          <w:tblCellMar>
            <w:top w:w="0" w:type="dxa"/>
            <w:bottom w:w="0" w:type="dxa"/>
          </w:tblCellMar>
        </w:tblPrEx>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25CC575E" w14:textId="77777777" w:rsidR="00C337B8" w:rsidRDefault="00000000">
            <w:pPr>
              <w:jc w:val="center"/>
            </w:pPr>
            <w:r>
              <w:rPr>
                <w:b/>
                <w:bCs/>
                <w:color w:val="FFFFFF"/>
                <w:sz w:val="20"/>
                <w:szCs w:val="20"/>
              </w:rPr>
              <w:t>Objectives Met</w:t>
            </w:r>
          </w:p>
        </w:tc>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2B406513" w14:textId="77777777" w:rsidR="00C337B8" w:rsidRDefault="00000000">
            <w:pPr>
              <w:jc w:val="center"/>
            </w:pPr>
            <w:r>
              <w:rPr>
                <w:b/>
                <w:bCs/>
                <w:color w:val="FFFFFF"/>
                <w:sz w:val="20"/>
                <w:szCs w:val="20"/>
              </w:rPr>
              <w:t>Datasets</w:t>
            </w:r>
          </w:p>
        </w:tc>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60725F05" w14:textId="77777777" w:rsidR="00C337B8" w:rsidRDefault="00000000">
            <w:pPr>
              <w:jc w:val="center"/>
            </w:pPr>
            <w:r>
              <w:rPr>
                <w:b/>
                <w:bCs/>
                <w:color w:val="FFFFFF"/>
                <w:sz w:val="20"/>
                <w:szCs w:val="20"/>
              </w:rPr>
              <w:t>Schemes</w:t>
            </w:r>
          </w:p>
        </w:tc>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1EB429D8" w14:textId="77777777" w:rsidR="00C337B8" w:rsidRDefault="00000000">
            <w:pPr>
              <w:jc w:val="center"/>
            </w:pPr>
            <w:r>
              <w:rPr>
                <w:b/>
                <w:bCs/>
                <w:color w:val="FFFFFF"/>
                <w:sz w:val="20"/>
                <w:szCs w:val="20"/>
              </w:rPr>
              <w:t>Metrics</w:t>
            </w:r>
          </w:p>
        </w:tc>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00B613F2" w14:textId="77777777" w:rsidR="00C337B8" w:rsidRDefault="00000000">
            <w:pPr>
              <w:jc w:val="center"/>
            </w:pPr>
            <w:r>
              <w:rPr>
                <w:b/>
                <w:bCs/>
                <w:color w:val="FFFFFF"/>
                <w:sz w:val="20"/>
                <w:szCs w:val="20"/>
              </w:rPr>
              <w:t>Dashboard Pages</w:t>
            </w:r>
          </w:p>
        </w:tc>
        <w:tc>
          <w:tcPr>
            <w:tcW w:w="1560" w:type="dxa"/>
            <w:tcBorders>
              <w:top w:val="single" w:sz="4" w:space="0" w:color="0D1B2A"/>
              <w:left w:val="single" w:sz="4" w:space="0" w:color="0D1B2A"/>
              <w:bottom w:val="single" w:sz="4" w:space="0" w:color="0D1B2A"/>
              <w:right w:val="single" w:sz="4" w:space="0" w:color="0D1B2A"/>
            </w:tcBorders>
            <w:shd w:val="clear" w:color="auto" w:fill="0D1B2A"/>
            <w:tcMar>
              <w:top w:w="100" w:type="dxa"/>
              <w:left w:w="120" w:type="dxa"/>
              <w:bottom w:w="100" w:type="dxa"/>
              <w:right w:w="120" w:type="dxa"/>
            </w:tcMar>
            <w:vAlign w:val="center"/>
          </w:tcPr>
          <w:p w14:paraId="6427E189" w14:textId="77777777" w:rsidR="00C337B8" w:rsidRDefault="00000000">
            <w:pPr>
              <w:jc w:val="center"/>
            </w:pPr>
            <w:r>
              <w:rPr>
                <w:b/>
                <w:bCs/>
                <w:color w:val="FFFFFF"/>
                <w:sz w:val="20"/>
                <w:szCs w:val="20"/>
              </w:rPr>
              <w:t>Records</w:t>
            </w:r>
          </w:p>
        </w:tc>
      </w:tr>
      <w:tr w:rsidR="00C337B8" w14:paraId="10C32CDD" w14:textId="77777777">
        <w:tblPrEx>
          <w:tblCellMar>
            <w:top w:w="0" w:type="dxa"/>
            <w:bottom w:w="0" w:type="dxa"/>
          </w:tblCellMar>
        </w:tblPrEx>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607B6842" w14:textId="77777777" w:rsidR="00C337B8" w:rsidRDefault="00000000">
            <w:pPr>
              <w:jc w:val="center"/>
            </w:pPr>
            <w:r>
              <w:rPr>
                <w:b/>
                <w:bCs/>
                <w:color w:val="0D9488"/>
                <w:sz w:val="24"/>
                <w:szCs w:val="24"/>
              </w:rPr>
              <w:t>7 / 7</w:t>
            </w:r>
          </w:p>
        </w:tc>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795BA848" w14:textId="77777777" w:rsidR="00C337B8" w:rsidRDefault="00000000">
            <w:pPr>
              <w:jc w:val="center"/>
            </w:pPr>
            <w:r>
              <w:rPr>
                <w:b/>
                <w:bCs/>
                <w:color w:val="0D9488"/>
                <w:sz w:val="24"/>
                <w:szCs w:val="24"/>
              </w:rPr>
              <w:t>10</w:t>
            </w:r>
          </w:p>
        </w:tc>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4C53B91B" w14:textId="77777777" w:rsidR="00C337B8" w:rsidRDefault="00000000">
            <w:pPr>
              <w:jc w:val="center"/>
            </w:pPr>
            <w:r>
              <w:rPr>
                <w:b/>
                <w:bCs/>
                <w:color w:val="0D9488"/>
                <w:sz w:val="24"/>
                <w:szCs w:val="24"/>
              </w:rPr>
              <w:t>40</w:t>
            </w:r>
          </w:p>
        </w:tc>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42F130D4" w14:textId="77777777" w:rsidR="00C337B8" w:rsidRDefault="00000000">
            <w:pPr>
              <w:jc w:val="center"/>
            </w:pPr>
            <w:r>
              <w:rPr>
                <w:b/>
                <w:bCs/>
                <w:color w:val="0D9488"/>
                <w:sz w:val="24"/>
                <w:szCs w:val="24"/>
              </w:rPr>
              <w:t>8+</w:t>
            </w:r>
          </w:p>
        </w:tc>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39EAFDB2" w14:textId="77777777" w:rsidR="00C337B8" w:rsidRDefault="00000000">
            <w:pPr>
              <w:jc w:val="center"/>
            </w:pPr>
            <w:r>
              <w:rPr>
                <w:b/>
                <w:bCs/>
                <w:color w:val="0D9488"/>
                <w:sz w:val="24"/>
                <w:szCs w:val="24"/>
              </w:rPr>
              <w:t>4</w:t>
            </w:r>
          </w:p>
        </w:tc>
        <w:tc>
          <w:tcPr>
            <w:tcW w:w="1560" w:type="dxa"/>
            <w:tcBorders>
              <w:top w:val="single" w:sz="4" w:space="0" w:color="CBD5E1"/>
              <w:left w:val="single" w:sz="4" w:space="0" w:color="CBD5E1"/>
              <w:bottom w:val="single" w:sz="4" w:space="0" w:color="CBD5E1"/>
              <w:right w:val="single" w:sz="4" w:space="0" w:color="CBD5E1"/>
            </w:tcBorders>
            <w:shd w:val="clear" w:color="auto" w:fill="F0FDFA"/>
            <w:tcMar>
              <w:top w:w="80" w:type="dxa"/>
              <w:left w:w="60" w:type="dxa"/>
              <w:bottom w:w="80" w:type="dxa"/>
              <w:right w:w="60" w:type="dxa"/>
            </w:tcMar>
            <w:vAlign w:val="center"/>
          </w:tcPr>
          <w:p w14:paraId="071376DA" w14:textId="77777777" w:rsidR="00C337B8" w:rsidRDefault="00000000">
            <w:pPr>
              <w:jc w:val="center"/>
            </w:pPr>
            <w:r>
              <w:rPr>
                <w:b/>
                <w:bCs/>
                <w:color w:val="0D9488"/>
                <w:sz w:val="24"/>
                <w:szCs w:val="24"/>
              </w:rPr>
              <w:t>26.12 Cr</w:t>
            </w:r>
          </w:p>
        </w:tc>
      </w:tr>
    </w:tbl>
    <w:p w14:paraId="2A9CDF72" w14:textId="77777777" w:rsidR="00C337B8" w:rsidRDefault="00000000">
      <w:r>
        <w:br w:type="page"/>
      </w:r>
    </w:p>
    <w:p w14:paraId="5F34E4FD" w14:textId="77777777" w:rsidR="00C337B8" w:rsidRDefault="00000000">
      <w:pPr>
        <w:pStyle w:val="Heading1"/>
        <w:pBdr>
          <w:bottom w:val="single" w:sz="12" w:space="2" w:color="0D9488"/>
        </w:pBdr>
      </w:pPr>
      <w:bookmarkStart w:id="43" w:name="_Toc232150587"/>
      <w:r>
        <w:lastRenderedPageBreak/>
        <w:t>References &amp; Bibliography</w:t>
      </w:r>
      <w:bookmarkEnd w:id="43"/>
    </w:p>
    <w:p w14:paraId="0B41B02E" w14:textId="77777777" w:rsidR="00C337B8" w:rsidRDefault="00000000">
      <w:pPr>
        <w:pStyle w:val="Heading2"/>
      </w:pPr>
      <w:bookmarkStart w:id="44" w:name="_Toc232150588"/>
      <w:r>
        <w:t>Industry Sources</w:t>
      </w:r>
      <w:bookmarkEnd w:id="44"/>
    </w:p>
    <w:p w14:paraId="72108842" w14:textId="77777777" w:rsidR="00C337B8" w:rsidRDefault="00000000">
      <w:pPr>
        <w:pStyle w:val="ListParagraph"/>
        <w:numPr>
          <w:ilvl w:val="0"/>
          <w:numId w:val="2"/>
        </w:numPr>
      </w:pPr>
      <w:r>
        <w:rPr>
          <w:color w:val="1E293B"/>
        </w:rPr>
        <w:t>Association of Mutual Funds in India (AMFI) — Industry Statistics, NAV Data, SIP Inflow Reports: www.amfiindia.com</w:t>
      </w:r>
    </w:p>
    <w:p w14:paraId="7F484AFA" w14:textId="77777777" w:rsidR="00C337B8" w:rsidRDefault="00000000">
      <w:pPr>
        <w:pStyle w:val="ListParagraph"/>
        <w:numPr>
          <w:ilvl w:val="0"/>
          <w:numId w:val="2"/>
        </w:numPr>
      </w:pPr>
      <w:r>
        <w:rPr>
          <w:color w:val="1E293B"/>
        </w:rPr>
        <w:t>National Stock Exchange of India (NSE) — NIFTY 50 and NIFTY 100 Index Data: www.nseindia.com</w:t>
      </w:r>
    </w:p>
    <w:p w14:paraId="13715488" w14:textId="77777777" w:rsidR="00C337B8" w:rsidRDefault="00000000">
      <w:pPr>
        <w:pStyle w:val="ListParagraph"/>
        <w:numPr>
          <w:ilvl w:val="0"/>
          <w:numId w:val="2"/>
        </w:numPr>
      </w:pPr>
      <w:r>
        <w:rPr>
          <w:color w:val="1E293B"/>
        </w:rPr>
        <w:t>NSE Indices Limited — NIFTY Indices Methodology Documents (2022 Edition)</w:t>
      </w:r>
    </w:p>
    <w:p w14:paraId="7DC494AF" w14:textId="77777777" w:rsidR="00C337B8" w:rsidRDefault="00000000">
      <w:pPr>
        <w:pStyle w:val="ListParagraph"/>
        <w:numPr>
          <w:ilvl w:val="0"/>
          <w:numId w:val="2"/>
        </w:numPr>
      </w:pPr>
      <w:r>
        <w:rPr>
          <w:color w:val="1E293B"/>
        </w:rPr>
        <w:t>Securities and Exchange Board of India (SEBI) — Mutual Fund Regulations, SEBI (Mutual Funds) Regulations 1996 (as amended)</w:t>
      </w:r>
    </w:p>
    <w:p w14:paraId="7988EF03" w14:textId="77777777" w:rsidR="00C337B8" w:rsidRDefault="00000000">
      <w:pPr>
        <w:pStyle w:val="ListParagraph"/>
        <w:numPr>
          <w:ilvl w:val="0"/>
          <w:numId w:val="2"/>
        </w:numPr>
      </w:pPr>
      <w:r>
        <w:rPr>
          <w:color w:val="1E293B"/>
        </w:rPr>
        <w:t>Reserve Bank of India (RBI) — Monetary Policy Repo Rate History 2022–2026</w:t>
      </w:r>
    </w:p>
    <w:p w14:paraId="15464698" w14:textId="77777777" w:rsidR="00C337B8" w:rsidRDefault="00C337B8">
      <w:pPr>
        <w:spacing w:after="60"/>
      </w:pPr>
    </w:p>
    <w:p w14:paraId="440EFC7A" w14:textId="77777777" w:rsidR="00C337B8" w:rsidRDefault="00000000">
      <w:pPr>
        <w:pStyle w:val="Heading2"/>
      </w:pPr>
      <w:bookmarkStart w:id="45" w:name="_Toc232150589"/>
      <w:r>
        <w:t>Technical Documentation</w:t>
      </w:r>
      <w:bookmarkEnd w:id="45"/>
    </w:p>
    <w:p w14:paraId="0DF8A432" w14:textId="77777777" w:rsidR="00C337B8" w:rsidRDefault="00000000">
      <w:pPr>
        <w:pStyle w:val="ListParagraph"/>
        <w:numPr>
          <w:ilvl w:val="0"/>
          <w:numId w:val="2"/>
        </w:numPr>
      </w:pPr>
      <w:r>
        <w:rPr>
          <w:color w:val="1E293B"/>
        </w:rPr>
        <w:t>Python Software Foundation — Python 3.11 Documentation: docs.python.org</w:t>
      </w:r>
    </w:p>
    <w:p w14:paraId="16BFDDC5" w14:textId="77777777" w:rsidR="00C337B8" w:rsidRDefault="00000000">
      <w:pPr>
        <w:pStyle w:val="ListParagraph"/>
        <w:numPr>
          <w:ilvl w:val="0"/>
          <w:numId w:val="2"/>
        </w:numPr>
      </w:pPr>
      <w:r>
        <w:rPr>
          <w:color w:val="1E293B"/>
        </w:rPr>
        <w:t>Pandas Development Team — Pandas 2.0 Documentation: pandas.pydata.org</w:t>
      </w:r>
    </w:p>
    <w:p w14:paraId="59AB8C9B" w14:textId="77777777" w:rsidR="00C337B8" w:rsidRDefault="00000000">
      <w:pPr>
        <w:pStyle w:val="ListParagraph"/>
        <w:numPr>
          <w:ilvl w:val="0"/>
          <w:numId w:val="2"/>
        </w:numPr>
      </w:pPr>
      <w:r>
        <w:rPr>
          <w:color w:val="1E293B"/>
        </w:rPr>
        <w:t>NumPy Community — NumPy 1.24 Documentation: numpy.org</w:t>
      </w:r>
    </w:p>
    <w:p w14:paraId="253DFF6F" w14:textId="77777777" w:rsidR="00C337B8" w:rsidRDefault="00000000">
      <w:pPr>
        <w:pStyle w:val="ListParagraph"/>
        <w:numPr>
          <w:ilvl w:val="0"/>
          <w:numId w:val="2"/>
        </w:numPr>
      </w:pPr>
      <w:r>
        <w:rPr>
          <w:color w:val="1E293B"/>
        </w:rPr>
        <w:t>SQLite Consortium — SQLite 3.41 Documentation: sqlite.org</w:t>
      </w:r>
    </w:p>
    <w:p w14:paraId="567D1918" w14:textId="77777777" w:rsidR="00C337B8" w:rsidRDefault="00000000">
      <w:pPr>
        <w:pStyle w:val="ListParagraph"/>
        <w:numPr>
          <w:ilvl w:val="0"/>
          <w:numId w:val="2"/>
        </w:numPr>
      </w:pPr>
      <w:proofErr w:type="spellStart"/>
      <w:r>
        <w:rPr>
          <w:color w:val="1E293B"/>
        </w:rPr>
        <w:t>SQLAlchemy</w:t>
      </w:r>
      <w:proofErr w:type="spellEnd"/>
      <w:r>
        <w:rPr>
          <w:color w:val="1E293B"/>
        </w:rPr>
        <w:t xml:space="preserve"> — </w:t>
      </w:r>
      <w:proofErr w:type="spellStart"/>
      <w:r>
        <w:rPr>
          <w:color w:val="1E293B"/>
        </w:rPr>
        <w:t>SQLAlchemy</w:t>
      </w:r>
      <w:proofErr w:type="spellEnd"/>
      <w:r>
        <w:rPr>
          <w:color w:val="1E293B"/>
        </w:rPr>
        <w:t xml:space="preserve"> 2.0 Documentation: sqlalchemy.org</w:t>
      </w:r>
    </w:p>
    <w:p w14:paraId="18388A68" w14:textId="77777777" w:rsidR="00C337B8" w:rsidRDefault="00000000">
      <w:pPr>
        <w:pStyle w:val="ListParagraph"/>
        <w:numPr>
          <w:ilvl w:val="0"/>
          <w:numId w:val="2"/>
        </w:numPr>
      </w:pPr>
      <w:r>
        <w:rPr>
          <w:color w:val="1E293B"/>
        </w:rPr>
        <w:t>Plotly Technologies — Plotly Python Documentation: plotly.com/python</w:t>
      </w:r>
    </w:p>
    <w:p w14:paraId="4C2285B5" w14:textId="77777777" w:rsidR="00C337B8" w:rsidRDefault="00000000">
      <w:pPr>
        <w:pStyle w:val="ListParagraph"/>
        <w:numPr>
          <w:ilvl w:val="0"/>
          <w:numId w:val="2"/>
        </w:numPr>
      </w:pPr>
      <w:r>
        <w:rPr>
          <w:color w:val="1E293B"/>
        </w:rPr>
        <w:t>Microsoft — Power BI Documentation and DAX Reference: learn.microsoft.com/power-bi</w:t>
      </w:r>
    </w:p>
    <w:p w14:paraId="637046FF" w14:textId="77777777" w:rsidR="00C337B8" w:rsidRDefault="00C337B8">
      <w:pPr>
        <w:spacing w:after="60"/>
      </w:pPr>
    </w:p>
    <w:p w14:paraId="65608119" w14:textId="77777777" w:rsidR="00C337B8" w:rsidRDefault="00000000">
      <w:pPr>
        <w:pStyle w:val="Heading2"/>
      </w:pPr>
      <w:bookmarkStart w:id="46" w:name="_Toc232150590"/>
      <w:r>
        <w:t>Academic References</w:t>
      </w:r>
      <w:bookmarkEnd w:id="46"/>
    </w:p>
    <w:p w14:paraId="42457B77" w14:textId="77777777" w:rsidR="00C337B8" w:rsidRDefault="00000000">
      <w:pPr>
        <w:pStyle w:val="ListParagraph"/>
        <w:numPr>
          <w:ilvl w:val="0"/>
          <w:numId w:val="2"/>
        </w:numPr>
      </w:pPr>
      <w:r>
        <w:rPr>
          <w:color w:val="1E293B"/>
        </w:rPr>
        <w:t>Sharpe, W.F. (1994). The Sharpe Ratio. Journal of Portfolio Management, 21(1), 49–58.</w:t>
      </w:r>
    </w:p>
    <w:p w14:paraId="7E9E66D5" w14:textId="77777777" w:rsidR="00C337B8" w:rsidRDefault="00000000">
      <w:pPr>
        <w:pStyle w:val="ListParagraph"/>
        <w:numPr>
          <w:ilvl w:val="0"/>
          <w:numId w:val="2"/>
        </w:numPr>
      </w:pPr>
      <w:r>
        <w:rPr>
          <w:color w:val="1E293B"/>
        </w:rPr>
        <w:t>Sortino, F.A. &amp; van der Meer, R. (1991). Downside Risk. Journal of Portfolio Management, 17(4), 27–31.</w:t>
      </w:r>
    </w:p>
    <w:p w14:paraId="1DDBFB15" w14:textId="77777777" w:rsidR="00C337B8" w:rsidRDefault="00000000">
      <w:pPr>
        <w:pStyle w:val="ListParagraph"/>
        <w:numPr>
          <w:ilvl w:val="0"/>
          <w:numId w:val="2"/>
        </w:numPr>
      </w:pPr>
      <w:r>
        <w:rPr>
          <w:color w:val="1E293B"/>
        </w:rPr>
        <w:t>Markowitz, H. (1952). Portfolio Selection. Journal of Finance, 7(1), 77–91.</w:t>
      </w:r>
    </w:p>
    <w:p w14:paraId="1B3C184B" w14:textId="77777777" w:rsidR="00C337B8" w:rsidRDefault="00000000">
      <w:pPr>
        <w:pStyle w:val="ListParagraph"/>
        <w:numPr>
          <w:ilvl w:val="0"/>
          <w:numId w:val="2"/>
        </w:numPr>
      </w:pPr>
      <w:r>
        <w:rPr>
          <w:color w:val="1E293B"/>
        </w:rPr>
        <w:t>Jensen, M.C. (1968). The Performance of Mutual Funds in the Period 1945–1964. Journal of Finance, 23(2), 389–416.</w:t>
      </w:r>
    </w:p>
    <w:p w14:paraId="6B7CA98B" w14:textId="77777777" w:rsidR="00C337B8" w:rsidRDefault="00000000">
      <w:pPr>
        <w:pStyle w:val="ListParagraph"/>
        <w:numPr>
          <w:ilvl w:val="0"/>
          <w:numId w:val="2"/>
        </w:numPr>
      </w:pPr>
      <w:proofErr w:type="spellStart"/>
      <w:r>
        <w:rPr>
          <w:color w:val="1E293B"/>
        </w:rPr>
        <w:t>Artzner</w:t>
      </w:r>
      <w:proofErr w:type="spellEnd"/>
      <w:r>
        <w:rPr>
          <w:color w:val="1E293B"/>
        </w:rPr>
        <w:t xml:space="preserve">, P., </w:t>
      </w:r>
      <w:proofErr w:type="spellStart"/>
      <w:r>
        <w:rPr>
          <w:color w:val="1E293B"/>
        </w:rPr>
        <w:t>Delbaen</w:t>
      </w:r>
      <w:proofErr w:type="spellEnd"/>
      <w:r>
        <w:rPr>
          <w:color w:val="1E293B"/>
        </w:rPr>
        <w:t>, F., Eber, J.M., &amp; Heath, D. (1999). Coherent Measures of Risk. Mathematical Finance, 9(3), 203–228.</w:t>
      </w:r>
    </w:p>
    <w:p w14:paraId="28813175" w14:textId="77777777" w:rsidR="00C337B8" w:rsidRDefault="00000000">
      <w:pPr>
        <w:pStyle w:val="ListParagraph"/>
        <w:numPr>
          <w:ilvl w:val="0"/>
          <w:numId w:val="2"/>
        </w:numPr>
      </w:pPr>
      <w:r>
        <w:rPr>
          <w:color w:val="1E293B"/>
        </w:rPr>
        <w:t>Rajan, R. &amp; Zingales, L. (2003). The Great Reversals: The Politics of Financial Development in the 20th Century. Journal of Financial Economics, 69(1), 5–50.</w:t>
      </w:r>
    </w:p>
    <w:sectPr w:rsidR="00C337B8">
      <w:headerReference w:type="default" r:id="rId24"/>
      <w:footerReference w:type="default" r:id="rId2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3DB32" w14:textId="77777777" w:rsidR="003F08DD" w:rsidRDefault="003F08DD">
      <w:r>
        <w:separator/>
      </w:r>
    </w:p>
  </w:endnote>
  <w:endnote w:type="continuationSeparator" w:id="0">
    <w:p w14:paraId="7D8E1E10" w14:textId="77777777" w:rsidR="003F08DD" w:rsidRDefault="003F0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5BBD" w14:textId="77777777" w:rsidR="00C337B8" w:rsidRDefault="00000000">
    <w:pPr>
      <w:pBdr>
        <w:top w:val="single" w:sz="6" w:space="1" w:color="0D9488"/>
      </w:pBdr>
      <w:tabs>
        <w:tab w:val="right" w:pos="9026"/>
      </w:tabs>
      <w:spacing w:before="60"/>
    </w:pPr>
    <w:r>
      <w:rPr>
        <w:color w:val="475569"/>
        <w:sz w:val="17"/>
        <w:szCs w:val="17"/>
      </w:rPr>
      <w:t xml:space="preserve">© 2026 Hemant Singh </w:t>
    </w:r>
    <w:proofErr w:type="gramStart"/>
    <w:r>
      <w:rPr>
        <w:color w:val="475569"/>
        <w:sz w:val="17"/>
        <w:szCs w:val="17"/>
      </w:rPr>
      <w:t>Rajput  ·</w:t>
    </w:r>
    <w:proofErr w:type="gramEnd"/>
    <w:r>
      <w:rPr>
        <w:color w:val="475569"/>
        <w:sz w:val="17"/>
        <w:szCs w:val="17"/>
      </w:rPr>
      <w:t xml:space="preserve">  MANIT Bhopal</w:t>
    </w:r>
    <w:r>
      <w:rPr>
        <w:color w:val="1E293B"/>
        <w:sz w:val="17"/>
        <w:szCs w:val="17"/>
      </w:rPr>
      <w:tab/>
    </w:r>
    <w:r>
      <w:rPr>
        <w:color w:val="475569"/>
        <w:sz w:val="17"/>
        <w:szCs w:val="17"/>
      </w:rPr>
      <w:t xml:space="preserve">Page </w:t>
    </w:r>
    <w:r>
      <w:rPr>
        <w:color w:val="475569"/>
        <w:sz w:val="17"/>
        <w:szCs w:val="17"/>
      </w:rPr>
      <w:fldChar w:fldCharType="begin"/>
    </w:r>
    <w:r>
      <w:rPr>
        <w:color w:val="475569"/>
        <w:sz w:val="17"/>
        <w:szCs w:val="17"/>
      </w:rPr>
      <w:instrText>PAGE</w:instrText>
    </w:r>
    <w:r>
      <w:rPr>
        <w:color w:val="475569"/>
        <w:sz w:val="17"/>
        <w:szCs w:val="17"/>
      </w:rPr>
      <w:fldChar w:fldCharType="separate"/>
    </w:r>
    <w:r w:rsidR="0059590D">
      <w:rPr>
        <w:noProof/>
        <w:color w:val="475569"/>
        <w:sz w:val="17"/>
        <w:szCs w:val="17"/>
      </w:rPr>
      <w:t>1</w:t>
    </w:r>
    <w:r>
      <w:rPr>
        <w:color w:val="475569"/>
        <w:sz w:val="17"/>
        <w:szCs w:val="17"/>
      </w:rPr>
      <w:fldChar w:fldCharType="end"/>
    </w:r>
    <w:r>
      <w:rPr>
        <w:color w:val="475569"/>
        <w:sz w:val="17"/>
        <w:szCs w:val="17"/>
      </w:rPr>
      <w:t xml:space="preserve">  of  </w:t>
    </w:r>
    <w:r>
      <w:rPr>
        <w:color w:val="475569"/>
        <w:sz w:val="17"/>
        <w:szCs w:val="17"/>
      </w:rPr>
      <w:fldChar w:fldCharType="begin"/>
    </w:r>
    <w:r>
      <w:rPr>
        <w:color w:val="475569"/>
        <w:sz w:val="17"/>
        <w:szCs w:val="17"/>
      </w:rPr>
      <w:instrText>NUMPAGES</w:instrText>
    </w:r>
    <w:r>
      <w:rPr>
        <w:color w:val="475569"/>
        <w:sz w:val="17"/>
        <w:szCs w:val="17"/>
      </w:rPr>
      <w:fldChar w:fldCharType="separate"/>
    </w:r>
    <w:r w:rsidR="0059590D">
      <w:rPr>
        <w:noProof/>
        <w:color w:val="475569"/>
        <w:sz w:val="17"/>
        <w:szCs w:val="17"/>
      </w:rPr>
      <w:t>1</w:t>
    </w:r>
    <w:r>
      <w:rPr>
        <w:color w:val="47556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EEB81" w14:textId="77777777" w:rsidR="003F08DD" w:rsidRDefault="003F08DD">
      <w:r>
        <w:separator/>
      </w:r>
    </w:p>
  </w:footnote>
  <w:footnote w:type="continuationSeparator" w:id="0">
    <w:p w14:paraId="3393C5D1" w14:textId="77777777" w:rsidR="003F08DD" w:rsidRDefault="003F08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6C22" w14:textId="77777777" w:rsidR="00C337B8" w:rsidRDefault="00000000">
    <w:pPr>
      <w:pBdr>
        <w:bottom w:val="single" w:sz="6" w:space="1" w:color="0D9488"/>
      </w:pBdr>
      <w:tabs>
        <w:tab w:val="right" w:pos="9026"/>
      </w:tabs>
      <w:spacing w:after="60"/>
    </w:pPr>
    <w:proofErr w:type="spellStart"/>
    <w:r>
      <w:rPr>
        <w:color w:val="475569"/>
        <w:sz w:val="17"/>
        <w:szCs w:val="17"/>
      </w:rPr>
      <w:t>Bluestock</w:t>
    </w:r>
    <w:proofErr w:type="spellEnd"/>
    <w:r>
      <w:rPr>
        <w:color w:val="475569"/>
        <w:sz w:val="17"/>
        <w:szCs w:val="17"/>
      </w:rPr>
      <w:t xml:space="preserve"> Mutual Fund </w:t>
    </w:r>
    <w:proofErr w:type="gramStart"/>
    <w:r>
      <w:rPr>
        <w:color w:val="475569"/>
        <w:sz w:val="17"/>
        <w:szCs w:val="17"/>
      </w:rPr>
      <w:t>Analytics  ·</w:t>
    </w:r>
    <w:proofErr w:type="gramEnd"/>
    <w:r>
      <w:rPr>
        <w:color w:val="475569"/>
        <w:sz w:val="17"/>
        <w:szCs w:val="17"/>
      </w:rPr>
      <w:t xml:space="preserve">  Final Project </w:t>
    </w:r>
    <w:proofErr w:type="gramStart"/>
    <w:r>
      <w:rPr>
        <w:color w:val="475569"/>
        <w:sz w:val="17"/>
        <w:szCs w:val="17"/>
      </w:rPr>
      <w:t>Report  ·</w:t>
    </w:r>
    <w:proofErr w:type="gramEnd"/>
    <w:r>
      <w:rPr>
        <w:color w:val="475569"/>
        <w:sz w:val="17"/>
        <w:szCs w:val="17"/>
      </w:rPr>
      <w:t xml:space="preserve">  June 2026</w:t>
    </w:r>
    <w:r>
      <w:rPr>
        <w:color w:val="1E293B"/>
        <w:sz w:val="17"/>
        <w:szCs w:val="17"/>
      </w:rPr>
      <w:tab/>
    </w:r>
    <w:r>
      <w:rPr>
        <w:color w:val="475569"/>
        <w:sz w:val="17"/>
        <w:szCs w:val="17"/>
      </w:rPr>
      <w:t xml:space="preserve">Hemant Singh </w:t>
    </w:r>
    <w:proofErr w:type="gramStart"/>
    <w:r>
      <w:rPr>
        <w:color w:val="475569"/>
        <w:sz w:val="17"/>
        <w:szCs w:val="17"/>
      </w:rPr>
      <w:t>Rajput  |</w:t>
    </w:r>
    <w:proofErr w:type="gramEnd"/>
    <w:r>
      <w:rPr>
        <w:color w:val="475569"/>
        <w:sz w:val="17"/>
        <w:szCs w:val="17"/>
      </w:rPr>
      <w:t xml:space="preserve">  MANIT Bhopal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A2C1D"/>
    <w:multiLevelType w:val="hybridMultilevel"/>
    <w:tmpl w:val="0ADC06D4"/>
    <w:lvl w:ilvl="0" w:tplc="3B76A7D0">
      <w:start w:val="1"/>
      <w:numFmt w:val="bullet"/>
      <w:lvlText w:val="◦"/>
      <w:lvlJc w:val="left"/>
      <w:pPr>
        <w:spacing w:before="0" w:after="40"/>
        <w:ind w:left="1080" w:hanging="300"/>
      </w:pPr>
    </w:lvl>
    <w:lvl w:ilvl="1" w:tplc="7D06E19A">
      <w:numFmt w:val="decimal"/>
      <w:lvlText w:val=""/>
      <w:lvlJc w:val="left"/>
    </w:lvl>
    <w:lvl w:ilvl="2" w:tplc="722A5430">
      <w:numFmt w:val="decimal"/>
      <w:lvlText w:val=""/>
      <w:lvlJc w:val="left"/>
    </w:lvl>
    <w:lvl w:ilvl="3" w:tplc="38DCA9F2">
      <w:numFmt w:val="decimal"/>
      <w:lvlText w:val=""/>
      <w:lvlJc w:val="left"/>
    </w:lvl>
    <w:lvl w:ilvl="4" w:tplc="3F38CFB2">
      <w:numFmt w:val="decimal"/>
      <w:lvlText w:val=""/>
      <w:lvlJc w:val="left"/>
    </w:lvl>
    <w:lvl w:ilvl="5" w:tplc="7438F4DC">
      <w:numFmt w:val="decimal"/>
      <w:lvlText w:val=""/>
      <w:lvlJc w:val="left"/>
    </w:lvl>
    <w:lvl w:ilvl="6" w:tplc="30689694">
      <w:numFmt w:val="decimal"/>
      <w:lvlText w:val=""/>
      <w:lvlJc w:val="left"/>
    </w:lvl>
    <w:lvl w:ilvl="7" w:tplc="176E2640">
      <w:numFmt w:val="decimal"/>
      <w:lvlText w:val=""/>
      <w:lvlJc w:val="left"/>
    </w:lvl>
    <w:lvl w:ilvl="8" w:tplc="AE521BB4">
      <w:numFmt w:val="decimal"/>
      <w:lvlText w:val=""/>
      <w:lvlJc w:val="left"/>
    </w:lvl>
  </w:abstractNum>
  <w:abstractNum w:abstractNumId="1" w15:restartNumberingAfterBreak="0">
    <w:nsid w:val="1370519A"/>
    <w:multiLevelType w:val="hybridMultilevel"/>
    <w:tmpl w:val="98BA8FDE"/>
    <w:lvl w:ilvl="0" w:tplc="DEE0DD74">
      <w:start w:val="1"/>
      <w:numFmt w:val="decimal"/>
      <w:lvlText w:val="%1."/>
      <w:lvlJc w:val="left"/>
      <w:pPr>
        <w:spacing w:before="0" w:after="60"/>
        <w:ind w:left="600" w:hanging="300"/>
      </w:pPr>
    </w:lvl>
    <w:lvl w:ilvl="1" w:tplc="324E3E5E">
      <w:numFmt w:val="decimal"/>
      <w:lvlText w:val=""/>
      <w:lvlJc w:val="left"/>
    </w:lvl>
    <w:lvl w:ilvl="2" w:tplc="044E9C70">
      <w:numFmt w:val="decimal"/>
      <w:lvlText w:val=""/>
      <w:lvlJc w:val="left"/>
    </w:lvl>
    <w:lvl w:ilvl="3" w:tplc="E83E2A34">
      <w:numFmt w:val="decimal"/>
      <w:lvlText w:val=""/>
      <w:lvlJc w:val="left"/>
    </w:lvl>
    <w:lvl w:ilvl="4" w:tplc="78F4C5C4">
      <w:numFmt w:val="decimal"/>
      <w:lvlText w:val=""/>
      <w:lvlJc w:val="left"/>
    </w:lvl>
    <w:lvl w:ilvl="5" w:tplc="8D880766">
      <w:numFmt w:val="decimal"/>
      <w:lvlText w:val=""/>
      <w:lvlJc w:val="left"/>
    </w:lvl>
    <w:lvl w:ilvl="6" w:tplc="0E24DBC2">
      <w:numFmt w:val="decimal"/>
      <w:lvlText w:val=""/>
      <w:lvlJc w:val="left"/>
    </w:lvl>
    <w:lvl w:ilvl="7" w:tplc="42C63466">
      <w:numFmt w:val="decimal"/>
      <w:lvlText w:val=""/>
      <w:lvlJc w:val="left"/>
    </w:lvl>
    <w:lvl w:ilvl="8" w:tplc="AF5E4BD4">
      <w:numFmt w:val="decimal"/>
      <w:lvlText w:val=""/>
      <w:lvlJc w:val="left"/>
    </w:lvl>
  </w:abstractNum>
  <w:abstractNum w:abstractNumId="2" w15:restartNumberingAfterBreak="0">
    <w:nsid w:val="478D3561"/>
    <w:multiLevelType w:val="hybridMultilevel"/>
    <w:tmpl w:val="FC5AA03E"/>
    <w:lvl w:ilvl="0" w:tplc="F030261C">
      <w:start w:val="1"/>
      <w:numFmt w:val="bullet"/>
      <w:lvlText w:val="●"/>
      <w:lvlJc w:val="left"/>
      <w:pPr>
        <w:ind w:left="720" w:hanging="360"/>
      </w:pPr>
    </w:lvl>
    <w:lvl w:ilvl="1" w:tplc="529C806A">
      <w:start w:val="1"/>
      <w:numFmt w:val="bullet"/>
      <w:lvlText w:val="○"/>
      <w:lvlJc w:val="left"/>
      <w:pPr>
        <w:ind w:left="1440" w:hanging="360"/>
      </w:pPr>
    </w:lvl>
    <w:lvl w:ilvl="2" w:tplc="CF884E8E">
      <w:start w:val="1"/>
      <w:numFmt w:val="bullet"/>
      <w:lvlText w:val="■"/>
      <w:lvlJc w:val="left"/>
      <w:pPr>
        <w:ind w:left="2160" w:hanging="360"/>
      </w:pPr>
    </w:lvl>
    <w:lvl w:ilvl="3" w:tplc="05328D08">
      <w:start w:val="1"/>
      <w:numFmt w:val="bullet"/>
      <w:lvlText w:val="●"/>
      <w:lvlJc w:val="left"/>
      <w:pPr>
        <w:ind w:left="2880" w:hanging="360"/>
      </w:pPr>
    </w:lvl>
    <w:lvl w:ilvl="4" w:tplc="062E89A4">
      <w:start w:val="1"/>
      <w:numFmt w:val="bullet"/>
      <w:lvlText w:val="○"/>
      <w:lvlJc w:val="left"/>
      <w:pPr>
        <w:ind w:left="3600" w:hanging="360"/>
      </w:pPr>
    </w:lvl>
    <w:lvl w:ilvl="5" w:tplc="CAB2B446">
      <w:start w:val="1"/>
      <w:numFmt w:val="bullet"/>
      <w:lvlText w:val="■"/>
      <w:lvlJc w:val="left"/>
      <w:pPr>
        <w:ind w:left="4320" w:hanging="360"/>
      </w:pPr>
    </w:lvl>
    <w:lvl w:ilvl="6" w:tplc="755E2CD2">
      <w:start w:val="1"/>
      <w:numFmt w:val="bullet"/>
      <w:lvlText w:val="●"/>
      <w:lvlJc w:val="left"/>
      <w:pPr>
        <w:ind w:left="5040" w:hanging="360"/>
      </w:pPr>
    </w:lvl>
    <w:lvl w:ilvl="7" w:tplc="D34A515A">
      <w:start w:val="1"/>
      <w:numFmt w:val="bullet"/>
      <w:lvlText w:val="●"/>
      <w:lvlJc w:val="left"/>
      <w:pPr>
        <w:ind w:left="5760" w:hanging="360"/>
      </w:pPr>
    </w:lvl>
    <w:lvl w:ilvl="8" w:tplc="53BCABE0">
      <w:start w:val="1"/>
      <w:numFmt w:val="bullet"/>
      <w:lvlText w:val="●"/>
      <w:lvlJc w:val="left"/>
      <w:pPr>
        <w:ind w:left="6480" w:hanging="360"/>
      </w:pPr>
    </w:lvl>
  </w:abstractNum>
  <w:abstractNum w:abstractNumId="3" w15:restartNumberingAfterBreak="0">
    <w:nsid w:val="7A1B3B57"/>
    <w:multiLevelType w:val="hybridMultilevel"/>
    <w:tmpl w:val="8562991A"/>
    <w:lvl w:ilvl="0" w:tplc="E5742070">
      <w:start w:val="1"/>
      <w:numFmt w:val="bullet"/>
      <w:lvlText w:val="•"/>
      <w:lvlJc w:val="left"/>
      <w:pPr>
        <w:spacing w:before="0" w:after="50"/>
        <w:ind w:left="600" w:hanging="300"/>
      </w:pPr>
    </w:lvl>
    <w:lvl w:ilvl="1" w:tplc="E8826C12">
      <w:numFmt w:val="decimal"/>
      <w:lvlText w:val=""/>
      <w:lvlJc w:val="left"/>
    </w:lvl>
    <w:lvl w:ilvl="2" w:tplc="74684FD6">
      <w:numFmt w:val="decimal"/>
      <w:lvlText w:val=""/>
      <w:lvlJc w:val="left"/>
    </w:lvl>
    <w:lvl w:ilvl="3" w:tplc="4ACA982A">
      <w:numFmt w:val="decimal"/>
      <w:lvlText w:val=""/>
      <w:lvlJc w:val="left"/>
    </w:lvl>
    <w:lvl w:ilvl="4" w:tplc="00EA67E4">
      <w:numFmt w:val="decimal"/>
      <w:lvlText w:val=""/>
      <w:lvlJc w:val="left"/>
    </w:lvl>
    <w:lvl w:ilvl="5" w:tplc="17709450">
      <w:numFmt w:val="decimal"/>
      <w:lvlText w:val=""/>
      <w:lvlJc w:val="left"/>
    </w:lvl>
    <w:lvl w:ilvl="6" w:tplc="381AB93E">
      <w:numFmt w:val="decimal"/>
      <w:lvlText w:val=""/>
      <w:lvlJc w:val="left"/>
    </w:lvl>
    <w:lvl w:ilvl="7" w:tplc="3304A816">
      <w:numFmt w:val="decimal"/>
      <w:lvlText w:val=""/>
      <w:lvlJc w:val="left"/>
    </w:lvl>
    <w:lvl w:ilvl="8" w:tplc="014E48BA">
      <w:numFmt w:val="decimal"/>
      <w:lvlText w:val=""/>
      <w:lvlJc w:val="left"/>
    </w:lvl>
  </w:abstractNum>
  <w:num w:numId="1" w16cid:durableId="169955653">
    <w:abstractNumId w:val="2"/>
    <w:lvlOverride w:ilvl="0">
      <w:startOverride w:val="1"/>
    </w:lvlOverride>
  </w:num>
  <w:num w:numId="2" w16cid:durableId="5905502">
    <w:abstractNumId w:val="3"/>
    <w:lvlOverride w:ilvl="0">
      <w:startOverride w:val="1"/>
    </w:lvlOverride>
  </w:num>
  <w:num w:numId="3" w16cid:durableId="11215339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7B8"/>
    <w:rsid w:val="000818E0"/>
    <w:rsid w:val="001118EA"/>
    <w:rsid w:val="001A19EE"/>
    <w:rsid w:val="003F08DD"/>
    <w:rsid w:val="0059590D"/>
    <w:rsid w:val="00A27ED7"/>
    <w:rsid w:val="00C337B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3E9F7"/>
  <w15:docId w15:val="{FAF6DD3E-E70E-4283-8400-B2E902610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D1B2A"/>
      <w:sz w:val="36"/>
      <w:szCs w:val="36"/>
    </w:rPr>
  </w:style>
  <w:style w:type="paragraph" w:styleId="Heading2">
    <w:name w:val="heading 2"/>
    <w:uiPriority w:val="9"/>
    <w:unhideWhenUsed/>
    <w:qFormat/>
    <w:pPr>
      <w:spacing w:before="200" w:after="100"/>
      <w:outlineLvl w:val="1"/>
    </w:pPr>
    <w:rPr>
      <w:b/>
      <w:bCs/>
      <w:color w:val="0D9488"/>
      <w:sz w:val="26"/>
      <w:szCs w:val="26"/>
    </w:rPr>
  </w:style>
  <w:style w:type="paragraph" w:styleId="Heading3">
    <w:name w:val="heading 3"/>
    <w:uiPriority w:val="9"/>
    <w:semiHidden/>
    <w:unhideWhenUsed/>
    <w:qFormat/>
    <w:pPr>
      <w:spacing w:before="140" w:after="60"/>
      <w:outlineLvl w:val="2"/>
    </w:pPr>
    <w:rPr>
      <w:b/>
      <w:bCs/>
      <w:color w:val="3341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590D"/>
    <w:pPr>
      <w:spacing w:after="100"/>
    </w:pPr>
    <w:rPr>
      <w:rFonts w:cs="Mangal"/>
      <w:szCs w:val="20"/>
    </w:rPr>
  </w:style>
  <w:style w:type="paragraph" w:styleId="TOC2">
    <w:name w:val="toc 2"/>
    <w:basedOn w:val="Normal"/>
    <w:next w:val="Normal"/>
    <w:autoRedefine/>
    <w:uiPriority w:val="39"/>
    <w:unhideWhenUsed/>
    <w:rsid w:val="0059590D"/>
    <w:pPr>
      <w:spacing w:after="100"/>
      <w:ind w:left="22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8516</Words>
  <Characters>48544</Characters>
  <Application>Microsoft Office Word</Application>
  <DocSecurity>0</DocSecurity>
  <Lines>404</Lines>
  <Paragraphs>113</Paragraphs>
  <ScaleCrop>false</ScaleCrop>
  <Company/>
  <LinksUpToDate>false</LinksUpToDate>
  <CharactersWithSpaces>56947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 SINGH RAJPUT</cp:lastModifiedBy>
  <cp:revision>2</cp:revision>
  <dcterms:created xsi:type="dcterms:W3CDTF">2026-06-12T04:59:00Z</dcterms:created>
  <dcterms:modified xsi:type="dcterms:W3CDTF">2026-06-12T04:59:00Z</dcterms:modified>
</cp:coreProperties>
</file>