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51FE" w14:textId="173A4D32" w:rsidR="00AF1D9E" w:rsidRDefault="00EF3950" w:rsidP="00AF1D9E">
      <w:pPr>
        <w:pStyle w:val="Heading1"/>
      </w:pPr>
      <w:r>
        <w:t>CS 2</w:t>
      </w:r>
      <w:r w:rsidR="005355AC">
        <w:t>43</w:t>
      </w:r>
      <w:r w:rsidR="00AF1D9E">
        <w:t xml:space="preserve"> Course Syllabus</w:t>
      </w:r>
    </w:p>
    <w:p w14:paraId="18CC796F"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14:paraId="73EE7DEC" w14:textId="77777777" w:rsidTr="00F16A9D">
        <w:tc>
          <w:tcPr>
            <w:tcW w:w="2074" w:type="dxa"/>
          </w:tcPr>
          <w:p w14:paraId="775B4A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0434AD71" w14:textId="43DB553D"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w:t>
            </w:r>
            <w:r w:rsidR="005355AC">
              <w:rPr>
                <w:rFonts w:ascii="Calibri" w:hAnsi="Calibri" w:cs="Times New Roman"/>
              </w:rPr>
              <w:t>43</w:t>
            </w:r>
          </w:p>
        </w:tc>
      </w:tr>
      <w:tr w:rsidR="00F16A9D" w:rsidRPr="00EF1B0D" w14:paraId="782BE377" w14:textId="77777777" w:rsidTr="00F16A9D">
        <w:tc>
          <w:tcPr>
            <w:tcW w:w="2074" w:type="dxa"/>
          </w:tcPr>
          <w:p w14:paraId="1F61B79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02CC7186" w14:textId="45A9114B" w:rsidR="00F16A9D" w:rsidRPr="00EF1B0D" w:rsidRDefault="005355AC" w:rsidP="002070D0">
            <w:pPr>
              <w:rPr>
                <w:rFonts w:ascii="Calibri" w:eastAsia="Times New Roman" w:hAnsi="Calibri" w:cs="Times New Roman"/>
              </w:rPr>
            </w:pPr>
            <w:r>
              <w:rPr>
                <w:rFonts w:ascii="Calibri" w:eastAsia="Times New Roman" w:hAnsi="Calibri" w:cs="Times New Roman"/>
              </w:rPr>
              <w:t>Architecture</w:t>
            </w:r>
          </w:p>
        </w:tc>
      </w:tr>
      <w:tr w:rsidR="00F16A9D" w:rsidRPr="00EF1B0D" w14:paraId="76E9F467" w14:textId="77777777" w:rsidTr="00F16A9D">
        <w:tc>
          <w:tcPr>
            <w:tcW w:w="2074" w:type="dxa"/>
          </w:tcPr>
          <w:p w14:paraId="46C23881"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23FE8967" w14:textId="77777777"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14:paraId="6A73DCCE" w14:textId="77777777" w:rsidTr="00F16A9D">
        <w:tc>
          <w:tcPr>
            <w:tcW w:w="2074" w:type="dxa"/>
          </w:tcPr>
          <w:p w14:paraId="08521845"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5079C47D" w14:textId="2CACCC34" w:rsidR="00F16A9D" w:rsidRPr="00EF1B0D" w:rsidRDefault="007A2DEA" w:rsidP="002070D0">
            <w:pPr>
              <w:rPr>
                <w:rFonts w:ascii="Calibri" w:eastAsia="Times New Roman" w:hAnsi="Calibri" w:cs="Times New Roman"/>
              </w:rPr>
            </w:pPr>
            <w:r>
              <w:rPr>
                <w:rFonts w:ascii="Calibri" w:hAnsi="Calibri" w:cs="Times New Roman"/>
              </w:rPr>
              <w:t>Spring 2021</w:t>
            </w:r>
          </w:p>
        </w:tc>
      </w:tr>
      <w:tr w:rsidR="00F16A9D" w:rsidRPr="00EF1B0D" w14:paraId="1C37EEED" w14:textId="77777777" w:rsidTr="00F16A9D">
        <w:tc>
          <w:tcPr>
            <w:tcW w:w="2074" w:type="dxa"/>
          </w:tcPr>
          <w:p w14:paraId="79EAAC2A"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3ADBC596" w14:textId="77777777"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14:paraId="39A1AE89" w14:textId="77777777" w:rsidTr="00F16A9D">
        <w:tc>
          <w:tcPr>
            <w:tcW w:w="2074" w:type="dxa"/>
          </w:tcPr>
          <w:p w14:paraId="28D5AF0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28A74F9E"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35A63837" w14:textId="743CB868" w:rsidR="00F16A9D" w:rsidRPr="00EF1B0D" w:rsidRDefault="007A2DEA" w:rsidP="002070D0">
            <w:pPr>
              <w:rPr>
                <w:rFonts w:ascii="Calibri" w:hAnsi="Calibri" w:cs="Times New Roman"/>
              </w:rPr>
            </w:pPr>
            <w:r>
              <w:rPr>
                <w:rFonts w:ascii="Calibri" w:hAnsi="Calibri" w:cs="Times New Roman"/>
              </w:rPr>
              <w:t xml:space="preserve">M, W 3PM – 4:20PM </w:t>
            </w:r>
            <w:r w:rsidR="005355AC">
              <w:rPr>
                <w:rFonts w:ascii="Calibri" w:hAnsi="Calibri" w:cs="Times New Roman"/>
              </w:rPr>
              <w:t>via Zoom (see canvas for link)</w:t>
            </w:r>
          </w:p>
          <w:p w14:paraId="44C76B53" w14:textId="77777777" w:rsidR="00F16A9D" w:rsidRPr="00EF1B0D" w:rsidRDefault="00F16A9D" w:rsidP="002070D0">
            <w:pPr>
              <w:rPr>
                <w:rFonts w:ascii="Calibri" w:eastAsia="Times New Roman" w:hAnsi="Calibri" w:cs="Times New Roman"/>
              </w:rPr>
            </w:pPr>
          </w:p>
          <w:p w14:paraId="316D24B9" w14:textId="77777777" w:rsidR="00F16A9D" w:rsidRDefault="00F16A9D" w:rsidP="002070D0">
            <w:pPr>
              <w:rPr>
                <w:rFonts w:ascii="Calibri" w:hAnsi="Calibri" w:cs="Times New Roman"/>
                <w:b/>
              </w:rPr>
            </w:pPr>
            <w:r>
              <w:rPr>
                <w:rFonts w:ascii="Calibri" w:hAnsi="Calibri" w:cs="Times New Roman"/>
                <w:b/>
              </w:rPr>
              <w:t>Lab:</w:t>
            </w:r>
          </w:p>
          <w:p w14:paraId="43269151" w14:textId="693A0EE4" w:rsidR="00D00B5C" w:rsidRPr="00D00B5C" w:rsidRDefault="00396F42" w:rsidP="0083789D">
            <w:pPr>
              <w:rPr>
                <w:rFonts w:ascii="Calibri" w:hAnsi="Calibri" w:cs="Times New Roman"/>
              </w:rPr>
            </w:pPr>
            <w:r>
              <w:rPr>
                <w:rFonts w:ascii="Calibri" w:hAnsi="Calibri" w:cs="Times New Roman"/>
              </w:rPr>
              <w:t>F</w:t>
            </w:r>
            <w:r w:rsidR="002C70DD">
              <w:rPr>
                <w:rFonts w:ascii="Calibri" w:hAnsi="Calibri" w:cs="Times New Roman"/>
              </w:rPr>
              <w:t xml:space="preserve">: </w:t>
            </w:r>
            <w:r w:rsidR="009D3A26">
              <w:rPr>
                <w:rFonts w:ascii="Calibri" w:hAnsi="Calibri" w:cs="Times New Roman"/>
              </w:rPr>
              <w:t>1</w:t>
            </w:r>
            <w:r w:rsidR="005355AC">
              <w:rPr>
                <w:rFonts w:ascii="Calibri" w:hAnsi="Calibri" w:cs="Times New Roman"/>
              </w:rPr>
              <w:t>1</w:t>
            </w:r>
            <w:r>
              <w:rPr>
                <w:rFonts w:ascii="Calibri" w:hAnsi="Calibri" w:cs="Times New Roman"/>
              </w:rPr>
              <w:t>-</w:t>
            </w:r>
            <w:r w:rsidR="005355AC">
              <w:rPr>
                <w:rFonts w:ascii="Calibri" w:hAnsi="Calibri" w:cs="Times New Roman"/>
              </w:rPr>
              <w:t>12</w:t>
            </w:r>
            <w:r>
              <w:rPr>
                <w:rFonts w:ascii="Calibri" w:hAnsi="Calibri" w:cs="Times New Roman"/>
              </w:rPr>
              <w:t xml:space="preserve">:50PM </w:t>
            </w:r>
            <w:r w:rsidR="005355AC">
              <w:rPr>
                <w:rFonts w:ascii="Calibri" w:hAnsi="Calibri" w:cs="Times New Roman"/>
              </w:rPr>
              <w:t>via Zoom (see canvas for link)</w:t>
            </w:r>
          </w:p>
        </w:tc>
      </w:tr>
      <w:tr w:rsidR="00F16A9D" w:rsidRPr="00EF1B0D" w14:paraId="7D21A03E" w14:textId="77777777" w:rsidTr="00F16A9D">
        <w:tc>
          <w:tcPr>
            <w:tcW w:w="2074" w:type="dxa"/>
          </w:tcPr>
          <w:p w14:paraId="0AB19D02"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5AE10408"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518F43D2" w14:textId="1CBDFE5F" w:rsidR="008A2A26" w:rsidRDefault="008A2A26" w:rsidP="00D00B5C">
            <w:pPr>
              <w:rPr>
                <w:rFonts w:ascii="Calibri" w:hAnsi="Calibri" w:cs="Times New Roman"/>
              </w:rPr>
            </w:pPr>
            <w:r>
              <w:rPr>
                <w:rFonts w:ascii="Calibri" w:hAnsi="Calibri" w:cs="Times New Roman"/>
              </w:rPr>
              <w:t>Github (</w:t>
            </w:r>
            <w:hyperlink r:id="rId6" w:history="1">
              <w:r w:rsidR="007A2DEA" w:rsidRPr="00B22209">
                <w:rPr>
                  <w:rStyle w:val="Hyperlink"/>
                  <w:rFonts w:ascii="Calibri" w:hAnsi="Calibri" w:cs="Times New Roman"/>
                </w:rPr>
                <w:t>https://github.com/HSU-S21-CS243</w:t>
              </w:r>
            </w:hyperlink>
            <w:r w:rsidR="00100519">
              <w:rPr>
                <w:rFonts w:ascii="Calibri" w:hAnsi="Calibri" w:cs="Times New Roman"/>
              </w:rPr>
              <w:t>)</w:t>
            </w:r>
          </w:p>
          <w:p w14:paraId="05648A7D" w14:textId="64EDD111" w:rsidR="005355AC" w:rsidRPr="008C6DE5" w:rsidRDefault="005355AC" w:rsidP="00D00B5C">
            <w:pPr>
              <w:rPr>
                <w:rFonts w:ascii="Calibri" w:hAnsi="Calibri" w:cs="Times New Roman"/>
              </w:rPr>
            </w:pPr>
            <w:r>
              <w:rPr>
                <w:rFonts w:ascii="Calibri" w:hAnsi="Calibri" w:cs="Times New Roman"/>
              </w:rPr>
              <w:t>Discord (</w:t>
            </w:r>
            <w:r w:rsidR="007A2DEA">
              <w:t>See canvas for link)</w:t>
            </w:r>
          </w:p>
        </w:tc>
      </w:tr>
    </w:tbl>
    <w:p w14:paraId="0E0D6BA1"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5CF9CD8E" w14:textId="77777777" w:rsidTr="00F16A9D">
        <w:tc>
          <w:tcPr>
            <w:tcW w:w="2059" w:type="dxa"/>
          </w:tcPr>
          <w:p w14:paraId="33E6B1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343E817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29DAD93F" w14:textId="77777777" w:rsidTr="00F16A9D">
        <w:tc>
          <w:tcPr>
            <w:tcW w:w="2059" w:type="dxa"/>
          </w:tcPr>
          <w:p w14:paraId="764FAF2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6A005572" w14:textId="1F22169F" w:rsidR="00F16A9D" w:rsidRPr="00EF1B0D" w:rsidRDefault="00923B74" w:rsidP="008C6DE5">
            <w:pPr>
              <w:rPr>
                <w:rFonts w:ascii="Calibri" w:eastAsia="Times New Roman" w:hAnsi="Calibri" w:cs="Times New Roman"/>
              </w:rPr>
            </w:pPr>
            <w:r>
              <w:rPr>
                <w:rFonts w:ascii="Calibri" w:hAnsi="Calibri" w:cs="Times New Roman"/>
              </w:rPr>
              <w:t>The Internet</w:t>
            </w:r>
          </w:p>
        </w:tc>
      </w:tr>
      <w:tr w:rsidR="00F16A9D" w:rsidRPr="00EF1B0D" w14:paraId="08006084" w14:textId="77777777" w:rsidTr="00F16A9D">
        <w:tc>
          <w:tcPr>
            <w:tcW w:w="2059" w:type="dxa"/>
          </w:tcPr>
          <w:p w14:paraId="4BCD0F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3AE54121" w14:textId="34A5C70E" w:rsidR="009D3A26" w:rsidRPr="00EF1B0D" w:rsidRDefault="005355AC" w:rsidP="0083789D">
            <w:pPr>
              <w:rPr>
                <w:rFonts w:ascii="Calibri" w:eastAsia="Times New Roman" w:hAnsi="Calibri" w:cs="Times New Roman"/>
              </w:rPr>
            </w:pPr>
            <w:r>
              <w:rPr>
                <w:rFonts w:ascii="Calibri" w:hAnsi="Calibri" w:cs="Times New Roman"/>
              </w:rPr>
              <w:t>We’re online.  Shoot me a message on Discord and I’ll respond when I can.</w:t>
            </w:r>
          </w:p>
        </w:tc>
      </w:tr>
      <w:tr w:rsidR="00F16A9D" w:rsidRPr="00EF1B0D" w14:paraId="38BA213C" w14:textId="77777777" w:rsidTr="00F16A9D">
        <w:tc>
          <w:tcPr>
            <w:tcW w:w="2059" w:type="dxa"/>
          </w:tcPr>
          <w:p w14:paraId="11834D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752F7576"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5799CDE4" w14:textId="77777777" w:rsidR="00AF1D9E" w:rsidRDefault="00AF1D9E" w:rsidP="00AF1D9E"/>
    <w:p w14:paraId="427C8E87" w14:textId="77777777" w:rsidR="00AF1D9E" w:rsidRDefault="00AF1D9E" w:rsidP="00AF1D9E">
      <w:pPr>
        <w:pStyle w:val="Heading2"/>
      </w:pPr>
      <w:r>
        <w:t>Textbooks</w:t>
      </w:r>
    </w:p>
    <w:p w14:paraId="3F749DB2" w14:textId="3F09A621" w:rsidR="00F16A9D" w:rsidRPr="007A2DEA" w:rsidRDefault="005355AC" w:rsidP="005355AC">
      <w:pPr>
        <w:rPr>
          <w:rFonts w:ascii="Calibri" w:eastAsia="Times New Roman" w:hAnsi="Calibri" w:cs="Times New Roman"/>
          <w:b/>
          <w:bCs/>
          <w:u w:val="single"/>
        </w:rPr>
      </w:pPr>
      <w:r>
        <w:rPr>
          <w:rFonts w:ascii="Calibri" w:eastAsia="Times New Roman" w:hAnsi="Calibri" w:cs="Times New Roman"/>
        </w:rPr>
        <w:t xml:space="preserve">Nisan &amp; Schocken - </w:t>
      </w:r>
      <w:r w:rsidRPr="005355AC">
        <w:rPr>
          <w:rFonts w:ascii="Calibri" w:eastAsia="Times New Roman" w:hAnsi="Calibri" w:cs="Times New Roman"/>
        </w:rPr>
        <w:t>The Elements of Computing Systems: Building a Modern Computer from First Principles</w:t>
      </w:r>
      <w:r>
        <w:rPr>
          <w:rFonts w:ascii="Calibri" w:eastAsia="Times New Roman" w:hAnsi="Calibri" w:cs="Times New Roman"/>
        </w:rPr>
        <w:t xml:space="preserve"> (ISBN: </w:t>
      </w:r>
      <w:r w:rsidRPr="005355AC">
        <w:rPr>
          <w:rFonts w:ascii="Calibri" w:eastAsia="Times New Roman" w:hAnsi="Calibri" w:cs="Times New Roman"/>
        </w:rPr>
        <w:t>0262640686</w:t>
      </w:r>
      <w:r>
        <w:rPr>
          <w:rFonts w:ascii="Calibri" w:eastAsia="Times New Roman" w:hAnsi="Calibri" w:cs="Times New Roman"/>
        </w:rPr>
        <w:t>)</w:t>
      </w:r>
      <w:r w:rsidR="007A2DEA">
        <w:rPr>
          <w:rFonts w:ascii="Calibri" w:eastAsia="Times New Roman" w:hAnsi="Calibri" w:cs="Times New Roman"/>
        </w:rPr>
        <w:t xml:space="preserve"> </w:t>
      </w:r>
      <w:r w:rsidR="007A2DEA">
        <w:rPr>
          <w:rFonts w:ascii="Calibri" w:eastAsia="Times New Roman" w:hAnsi="Calibri" w:cs="Times New Roman"/>
          <w:b/>
          <w:bCs/>
          <w:u w:val="single"/>
        </w:rPr>
        <w:t>FREE THROUGH HSU BOOKSTORE</w:t>
      </w:r>
    </w:p>
    <w:p w14:paraId="77D28888" w14:textId="77777777" w:rsidR="005B2386" w:rsidRDefault="005B2386" w:rsidP="005B2386">
      <w:pPr>
        <w:pStyle w:val="Heading2"/>
        <w:rPr>
          <w:rFonts w:eastAsia="Times New Roman"/>
        </w:rPr>
      </w:pPr>
      <w:r>
        <w:rPr>
          <w:rFonts w:eastAsia="Times New Roman"/>
        </w:rPr>
        <w:t>Other Materials</w:t>
      </w:r>
    </w:p>
    <w:p w14:paraId="62CCC590" w14:textId="77777777" w:rsidR="005B2386" w:rsidRPr="005B2386" w:rsidRDefault="00CF3EB6" w:rsidP="00F16A9D">
      <w:r>
        <w:t>None</w:t>
      </w:r>
    </w:p>
    <w:p w14:paraId="64C3FE66" w14:textId="77777777" w:rsidR="00AF1D9E" w:rsidRDefault="00AF1D9E" w:rsidP="00AF1D9E">
      <w:pPr>
        <w:pStyle w:val="Heading2"/>
      </w:pPr>
      <w:r>
        <w:t>Course Outline</w:t>
      </w:r>
    </w:p>
    <w:p w14:paraId="333D5AFB" w14:textId="342278F3" w:rsidR="00CC6FB4" w:rsidRDefault="00CC6FB4" w:rsidP="00F16A9D">
      <w:pPr>
        <w:rPr>
          <w:rFonts w:ascii="Calibri" w:eastAsia="Times New Roman" w:hAnsi="Calibri" w:cs="Times New Roman"/>
        </w:rPr>
      </w:pPr>
      <w:r>
        <w:rPr>
          <w:rFonts w:ascii="Calibri" w:eastAsia="Times New Roman" w:hAnsi="Calibri" w:cs="Times New Roman"/>
        </w:rPr>
        <w:t>(adapted from book publisher’s website)</w:t>
      </w:r>
    </w:p>
    <w:p w14:paraId="215F8671" w14:textId="70F321FF" w:rsidR="00CC6FB4" w:rsidRPr="00CC6FB4" w:rsidRDefault="00CC6FB4" w:rsidP="00CC6FB4">
      <w:pPr>
        <w:rPr>
          <w:rFonts w:ascii="Calibri" w:eastAsia="Times New Roman" w:hAnsi="Calibri" w:cs="Times New Roman"/>
        </w:rPr>
      </w:pPr>
      <w:r w:rsidRPr="00CC6FB4">
        <w:rPr>
          <w:rFonts w:ascii="Calibri" w:eastAsia="Times New Roman" w:hAnsi="Calibri" w:cs="Times New Roman"/>
        </w:rPr>
        <w:t xml:space="preserve">In the early days of computer science, the interactions of hardware, software, compilers, and operating system were simple enough to allow students to see an overall picture of how computers worked. With the increasing complexity of computer technology and the resulting specialization of knowledge, such clarity is often lost. </w:t>
      </w:r>
      <w:r>
        <w:rPr>
          <w:rFonts w:ascii="Calibri" w:eastAsia="Times New Roman" w:hAnsi="Calibri" w:cs="Times New Roman"/>
        </w:rPr>
        <w:t>This course</w:t>
      </w:r>
      <w:r w:rsidRPr="00CC6FB4">
        <w:rPr>
          <w:rFonts w:ascii="Calibri" w:eastAsia="Times New Roman" w:hAnsi="Calibri" w:cs="Times New Roman"/>
        </w:rPr>
        <w:t xml:space="preserve"> gives students an integrated and rigorous picture of applied computer science, as its comes to play in the construction of a simple yet powerful computer system.</w:t>
      </w:r>
    </w:p>
    <w:p w14:paraId="68B56D12" w14:textId="77777777" w:rsidR="00CC6FB4" w:rsidRPr="00CC6FB4" w:rsidRDefault="00CC6FB4" w:rsidP="00CC6FB4">
      <w:pPr>
        <w:rPr>
          <w:rFonts w:ascii="Calibri" w:eastAsia="Times New Roman" w:hAnsi="Calibri" w:cs="Times New Roman"/>
        </w:rPr>
      </w:pPr>
    </w:p>
    <w:p w14:paraId="6D818D55" w14:textId="7C666C3A" w:rsidR="00F16A9D" w:rsidRPr="00EF1B0D" w:rsidRDefault="00CC6FB4" w:rsidP="00F16A9D">
      <w:pPr>
        <w:rPr>
          <w:rFonts w:ascii="Calibri" w:eastAsia="Times New Roman" w:hAnsi="Calibri" w:cs="Times New Roman"/>
        </w:rPr>
      </w:pPr>
      <w:r w:rsidRPr="00CC6FB4">
        <w:rPr>
          <w:rFonts w:ascii="Calibri" w:eastAsia="Times New Roman" w:hAnsi="Calibri" w:cs="Times New Roman"/>
        </w:rPr>
        <w:lastRenderedPageBreak/>
        <w:t xml:space="preserve">Indeed, the best way to understand how computers work is to build one from scratch, and this </w:t>
      </w:r>
      <w:r>
        <w:rPr>
          <w:rFonts w:ascii="Calibri" w:eastAsia="Times New Roman" w:hAnsi="Calibri" w:cs="Times New Roman"/>
        </w:rPr>
        <w:t xml:space="preserve">course </w:t>
      </w:r>
      <w:r w:rsidRPr="00CC6FB4">
        <w:rPr>
          <w:rFonts w:ascii="Calibri" w:eastAsia="Times New Roman" w:hAnsi="Calibri" w:cs="Times New Roman"/>
        </w:rPr>
        <w:t xml:space="preserve">leads students through twelve chapters and projects that gradually build a basic hardware platform and a modern software hierarchy from the ground up. In the process, the students gain hands-on knowledge of hardware architecture, operating systems, programming languages, compilers, data structures, algorithms, and software engineering. Using this constructive approach, </w:t>
      </w:r>
      <w:r>
        <w:rPr>
          <w:rFonts w:ascii="Calibri" w:eastAsia="Times New Roman" w:hAnsi="Calibri" w:cs="Times New Roman"/>
        </w:rPr>
        <w:t>this course</w:t>
      </w:r>
      <w:r w:rsidRPr="00CC6FB4">
        <w:rPr>
          <w:rFonts w:ascii="Calibri" w:eastAsia="Times New Roman" w:hAnsi="Calibri" w:cs="Times New Roman"/>
        </w:rPr>
        <w:t xml:space="preserve"> exposes a significant body of computer science knowledge and demonstrates how theoretical and applied techniques taught in other courses fit into the overall picture.</w:t>
      </w:r>
    </w:p>
    <w:p w14:paraId="1E17E500" w14:textId="77777777" w:rsidR="00AF1D9E" w:rsidRDefault="00AF1D9E" w:rsidP="00AF1D9E">
      <w:pPr>
        <w:pStyle w:val="Heading2"/>
      </w:pPr>
      <w:r>
        <w:t>Student Learning Outcomes and Assessment</w:t>
      </w:r>
    </w:p>
    <w:p w14:paraId="15B8F2DD" w14:textId="77777777" w:rsidR="00F16A9D" w:rsidRDefault="00F16A9D" w:rsidP="00F16A9D">
      <w:r>
        <w:t xml:space="preserve">This course addresses departmental learning outcomes of: </w:t>
      </w:r>
    </w:p>
    <w:p w14:paraId="7349D529" w14:textId="77777777" w:rsidR="00F16A9D" w:rsidRDefault="00F16A9D" w:rsidP="00144B1A">
      <w:pPr>
        <w:spacing w:line="240" w:lineRule="auto"/>
        <w:contextualSpacing/>
      </w:pPr>
      <w:r>
        <w:t>•</w:t>
      </w:r>
      <w:r>
        <w:tab/>
        <w:t>Computational Thinking</w:t>
      </w:r>
    </w:p>
    <w:p w14:paraId="72836DAB" w14:textId="77777777" w:rsidR="00F16A9D" w:rsidRDefault="00F16A9D" w:rsidP="00144B1A">
      <w:pPr>
        <w:spacing w:line="240" w:lineRule="auto"/>
        <w:contextualSpacing/>
      </w:pPr>
      <w:r>
        <w:t>•</w:t>
      </w:r>
      <w:r>
        <w:tab/>
        <w:t>Technical Writing</w:t>
      </w:r>
    </w:p>
    <w:p w14:paraId="371328FD" w14:textId="77777777" w:rsidR="00F16A9D" w:rsidRDefault="00F16A9D" w:rsidP="00144B1A">
      <w:pPr>
        <w:spacing w:line="240" w:lineRule="auto"/>
        <w:contextualSpacing/>
      </w:pPr>
      <w:r>
        <w:t>•</w:t>
      </w:r>
      <w:r>
        <w:tab/>
        <w:t>Communicating and Collaborating</w:t>
      </w:r>
    </w:p>
    <w:p w14:paraId="75185317" w14:textId="77777777" w:rsidR="00144B1A" w:rsidRDefault="00144B1A" w:rsidP="00144B1A">
      <w:pPr>
        <w:spacing w:line="240" w:lineRule="auto"/>
        <w:contextualSpacing/>
      </w:pPr>
    </w:p>
    <w:p w14:paraId="413889C0" w14:textId="04E4F740" w:rsidR="00F16A9D" w:rsidRPr="00EE3AFD" w:rsidRDefault="00F16A9D" w:rsidP="00F16A9D">
      <w:r w:rsidRPr="00EE3AFD">
        <w:t xml:space="preserve">This course addresses computational thinking at a moderate level, adding the next level of computational maturity through its coverage of </w:t>
      </w:r>
      <w:r w:rsidR="00CC6FB4">
        <w:t>architectural principles</w:t>
      </w:r>
      <w:r w:rsidRPr="00EE3AFD">
        <w:t>. It addresses technical writing and communicating at a moderate level via program documentation and coding standards that stress reusable code.  Furthermore, after successfully completing this course, students should be able to:</w:t>
      </w:r>
    </w:p>
    <w:p w14:paraId="6A78B819"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Explain the importance of the instruction set architecture in both hardware and software design and the need for all computer scientists to be knowledgeable on the subject.</w:t>
      </w:r>
    </w:p>
    <w:p w14:paraId="343B7664"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Use precise measures of architectural performance to compare proposed architectural differences.</w:t>
      </w:r>
    </w:p>
    <w:p w14:paraId="6839B5F7"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Explain elements of the design of a typical arithmetic logic unit, datapath, and control.</w:t>
      </w:r>
    </w:p>
    <w:p w14:paraId="0906A431"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Explain pipelining and illustrate its importance by writing assembly code for a pipelined architecture which takes into account common hazards.</w:t>
      </w:r>
    </w:p>
    <w:p w14:paraId="5ED5AF03"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Explain major architectural revolutions of the 21st century, such as the “death” of Moore’s Law and the rise of multicore architectures, in light of the fundamental engineering problems driving these innovations.</w:t>
      </w:r>
    </w:p>
    <w:p w14:paraId="46A7DD4E" w14:textId="77777777" w:rsidR="00CC6FB4" w:rsidRPr="009A17C8" w:rsidRDefault="00CC6FB4" w:rsidP="00CC6FB4">
      <w:pPr>
        <w:numPr>
          <w:ilvl w:val="0"/>
          <w:numId w:val="8"/>
        </w:numPr>
        <w:tabs>
          <w:tab w:val="clear" w:pos="227"/>
          <w:tab w:val="num" w:pos="540"/>
        </w:tabs>
        <w:spacing w:after="0" w:line="240" w:lineRule="auto"/>
        <w:ind w:left="450"/>
        <w:jc w:val="left"/>
      </w:pPr>
      <w:r w:rsidRPr="009A17C8">
        <w:t>Summarize the design of memory and hard drive systems.</w:t>
      </w:r>
    </w:p>
    <w:p w14:paraId="504ED69F" w14:textId="77777777" w:rsidR="00F16A9D" w:rsidRDefault="00F16A9D" w:rsidP="00F16A9D">
      <w:pPr>
        <w:pStyle w:val="Heading1"/>
      </w:pPr>
      <w:r>
        <w:t>HSU Learning Outcomes that this course addresses:</w:t>
      </w:r>
    </w:p>
    <w:p w14:paraId="7B8C605C" w14:textId="77777777" w:rsidR="00F16A9D" w:rsidRDefault="00F16A9D" w:rsidP="00F16A9D">
      <w:r>
        <w:t>This course explicitly contributes to students’ acquisition of skills and knowledge relevant to HSU Learning Outcomes:</w:t>
      </w:r>
    </w:p>
    <w:p w14:paraId="53599804" w14:textId="77777777" w:rsidR="00F16A9D" w:rsidRDefault="00F16A9D" w:rsidP="00F16A9D">
      <w:r>
        <w:t>HSU graduates will have demonstrated:</w:t>
      </w:r>
    </w:p>
    <w:p w14:paraId="2F29AF31" w14:textId="77777777" w:rsidR="00F16A9D" w:rsidRDefault="00F16A9D" w:rsidP="00144B1A">
      <w:pPr>
        <w:spacing w:line="240" w:lineRule="auto"/>
        <w:contextualSpacing/>
      </w:pPr>
      <w:r>
        <w:t>•</w:t>
      </w:r>
      <w:r>
        <w:tab/>
        <w:t>Effective communication through written and oral modes.</w:t>
      </w:r>
    </w:p>
    <w:p w14:paraId="6D32A731" w14:textId="77777777" w:rsidR="00F16A9D" w:rsidRDefault="00F16A9D" w:rsidP="00144B1A">
      <w:pPr>
        <w:spacing w:line="240" w:lineRule="auto"/>
        <w:contextualSpacing/>
      </w:pPr>
      <w:r>
        <w:t>•</w:t>
      </w:r>
      <w:r>
        <w:tab/>
        <w:t>Critical and creative thinking skills in acquiring a broad base of knowledge and applying it to complex issues.</w:t>
      </w:r>
    </w:p>
    <w:p w14:paraId="4B44EC13" w14:textId="77777777" w:rsidR="00F16A9D" w:rsidRDefault="00F16A9D" w:rsidP="00144B1A">
      <w:pPr>
        <w:spacing w:line="240" w:lineRule="auto"/>
        <w:contextualSpacing/>
      </w:pPr>
      <w:r>
        <w:t>•</w:t>
      </w:r>
      <w:r>
        <w:tab/>
        <w:t>Competence in a major area of study.</w:t>
      </w:r>
    </w:p>
    <w:p w14:paraId="2E2176AF" w14:textId="77777777" w:rsidR="00F16A9D" w:rsidRDefault="00F16A9D" w:rsidP="00144B1A">
      <w:pPr>
        <w:spacing w:line="240" w:lineRule="auto"/>
        <w:contextualSpacing/>
      </w:pPr>
      <w:r>
        <w:t>HSU graduates will be prepared to:</w:t>
      </w:r>
    </w:p>
    <w:p w14:paraId="54D2F2FC" w14:textId="77777777" w:rsidR="00F16A9D" w:rsidRPr="008A15CA" w:rsidRDefault="00F16A9D" w:rsidP="00144B1A">
      <w:pPr>
        <w:spacing w:line="240" w:lineRule="auto"/>
        <w:contextualSpacing/>
        <w:rPr>
          <w:rFonts w:eastAsia="Times New Roman"/>
        </w:rPr>
      </w:pPr>
      <w:r>
        <w:t>•</w:t>
      </w:r>
      <w:r>
        <w:tab/>
        <w:t>Succeed in their chosen careers.</w:t>
      </w:r>
    </w:p>
    <w:p w14:paraId="0F1A1258" w14:textId="77777777" w:rsidR="007A2DEA" w:rsidRDefault="007A2DEA" w:rsidP="00AF1D9E">
      <w:pPr>
        <w:pStyle w:val="Heading2"/>
      </w:pPr>
    </w:p>
    <w:p w14:paraId="3BC09E77" w14:textId="0A6A4AD0" w:rsidR="00AF1D9E" w:rsidRDefault="00AF1D9E" w:rsidP="00AF1D9E">
      <w:pPr>
        <w:pStyle w:val="Heading2"/>
      </w:pPr>
      <w:r>
        <w:lastRenderedPageBreak/>
        <w:t>Grades</w:t>
      </w:r>
      <w:r w:rsidR="009A475B">
        <w:t>*</w:t>
      </w:r>
    </w:p>
    <w:p w14:paraId="678C0ACD" w14:textId="77777777" w:rsidR="00750B97" w:rsidRDefault="00AF1D9E" w:rsidP="00AA5C67">
      <w:r>
        <w:t>Grades will be based on the following (weights are in parenthesis):</w:t>
      </w:r>
    </w:p>
    <w:p w14:paraId="27E6AA9C" w14:textId="190ECF09" w:rsidR="00AD2FE9" w:rsidRDefault="00CC6FB4" w:rsidP="007A2DEA">
      <w:pPr>
        <w:pStyle w:val="ListParagraph"/>
        <w:numPr>
          <w:ilvl w:val="0"/>
          <w:numId w:val="1"/>
        </w:numPr>
      </w:pPr>
      <w:r>
        <w:t xml:space="preserve">Active </w:t>
      </w:r>
      <w:r w:rsidR="00843E49">
        <w:t>Participa</w:t>
      </w:r>
      <w:r w:rsidR="0083789D">
        <w:t xml:space="preserve">tion </w:t>
      </w:r>
      <w:r>
        <w:t xml:space="preserve">and Attendance </w:t>
      </w:r>
      <w:r w:rsidR="0083789D">
        <w:t>(</w:t>
      </w:r>
      <w:r>
        <w:t>1</w:t>
      </w:r>
      <w:r w:rsidR="007A2DEA">
        <w:t>5</w:t>
      </w:r>
      <w:r w:rsidR="00843E49">
        <w:t>%)</w:t>
      </w:r>
    </w:p>
    <w:p w14:paraId="5CE66907" w14:textId="7B636438" w:rsidR="007A2DEA" w:rsidRDefault="007A2DEA" w:rsidP="007A2DEA">
      <w:pPr>
        <w:pStyle w:val="ListParagraph"/>
        <w:numPr>
          <w:ilvl w:val="0"/>
          <w:numId w:val="1"/>
        </w:numPr>
      </w:pPr>
      <w:r>
        <w:t>Mid-semester exam (10%)</w:t>
      </w:r>
    </w:p>
    <w:p w14:paraId="1D1EB6FD" w14:textId="3E638175" w:rsidR="007A2DEA" w:rsidRDefault="001B6037" w:rsidP="007A2DEA">
      <w:pPr>
        <w:pStyle w:val="ListParagraph"/>
        <w:numPr>
          <w:ilvl w:val="0"/>
          <w:numId w:val="1"/>
        </w:numPr>
      </w:pPr>
      <w:r>
        <w:t>Assignments</w:t>
      </w:r>
      <w:r w:rsidR="00AF1D9E">
        <w:t xml:space="preserve"> (</w:t>
      </w:r>
      <w:r w:rsidR="007A2DEA">
        <w:t>75</w:t>
      </w:r>
      <w:r w:rsidR="00AF1D9E">
        <w:t>%</w:t>
      </w:r>
      <w:r w:rsidR="00095E46">
        <w:t>)</w:t>
      </w:r>
    </w:p>
    <w:p w14:paraId="470F19AB" w14:textId="77777777"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14:paraId="12A34E87"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295880BA" w14:textId="77777777" w:rsidR="005601DB" w:rsidRDefault="005601DB" w:rsidP="008D4B57">
            <w:r>
              <w:t>93.00 – 100.00</w:t>
            </w:r>
          </w:p>
        </w:tc>
        <w:tc>
          <w:tcPr>
            <w:tcW w:w="1915" w:type="dxa"/>
          </w:tcPr>
          <w:p w14:paraId="434F1D9C" w14:textId="77777777" w:rsidR="005601DB" w:rsidRDefault="005601DB" w:rsidP="008D4B57">
            <w:r>
              <w:t>A</w:t>
            </w:r>
          </w:p>
        </w:tc>
        <w:tc>
          <w:tcPr>
            <w:tcW w:w="1915" w:type="dxa"/>
          </w:tcPr>
          <w:p w14:paraId="4D2FD2CC" w14:textId="77777777" w:rsidR="005601DB" w:rsidRDefault="005601DB" w:rsidP="008D4B57"/>
        </w:tc>
        <w:tc>
          <w:tcPr>
            <w:tcW w:w="1915" w:type="dxa"/>
          </w:tcPr>
          <w:p w14:paraId="3EB6AFE1" w14:textId="77777777" w:rsidR="005601DB" w:rsidRDefault="005601DB" w:rsidP="008D4B57">
            <w:r>
              <w:t>71.00 – 75.99</w:t>
            </w:r>
          </w:p>
        </w:tc>
        <w:tc>
          <w:tcPr>
            <w:tcW w:w="1916" w:type="dxa"/>
          </w:tcPr>
          <w:p w14:paraId="0186276E" w14:textId="77777777" w:rsidR="005601DB" w:rsidRDefault="005601DB" w:rsidP="008D4B57">
            <w:r>
              <w:t>C</w:t>
            </w:r>
          </w:p>
        </w:tc>
      </w:tr>
      <w:tr w:rsidR="005601DB" w14:paraId="3222DCB6" w14:textId="77777777" w:rsidTr="008D4B57">
        <w:tc>
          <w:tcPr>
            <w:tcW w:w="1915" w:type="dxa"/>
          </w:tcPr>
          <w:p w14:paraId="1E0840ED" w14:textId="77777777" w:rsidR="005601DB" w:rsidRDefault="005601DB" w:rsidP="008D4B57">
            <w:r>
              <w:t>90.00 – 92.99</w:t>
            </w:r>
          </w:p>
        </w:tc>
        <w:tc>
          <w:tcPr>
            <w:tcW w:w="1915" w:type="dxa"/>
          </w:tcPr>
          <w:p w14:paraId="3DAF85B3" w14:textId="77777777" w:rsidR="005601DB" w:rsidRDefault="005601DB" w:rsidP="008D4B57">
            <w:r>
              <w:t>A-</w:t>
            </w:r>
          </w:p>
        </w:tc>
        <w:tc>
          <w:tcPr>
            <w:tcW w:w="1915" w:type="dxa"/>
          </w:tcPr>
          <w:p w14:paraId="11A8EBB3" w14:textId="77777777" w:rsidR="005601DB" w:rsidRDefault="005601DB" w:rsidP="008D4B57"/>
        </w:tc>
        <w:tc>
          <w:tcPr>
            <w:tcW w:w="1915" w:type="dxa"/>
          </w:tcPr>
          <w:p w14:paraId="1866EEB9" w14:textId="77777777" w:rsidR="005601DB" w:rsidRDefault="005601DB" w:rsidP="008D4B57">
            <w:r>
              <w:t>69.00 – 70.99</w:t>
            </w:r>
          </w:p>
        </w:tc>
        <w:tc>
          <w:tcPr>
            <w:tcW w:w="1916" w:type="dxa"/>
          </w:tcPr>
          <w:p w14:paraId="3FE0E7A1" w14:textId="77777777" w:rsidR="005601DB" w:rsidRDefault="005601DB" w:rsidP="008D4B57">
            <w:r>
              <w:t>C-</w:t>
            </w:r>
          </w:p>
        </w:tc>
      </w:tr>
      <w:tr w:rsidR="001224B8" w14:paraId="3C79FC18"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7E7A080E" w14:textId="77777777" w:rsidR="001224B8" w:rsidRDefault="001224B8" w:rsidP="008D4B57">
            <w:r>
              <w:t>87.00 – 89.99</w:t>
            </w:r>
          </w:p>
        </w:tc>
        <w:tc>
          <w:tcPr>
            <w:tcW w:w="1915" w:type="dxa"/>
          </w:tcPr>
          <w:p w14:paraId="2A940E67" w14:textId="77777777" w:rsidR="001224B8" w:rsidRDefault="001224B8" w:rsidP="008D4B57">
            <w:r>
              <w:t>B+</w:t>
            </w:r>
          </w:p>
        </w:tc>
        <w:tc>
          <w:tcPr>
            <w:tcW w:w="1915" w:type="dxa"/>
          </w:tcPr>
          <w:p w14:paraId="0CF94F13" w14:textId="77777777" w:rsidR="001224B8" w:rsidRDefault="001224B8" w:rsidP="008D4B57"/>
        </w:tc>
        <w:tc>
          <w:tcPr>
            <w:tcW w:w="1915" w:type="dxa"/>
          </w:tcPr>
          <w:p w14:paraId="535B5495" w14:textId="77777777" w:rsidR="001224B8" w:rsidRDefault="001224B8" w:rsidP="00D6721D">
            <w:r>
              <w:t>60.00 – 68.99</w:t>
            </w:r>
          </w:p>
        </w:tc>
        <w:tc>
          <w:tcPr>
            <w:tcW w:w="1916" w:type="dxa"/>
          </w:tcPr>
          <w:p w14:paraId="71C8B94F" w14:textId="77777777" w:rsidR="001224B8" w:rsidRDefault="001224B8" w:rsidP="00D6721D">
            <w:r>
              <w:t>D</w:t>
            </w:r>
          </w:p>
        </w:tc>
      </w:tr>
      <w:tr w:rsidR="001224B8" w14:paraId="7C98EB1A" w14:textId="77777777" w:rsidTr="008D4B57">
        <w:tc>
          <w:tcPr>
            <w:tcW w:w="1915" w:type="dxa"/>
          </w:tcPr>
          <w:p w14:paraId="2EC8E9E1" w14:textId="77777777" w:rsidR="001224B8" w:rsidRDefault="001224B8" w:rsidP="008D4B57">
            <w:r>
              <w:t>82.00 – 86.99</w:t>
            </w:r>
          </w:p>
        </w:tc>
        <w:tc>
          <w:tcPr>
            <w:tcW w:w="1915" w:type="dxa"/>
          </w:tcPr>
          <w:p w14:paraId="6CC12950" w14:textId="77777777" w:rsidR="001224B8" w:rsidRDefault="001224B8" w:rsidP="008D4B57">
            <w:r>
              <w:t>B</w:t>
            </w:r>
          </w:p>
        </w:tc>
        <w:tc>
          <w:tcPr>
            <w:tcW w:w="1915" w:type="dxa"/>
          </w:tcPr>
          <w:p w14:paraId="495AD454" w14:textId="77777777" w:rsidR="001224B8" w:rsidRDefault="001224B8" w:rsidP="008D4B57"/>
        </w:tc>
        <w:tc>
          <w:tcPr>
            <w:tcW w:w="1915" w:type="dxa"/>
          </w:tcPr>
          <w:p w14:paraId="3C907481" w14:textId="77777777" w:rsidR="001224B8" w:rsidRDefault="001224B8" w:rsidP="00D6721D">
            <w:r>
              <w:t>00.00 – 59.99</w:t>
            </w:r>
          </w:p>
        </w:tc>
        <w:tc>
          <w:tcPr>
            <w:tcW w:w="1916" w:type="dxa"/>
          </w:tcPr>
          <w:p w14:paraId="0CD2587A" w14:textId="77777777" w:rsidR="001224B8" w:rsidRDefault="001224B8" w:rsidP="00D6721D">
            <w:r>
              <w:t>F</w:t>
            </w:r>
          </w:p>
        </w:tc>
      </w:tr>
      <w:tr w:rsidR="001224B8" w14:paraId="7A3C07C4"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118039C9" w14:textId="77777777" w:rsidR="001224B8" w:rsidRDefault="001224B8" w:rsidP="008D4B57">
            <w:r>
              <w:t>78.00 – 81.99</w:t>
            </w:r>
          </w:p>
        </w:tc>
        <w:tc>
          <w:tcPr>
            <w:tcW w:w="1915" w:type="dxa"/>
          </w:tcPr>
          <w:p w14:paraId="7F3598E0" w14:textId="77777777" w:rsidR="001224B8" w:rsidRDefault="001224B8" w:rsidP="008D4B57">
            <w:r>
              <w:t>B-</w:t>
            </w:r>
          </w:p>
        </w:tc>
        <w:tc>
          <w:tcPr>
            <w:tcW w:w="1915" w:type="dxa"/>
          </w:tcPr>
          <w:p w14:paraId="4636C6CE" w14:textId="77777777" w:rsidR="001224B8" w:rsidRDefault="001224B8" w:rsidP="008D4B57"/>
        </w:tc>
        <w:tc>
          <w:tcPr>
            <w:tcW w:w="1915" w:type="dxa"/>
          </w:tcPr>
          <w:p w14:paraId="3E75A95F" w14:textId="77777777" w:rsidR="001224B8" w:rsidRDefault="001224B8" w:rsidP="008D4B57"/>
        </w:tc>
        <w:tc>
          <w:tcPr>
            <w:tcW w:w="1916" w:type="dxa"/>
          </w:tcPr>
          <w:p w14:paraId="42EF87DD" w14:textId="77777777" w:rsidR="001224B8" w:rsidRDefault="001224B8" w:rsidP="008D4B57"/>
        </w:tc>
      </w:tr>
      <w:tr w:rsidR="001224B8" w14:paraId="5031EFE4" w14:textId="77777777" w:rsidTr="008D4B57">
        <w:tc>
          <w:tcPr>
            <w:tcW w:w="1915" w:type="dxa"/>
          </w:tcPr>
          <w:p w14:paraId="6C02EC47" w14:textId="77777777" w:rsidR="001224B8" w:rsidRDefault="001224B8" w:rsidP="008D4B57">
            <w:r>
              <w:t>76.00 – 77.99</w:t>
            </w:r>
          </w:p>
        </w:tc>
        <w:tc>
          <w:tcPr>
            <w:tcW w:w="1915" w:type="dxa"/>
          </w:tcPr>
          <w:p w14:paraId="472F4638" w14:textId="77777777" w:rsidR="001224B8" w:rsidRDefault="001224B8" w:rsidP="008D4B57">
            <w:r>
              <w:t>C+</w:t>
            </w:r>
          </w:p>
        </w:tc>
        <w:tc>
          <w:tcPr>
            <w:tcW w:w="1915" w:type="dxa"/>
          </w:tcPr>
          <w:p w14:paraId="7BA5B7DE" w14:textId="77777777" w:rsidR="001224B8" w:rsidRDefault="001224B8" w:rsidP="008D4B57"/>
        </w:tc>
        <w:tc>
          <w:tcPr>
            <w:tcW w:w="1915" w:type="dxa"/>
          </w:tcPr>
          <w:p w14:paraId="1F8BC493" w14:textId="77777777" w:rsidR="001224B8" w:rsidRDefault="001224B8" w:rsidP="008D4B57"/>
        </w:tc>
        <w:tc>
          <w:tcPr>
            <w:tcW w:w="1916" w:type="dxa"/>
          </w:tcPr>
          <w:p w14:paraId="5000F7DE" w14:textId="77777777" w:rsidR="001224B8" w:rsidRDefault="001224B8" w:rsidP="008D4B57"/>
        </w:tc>
      </w:tr>
    </w:tbl>
    <w:p w14:paraId="2596F8AF" w14:textId="5D6C31D6" w:rsidR="007A2DEA" w:rsidRDefault="007A2DEA" w:rsidP="005601DB">
      <w:pPr>
        <w:pStyle w:val="Heading3"/>
      </w:pPr>
      <w:r>
        <w:t>*</w:t>
      </w:r>
      <w:r w:rsidR="009A475B">
        <w:t>Overall Grade</w:t>
      </w:r>
      <w:r>
        <w:t xml:space="preserve"> Policy</w:t>
      </w:r>
    </w:p>
    <w:p w14:paraId="79149447" w14:textId="569C1F24" w:rsidR="007A2DEA" w:rsidRPr="009A475B" w:rsidRDefault="009A475B" w:rsidP="007A2DEA">
      <w:r>
        <w:t xml:space="preserve">This is a project-based curriculum, and as such, it is expected that you actively participate in all assignments.  Therefore, getting a C or below on three or more assignments </w:t>
      </w:r>
      <w:r>
        <w:rPr>
          <w:b/>
          <w:bCs/>
        </w:rPr>
        <w:t xml:space="preserve">or </w:t>
      </w:r>
      <w:r>
        <w:t>getting a C or below on the final assignment may result in an overall grade that is below a C- even if you do well on all other assignments.</w:t>
      </w:r>
    </w:p>
    <w:p w14:paraId="26CCDB6A" w14:textId="230187A2" w:rsidR="005601DB" w:rsidRDefault="007A2DEA" w:rsidP="005601DB">
      <w:pPr>
        <w:pStyle w:val="Heading3"/>
      </w:pPr>
      <w:r>
        <w:t>Late</w:t>
      </w:r>
      <w:r w:rsidR="005601DB">
        <w:t xml:space="preserve"> Policy</w:t>
      </w:r>
    </w:p>
    <w:p w14:paraId="1C0A4654" w14:textId="4285B1D8" w:rsidR="00AE7ECE" w:rsidRDefault="007A2DEA" w:rsidP="005601DB">
      <w:r>
        <w:t>Late submissions will be accepted for full credit until I grade the assignment.  No submissions will be accepted afterwards.</w:t>
      </w:r>
      <w:r w:rsidR="005601DB">
        <w:t xml:space="preserve">    </w:t>
      </w:r>
    </w:p>
    <w:p w14:paraId="5138CFAB" w14:textId="77777777" w:rsidR="00AE7ECE" w:rsidRDefault="00AE7ECE" w:rsidP="00AE7ECE">
      <w:pPr>
        <w:pStyle w:val="Heading3"/>
      </w:pPr>
      <w:r>
        <w:t>Participation</w:t>
      </w:r>
    </w:p>
    <w:p w14:paraId="0B83B415" w14:textId="7C759A80" w:rsidR="0083789D" w:rsidRDefault="005B2386" w:rsidP="00AE7ECE">
      <w:r>
        <w:t xml:space="preserve">Attendance in class is mandatory and will be collected throughout the semester.  </w:t>
      </w:r>
      <w:r w:rsidR="00AD2FE9">
        <w:t xml:space="preserve">Reading assignments will be regularly assigned.  This counts as participation because it will help me make class better for you!  </w:t>
      </w:r>
      <w:r w:rsidR="00AE7ECE">
        <w:t xml:space="preserve">Additionally, certain in-class activities may </w:t>
      </w:r>
      <w:r w:rsidR="0083789D">
        <w:t xml:space="preserve">be awarded participation points.  </w:t>
      </w:r>
    </w:p>
    <w:p w14:paraId="56A03EC1" w14:textId="5AA41447" w:rsidR="0083789D" w:rsidRDefault="0083789D" w:rsidP="0083789D">
      <w:pPr>
        <w:pStyle w:val="Heading3"/>
      </w:pPr>
      <w:r>
        <w:t>Github</w:t>
      </w:r>
      <w:r w:rsidR="00AD2FE9">
        <w:t xml:space="preserve"> Activity</w:t>
      </w:r>
    </w:p>
    <w:p w14:paraId="5C9443A2" w14:textId="77777777" w:rsidR="0083789D" w:rsidRDefault="0083789D" w:rsidP="00AE7ECE">
      <w:r>
        <w:t>You will be expected to use a private github repository to house your solutions.  Regular updates to your githu</w:t>
      </w:r>
      <w:r w:rsidR="0038719C">
        <w:t>b will get earn you full credit</w:t>
      </w:r>
      <w:r w:rsidR="00EB4A9D">
        <w:t>.</w:t>
      </w:r>
    </w:p>
    <w:p w14:paraId="37BEB9F5" w14:textId="77777777" w:rsidR="00F16A9D" w:rsidRDefault="00F16A9D" w:rsidP="00F16A9D">
      <w:pPr>
        <w:pStyle w:val="Heading3"/>
      </w:pPr>
      <w:r>
        <w:t>A Note on Cheating</w:t>
      </w:r>
    </w:p>
    <w:p w14:paraId="2AF0C552" w14:textId="77777777"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14:paraId="71CEA20B" w14:textId="77777777"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w:t>
      </w:r>
      <w:r>
        <w:lastRenderedPageBreak/>
        <w:t xml:space="preserve">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14:paraId="1F2B763C" w14:textId="77777777"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14:paraId="6163A78C" w14:textId="77777777"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14:paraId="471F9833" w14:textId="77777777"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14:paraId="221EBD69" w14:textId="77777777"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14:paraId="105539AB" w14:textId="77777777"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14:paraId="30920467" w14:textId="77777777"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14:paraId="6CBFAE7E" w14:textId="77777777"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14:paraId="10961821" w14:textId="77777777"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14:paraId="6928634E" w14:textId="77777777" w:rsidR="00F16A9D" w:rsidRDefault="00F16A9D" w:rsidP="00F16A9D">
      <w:pPr>
        <w:rPr>
          <w:rFonts w:ascii="Calibri" w:hAnsi="Calibri"/>
        </w:rPr>
      </w:pPr>
    </w:p>
    <w:p w14:paraId="4D76A5D0" w14:textId="77777777" w:rsidR="00F16A9D" w:rsidRPr="00CD1E87" w:rsidRDefault="00F16A9D" w:rsidP="00CD1E87">
      <w:pPr>
        <w:pStyle w:val="Heading1"/>
      </w:pPr>
      <w:r w:rsidRPr="00CD1E87">
        <w:t>Students with Disabilities:</w:t>
      </w:r>
    </w:p>
    <w:p w14:paraId="5BC40DC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0B5176B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451CA2"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96842E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lastRenderedPageBreak/>
        <w:t>Please note that some accommodations may take up to several weeks to arrange.</w:t>
      </w:r>
    </w:p>
    <w:p w14:paraId="1FDA64E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185E412C" w14:textId="77777777" w:rsidR="00F16A9D" w:rsidRPr="00CD1E87" w:rsidRDefault="00F16A9D" w:rsidP="00CD1E87">
      <w:pPr>
        <w:pStyle w:val="Heading1"/>
      </w:pPr>
      <w:r w:rsidRPr="00CD1E87">
        <w:t>Add/Drop Policy:</w:t>
      </w:r>
    </w:p>
    <w:p w14:paraId="72F6F87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7A7ECDE"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14:paraId="5036B42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5DA9014C"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37A39A0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1A57C03A"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33763CD3"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5A0836A1"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08249F60"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0002D409"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14:paraId="078D0C8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4927484D" w14:textId="77777777" w:rsidR="00F16A9D" w:rsidRPr="00CD1E87" w:rsidRDefault="00F16A9D" w:rsidP="00CD1E87">
      <w:pPr>
        <w:pStyle w:val="Heading1"/>
      </w:pPr>
      <w:r w:rsidRPr="00CD1E87">
        <w:t>Incompletes:</w:t>
      </w:r>
    </w:p>
    <w:p w14:paraId="030D99CD"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3BD1F017" w14:textId="77777777" w:rsidR="00F16A9D" w:rsidRPr="00CD1E87" w:rsidRDefault="00F16A9D" w:rsidP="00CD1E87">
      <w:pPr>
        <w:pStyle w:val="Heading1"/>
      </w:pPr>
      <w:r w:rsidRPr="00CD1E87">
        <w:t>Time Expectations:</w:t>
      </w:r>
    </w:p>
    <w:p w14:paraId="7FF4790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60D4B845" w14:textId="77777777" w:rsidR="00F16A9D" w:rsidRPr="00CD1E87" w:rsidRDefault="00F16A9D" w:rsidP="00CD1E87">
      <w:pPr>
        <w:pStyle w:val="Heading1"/>
      </w:pPr>
      <w:r w:rsidRPr="00CD1E87">
        <w:lastRenderedPageBreak/>
        <w:t>Academic Honesty:</w:t>
      </w:r>
    </w:p>
    <w:p w14:paraId="5BAE131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401F6C5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108D142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0F4B43B6" w14:textId="77777777" w:rsidR="00F16A9D" w:rsidRPr="00CD1E87" w:rsidRDefault="00F16A9D" w:rsidP="00CD1E87">
      <w:pPr>
        <w:pStyle w:val="Heading1"/>
      </w:pPr>
      <w:r w:rsidRPr="00CD1E87">
        <w:t>Additional University Information:</w:t>
      </w:r>
    </w:p>
    <w:p w14:paraId="55715649"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78081F0F"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6A9C7BE8"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04A5E0F"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100712B6"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14:paraId="7A657880" w14:textId="77777777"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614F"/>
    <w:rsid w:val="00513260"/>
    <w:rsid w:val="005244E2"/>
    <w:rsid w:val="00526518"/>
    <w:rsid w:val="005355AC"/>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7A2DEA"/>
    <w:rsid w:val="008121B0"/>
    <w:rsid w:val="00822918"/>
    <w:rsid w:val="0083789D"/>
    <w:rsid w:val="00843E49"/>
    <w:rsid w:val="008635A2"/>
    <w:rsid w:val="008909C9"/>
    <w:rsid w:val="008A15CA"/>
    <w:rsid w:val="008A2A26"/>
    <w:rsid w:val="008A5857"/>
    <w:rsid w:val="008C6DE5"/>
    <w:rsid w:val="008E3C54"/>
    <w:rsid w:val="009214DC"/>
    <w:rsid w:val="00923B74"/>
    <w:rsid w:val="00923CEE"/>
    <w:rsid w:val="009819FB"/>
    <w:rsid w:val="0098619B"/>
    <w:rsid w:val="009A475B"/>
    <w:rsid w:val="009B5FDE"/>
    <w:rsid w:val="009D3A26"/>
    <w:rsid w:val="009D46CF"/>
    <w:rsid w:val="009E7C47"/>
    <w:rsid w:val="00A053EE"/>
    <w:rsid w:val="00AA5C67"/>
    <w:rsid w:val="00AD2FE9"/>
    <w:rsid w:val="00AE7ECE"/>
    <w:rsid w:val="00AF1D9E"/>
    <w:rsid w:val="00B555B7"/>
    <w:rsid w:val="00B93C15"/>
    <w:rsid w:val="00BB136C"/>
    <w:rsid w:val="00C50D81"/>
    <w:rsid w:val="00C973E1"/>
    <w:rsid w:val="00CC6FB4"/>
    <w:rsid w:val="00CD1E87"/>
    <w:rsid w:val="00CF3EB6"/>
    <w:rsid w:val="00D00B5C"/>
    <w:rsid w:val="00D633C9"/>
    <w:rsid w:val="00DC49D9"/>
    <w:rsid w:val="00DE40E7"/>
    <w:rsid w:val="00E67F84"/>
    <w:rsid w:val="00E81075"/>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F8D"/>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53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SU-S21-CS24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0935-CE8C-4404-92DE-95660E57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38</cp:revision>
  <dcterms:created xsi:type="dcterms:W3CDTF">2016-08-21T20:57:00Z</dcterms:created>
  <dcterms:modified xsi:type="dcterms:W3CDTF">2021-01-18T00:36:00Z</dcterms:modified>
</cp:coreProperties>
</file>