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裂缝视觉分割与机器人修复论文项目完整复盘</w:t>
      </w:r>
    </w:p>
    <w:p>
      <w:pPr>
        <w:jc w:val="center"/>
      </w:pPr>
      <w:r>
        <w:t>面向 Crack500、自建数据与四轮差速三轴修复平台的实验总结</w:t>
      </w:r>
    </w:p>
    <w:p>
      <w:r>
        <w:rPr>
          <w:b w:val="0"/>
        </w:rPr>
        <w:t>本报告汇总项目从论文主线设计、服务器训练、本地 RTX5060 重跑、基线选择、结构消融、输入审计、逐图诊断到当前可执行后续工作的完整证据。当前结论是：SegFormer-B0 是 Crack500 精度主线基线；已测试模块均没有通过预设验证门槛，不能声称领域 SOTA。论文应同时呈现负结果、数据流限制和机器人闭环价值。</w:t>
      </w:r>
    </w:p>
    <w:p>
      <w:pPr>
        <w:pStyle w:val="Heading1"/>
      </w:pPr>
      <w:r>
        <w:t>项目时间线</w:t>
      </w:r>
    </w:p>
    <w:p>
      <w:pPr>
        <w:pStyle w:val="ListNumber"/>
      </w:pPr>
      <w:r>
        <w:t>初期围绕师兄论文建立视觉分割、粗定位、精定位和修复验证的论文框架。</w:t>
      </w:r>
    </w:p>
    <w:p>
      <w:pPr>
        <w:pStyle w:val="ListNumber"/>
      </w:pPr>
      <w:r>
        <w:t>服务器阶段完成 PaddleSeg 环境、Crack500、BiSeNetV2、SegFormer、OCRNet 等候选的训练和初步比较。</w:t>
      </w:r>
    </w:p>
    <w:p>
      <w:pPr>
        <w:pStyle w:val="ListNumber"/>
      </w:pPr>
      <w:r>
        <w:t>迁移到本地 RTX5060 后重新固定数据清单、训练预算、冻结选模和边界 F1 计算，并修正旧公式和权重选择不一致问题。</w:t>
      </w:r>
    </w:p>
    <w:p>
      <w:pPr>
        <w:pStyle w:val="ListNumber"/>
      </w:pPr>
      <w:r>
        <w:t>BiSeNetV2 阶段完成 C0、C1b、C2b、C4 输入尺度、多种子和 PointRend 逐图诊断。</w:t>
      </w:r>
    </w:p>
    <w:p>
      <w:pPr>
        <w:pStyle w:val="ListNumber"/>
      </w:pPr>
      <w:r>
        <w:t>SegFormer 阶段完成 Crack500 基线、UAFM、PPContext 兼容修补和 PP-LiteSeg 对照。</w:t>
      </w:r>
    </w:p>
    <w:p>
      <w:pPr>
        <w:pStyle w:val="ListNumber"/>
      </w:pPr>
      <w:r>
        <w:t>最新波次完成 EMAU、DualAttentionModule 和 LightHamHead 三个 18,000 iter 单变量实验。</w:t>
      </w:r>
    </w:p>
    <w:p>
      <w:pPr>
        <w:pStyle w:val="Heading1"/>
      </w:pPr>
      <w:r>
        <w:t>一 项目目标与论文主线</w:t>
      </w:r>
    </w:p>
    <w:p>
      <w:r>
        <w:rPr>
          <w:b w:val="0"/>
        </w:rPr>
        <w:t>机器人任务是让差速四轮底盘沿长裂缝自动循迹，在合适位置停车，再用三自由度笛卡尔机构完成精确定位和修复。视觉分割是循迹、裂缝宽度测量、三轴定位和修复覆盖率评估的共同输入。论文采用“机器人需求—公开基线—单模块消融—公开模型对照—坐标标定—四轮粗定位—三轴精定位—真实修复”的主线。师兄论文的消融组织逻辑被借鉴，但没有照搬其模块和结果。</w:t>
      </w:r>
    </w:p>
    <w:p>
      <w:pPr>
        <w:pStyle w:val="Heading1"/>
      </w:pPr>
      <w:r>
        <w:t>二 数据与实验协议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统一设置</w:t>
            </w:r>
          </w:p>
        </w:tc>
      </w:tr>
      <w:tr>
        <w:tc>
          <w:tcPr>
            <w:tcW w:type="dxa" w:w="5040"/>
            <w:vAlign w:val="center"/>
          </w:tcPr>
          <w:p>
            <w:r>
              <w:t>设备</w:t>
            </w:r>
          </w:p>
        </w:tc>
        <w:tc>
          <w:tcPr>
            <w:tcW w:type="dxa" w:w="5040"/>
            <w:vAlign w:val="center"/>
          </w:tcPr>
          <w:p>
            <w:r>
              <w:t>RTX5060，Windows，PaddlePaddle 3.4.0，FP32</w:t>
            </w:r>
          </w:p>
        </w:tc>
      </w:tr>
      <w:tr>
        <w:tc>
          <w:tcPr>
            <w:tcW w:type="dxa" w:w="5040"/>
            <w:vAlign w:val="center"/>
          </w:tcPr>
          <w:p>
            <w:r>
              <w:t>Crack500</w:t>
            </w:r>
          </w:p>
        </w:tc>
        <w:tc>
          <w:tcPr>
            <w:tcW w:type="dxa" w:w="5040"/>
            <w:vAlign w:val="center"/>
          </w:tcPr>
          <w:p>
            <w:r>
              <w:t>train 1896，val 348，test 1124</w:t>
            </w:r>
          </w:p>
        </w:tc>
      </w:tr>
      <w:tr>
        <w:tc>
          <w:tcPr>
            <w:tcW w:type="dxa" w:w="5040"/>
            <w:vAlign w:val="center"/>
          </w:tcPr>
          <w:p>
            <w:r>
              <w:t>训练</w:t>
            </w:r>
          </w:p>
        </w:tc>
        <w:tc>
          <w:tcPr>
            <w:tcW w:type="dxa" w:w="5040"/>
            <w:vAlign w:val="center"/>
          </w:tcPr>
          <w:p>
            <w:r>
              <w:t>seed42，batch4，AdamW，lr 6e-5，PolynomialDecay end_lr=0，18000 iter</w:t>
            </w:r>
          </w:p>
        </w:tc>
      </w:tr>
      <w:tr>
        <w:tc>
          <w:tcPr>
            <w:tcW w:type="dxa" w:w="5040"/>
            <w:vAlign w:val="center"/>
          </w:tcPr>
          <w:p>
            <w:r>
              <w:t>增强</w:t>
            </w:r>
          </w:p>
        </w:tc>
        <w:tc>
          <w:tcPr>
            <w:tcW w:type="dxa" w:w="5040"/>
            <w:vAlign w:val="center"/>
          </w:tcPr>
          <w:p>
            <w:r>
              <w:t>缩放 0.75–1.25，400×400 crop，水平翻转，颜色扰动，Normalize</w:t>
            </w:r>
          </w:p>
        </w:tc>
      </w:tr>
      <w:tr>
        <w:tc>
          <w:tcPr>
            <w:tcW w:type="dxa" w:w="5040"/>
            <w:vAlign w:val="center"/>
          </w:tcPr>
          <w:p>
            <w:r>
              <w:t>选模</w:t>
            </w:r>
          </w:p>
        </w:tc>
        <w:tc>
          <w:tcPr>
            <w:tcW w:type="dxa" w:w="5040"/>
            <w:vAlign w:val="center"/>
          </w:tcPr>
          <w:p>
            <w:r>
              <w:t>仅用 val mIoU，冻结后才能访问 test</w:t>
            </w:r>
          </w:p>
        </w:tc>
      </w:tr>
      <w:tr>
        <w:tc>
          <w:tcPr>
            <w:tcW w:type="dxa" w:w="5040"/>
            <w:vAlign w:val="center"/>
          </w:tcPr>
          <w:p>
            <w:r>
              <w:t>指标</w:t>
            </w:r>
          </w:p>
        </w:tc>
        <w:tc>
          <w:tcPr>
            <w:tcW w:type="dxa" w:w="5040"/>
            <w:vAlign w:val="center"/>
          </w:tcPr>
          <w:p>
            <w:r>
              <w:t>mIoU、裂缝 IoU、Precision、Recall、F1、2px 边界 F1</w:t>
            </w:r>
          </w:p>
        </w:tc>
      </w:tr>
      <w:tr>
        <w:tc>
          <w:tcPr>
            <w:tcW w:type="dxa" w:w="5040"/>
            <w:vAlign w:val="center"/>
          </w:tcPr>
          <w:p>
            <w:r>
              <w:t>数据完整性</w:t>
            </w:r>
          </w:p>
        </w:tc>
        <w:tc>
          <w:tcPr>
            <w:tcW w:type="dxa" w:w="5040"/>
            <w:vAlign w:val="center"/>
          </w:tcPr>
          <w:p>
            <w:r>
              <w:t>4488 个 train/val 文件前后哈希一致</w:t>
            </w:r>
          </w:p>
        </w:tc>
      </w:tr>
    </w:tbl>
    <w:p/>
    <w:p>
      <w:r>
        <w:rPr>
          <w:b w:val="0"/>
        </w:rPr>
        <w:t>自建数据正式训练采用 source-frame-disjoint 清单，去除 18 个图像副本或 D4 等价副本后为 train 1400、val 177。自建 test 尚未用于当前结构筛选。服务器 RTX4090 结果仅作模块参考，不能和 RTX5060 本地论文数字混用。</w:t>
      </w:r>
    </w:p>
    <w:p>
      <w:pPr>
        <w:pStyle w:val="Heading1"/>
      </w:pPr>
      <w:r>
        <w:t>三 主要实验结果</w:t>
      </w:r>
    </w:p>
    <w:p>
      <w:pPr>
        <w:pStyle w:val="Heading2"/>
      </w:pPr>
      <w:r>
        <w:t>3.1 Crack500 公开模型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mIoU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裂缝 IoU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680"/>
            <w:vAlign w:val="center"/>
          </w:tcPr>
          <w:p>
            <w:r>
              <w:t>SegFormer-B0</w:t>
            </w:r>
          </w:p>
        </w:tc>
        <w:tc>
          <w:tcPr>
            <w:tcW w:type="dxa" w:w="1680"/>
            <w:vAlign w:val="center"/>
          </w:tcPr>
          <w:p>
            <w:r>
              <w:t>0.769475</w:t>
            </w:r>
          </w:p>
        </w:tc>
        <w:tc>
          <w:tcPr>
            <w:tcW w:type="dxa" w:w="1680"/>
            <w:vAlign w:val="center"/>
          </w:tcPr>
          <w:p>
            <w:r>
              <w:t>0.570702</w:t>
            </w:r>
          </w:p>
        </w:tc>
        <w:tc>
          <w:tcPr>
            <w:tcW w:type="dxa" w:w="1680"/>
            <w:vAlign w:val="center"/>
          </w:tcPr>
          <w:p>
            <w:r>
              <w:t>0.728905</w:t>
            </w:r>
          </w:p>
        </w:tc>
        <w:tc>
          <w:tcPr>
            <w:tcW w:type="dxa" w:w="1680"/>
            <w:vAlign w:val="center"/>
          </w:tcPr>
          <w:p>
            <w:r>
              <w:t>0.724478</w:t>
            </w:r>
          </w:p>
        </w:tc>
        <w:tc>
          <w:tcPr>
            <w:tcW w:type="dxa" w:w="1680"/>
            <w:vAlign w:val="center"/>
          </w:tcPr>
          <w:p>
            <w:r>
              <w:t>0.726684</w:t>
            </w:r>
          </w:p>
        </w:tc>
      </w:tr>
      <w:tr>
        <w:tc>
          <w:tcPr>
            <w:tcW w:type="dxa" w:w="1680"/>
            <w:vAlign w:val="center"/>
          </w:tcPr>
          <w:p>
            <w:r>
              <w:t>OCRNet-HRNet-W18</w:t>
            </w:r>
          </w:p>
        </w:tc>
        <w:tc>
          <w:tcPr>
            <w:tcW w:type="dxa" w:w="1680"/>
            <w:vAlign w:val="center"/>
          </w:tcPr>
          <w:p>
            <w:r>
              <w:t>0.771509</w:t>
            </w:r>
          </w:p>
        </w:tc>
        <w:tc>
          <w:tcPr>
            <w:tcW w:type="dxa" w:w="1680"/>
            <w:vAlign w:val="center"/>
          </w:tcPr>
          <w:p>
            <w:r>
              <w:t>0.575710</w:t>
            </w:r>
          </w:p>
        </w:tc>
        <w:tc>
          <w:tcPr>
            <w:tcW w:type="dxa" w:w="1680"/>
            <w:vAlign w:val="center"/>
          </w:tcPr>
          <w:p>
            <w:r>
              <w:t>0.703819</w:t>
            </w:r>
          </w:p>
        </w:tc>
        <w:tc>
          <w:tcPr>
            <w:tcW w:type="dxa" w:w="1680"/>
            <w:vAlign w:val="center"/>
          </w:tcPr>
          <w:p>
            <w:r>
              <w:t>0.759782</w:t>
            </w:r>
          </w:p>
        </w:tc>
        <w:tc>
          <w:tcPr>
            <w:tcW w:type="dxa" w:w="1680"/>
            <w:vAlign w:val="center"/>
          </w:tcPr>
          <w:p>
            <w:r>
              <w:t>0.730731</w:t>
            </w:r>
          </w:p>
        </w:tc>
      </w:tr>
      <w:tr>
        <w:tc>
          <w:tcPr>
            <w:tcW w:type="dxa" w:w="1680"/>
            <w:vAlign w:val="center"/>
          </w:tcPr>
          <w:p>
            <w:r>
              <w:t>BiSeNetV2-C4</w:t>
            </w:r>
          </w:p>
        </w:tc>
        <w:tc>
          <w:tcPr>
            <w:tcW w:type="dxa" w:w="1680"/>
            <w:vAlign w:val="center"/>
          </w:tcPr>
          <w:p>
            <w:r>
              <w:t>0.762226</w:t>
            </w:r>
          </w:p>
        </w:tc>
        <w:tc>
          <w:tcPr>
            <w:tcW w:type="dxa" w:w="1680"/>
            <w:vAlign w:val="center"/>
          </w:tcPr>
          <w:p>
            <w:r>
              <w:t>0.556612</w:t>
            </w:r>
          </w:p>
        </w:tc>
        <w:tc>
          <w:tcPr>
            <w:tcW w:type="dxa" w:w="1680"/>
            <w:vAlign w:val="center"/>
          </w:tcPr>
          <w:p>
            <w:r>
              <w:t>0.737494</w:t>
            </w:r>
          </w:p>
        </w:tc>
        <w:tc>
          <w:tcPr>
            <w:tcW w:type="dxa" w:w="1680"/>
            <w:vAlign w:val="center"/>
          </w:tcPr>
          <w:p>
            <w:r>
              <w:t>0.694136</w:t>
            </w:r>
          </w:p>
        </w:tc>
        <w:tc>
          <w:tcPr>
            <w:tcW w:type="dxa" w:w="1680"/>
            <w:vAlign w:val="center"/>
          </w:tcPr>
          <w:p>
            <w:r>
              <w:t>0.715158</w:t>
            </w:r>
          </w:p>
        </w:tc>
      </w:tr>
    </w:tbl>
    <w:p/>
    <w:p>
      <w:r>
        <w:rPr>
          <w:b w:val="0"/>
        </w:rPr>
        <w:t>SegFormer-B0 与 OCRNet 差距很小。BiSeNetV2-C4 的输入尺度调整改善了轻量基线，但仍低于两种精度模型。PP-LiteSeg、UAFM、PPContext、C1b、C2b 和波次五候选没有通过验证筛选，因此没有反向使用 test 挑选它们。</w:t>
      </w:r>
    </w:p>
    <w:p>
      <w:pPr>
        <w:pStyle w:val="Heading2"/>
      </w:pPr>
      <w:r>
        <w:t>3.2 BiSeNetV2 C4 输入与 PointRend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实验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验证 mIoU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裂缝 IoU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F1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边界 F1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680"/>
            <w:vAlign w:val="center"/>
          </w:tcPr>
          <w:p>
            <w:r>
              <w:t>C0 BiSeNetV2</w:t>
            </w:r>
          </w:p>
        </w:tc>
        <w:tc>
          <w:tcPr>
            <w:tcW w:type="dxa" w:w="1680"/>
            <w:vAlign w:val="center"/>
          </w:tcPr>
          <w:p>
            <w:r>
              <w:t>0.810794</w:t>
            </w:r>
          </w:p>
        </w:tc>
        <w:tc>
          <w:tcPr>
            <w:tcW w:type="dxa" w:w="1680"/>
            <w:vAlign w:val="center"/>
          </w:tcPr>
          <w:p>
            <w:r>
              <w:t>0.646406</w:t>
            </w:r>
          </w:p>
        </w:tc>
        <w:tc>
          <w:tcPr>
            <w:tcW w:type="dxa" w:w="1680"/>
            <w:vAlign w:val="center"/>
          </w:tcPr>
          <w:p>
            <w:r>
              <w:t>0.785233</w:t>
            </w:r>
          </w:p>
        </w:tc>
        <w:tc>
          <w:tcPr>
            <w:tcW w:type="dxa" w:w="1680"/>
            <w:vAlign w:val="center"/>
          </w:tcPr>
          <w:p>
            <w:r>
              <w:t>0.395146</w:t>
            </w:r>
          </w:p>
        </w:tc>
        <w:tc>
          <w:tcPr>
            <w:tcW w:type="dxa" w:w="1680"/>
            <w:vAlign w:val="center"/>
          </w:tcPr>
          <w:p>
            <w:r>
              <w:t>控制组</w:t>
            </w:r>
          </w:p>
        </w:tc>
      </w:tr>
      <w:tr>
        <w:tc>
          <w:tcPr>
            <w:tcW w:type="dxa" w:w="1680"/>
            <w:vAlign w:val="center"/>
          </w:tcPr>
          <w:p>
            <w:r>
              <w:t>C1b OCR 融合</w:t>
            </w:r>
          </w:p>
        </w:tc>
        <w:tc>
          <w:tcPr>
            <w:tcW w:type="dxa" w:w="1680"/>
            <w:vAlign w:val="center"/>
          </w:tcPr>
          <w:p>
            <w:r>
              <w:t>0.812851</w:t>
            </w:r>
          </w:p>
        </w:tc>
        <w:tc>
          <w:tcPr>
            <w:tcW w:type="dxa" w:w="1680"/>
            <w:vAlign w:val="center"/>
          </w:tcPr>
          <w:p>
            <w:r>
              <w:t>0.650291</w:t>
            </w:r>
          </w:p>
        </w:tc>
        <w:tc>
          <w:tcPr>
            <w:tcW w:type="dxa" w:w="1680"/>
            <w:vAlign w:val="center"/>
          </w:tcPr>
          <w:p>
            <w:r>
              <w:t>0.788092</w:t>
            </w:r>
          </w:p>
        </w:tc>
        <w:tc>
          <w:tcPr>
            <w:tcW w:type="dxa" w:w="1680"/>
            <w:vAlign w:val="center"/>
          </w:tcPr>
          <w:p>
            <w:r>
              <w:t>0.388326</w:t>
            </w:r>
          </w:p>
        </w:tc>
        <w:tc>
          <w:tcPr>
            <w:tcW w:type="dxa" w:w="1680"/>
            <w:vAlign w:val="center"/>
          </w:tcPr>
          <w:p>
            <w:r>
              <w:t>裂缝 IoU 增益不足</w:t>
            </w:r>
          </w:p>
        </w:tc>
      </w:tr>
      <w:tr>
        <w:tc>
          <w:tcPr>
            <w:tcW w:type="dxa" w:w="1680"/>
            <w:vAlign w:val="center"/>
          </w:tcPr>
          <w:p>
            <w:r>
              <w:t>C2b PointRend</w:t>
            </w:r>
          </w:p>
        </w:tc>
        <w:tc>
          <w:tcPr>
            <w:tcW w:type="dxa" w:w="1680"/>
            <w:vAlign w:val="center"/>
          </w:tcPr>
          <w:p>
            <w:r>
              <w:t>0.810255</w:t>
            </w:r>
          </w:p>
        </w:tc>
        <w:tc>
          <w:tcPr>
            <w:tcW w:type="dxa" w:w="1680"/>
            <w:vAlign w:val="center"/>
          </w:tcPr>
          <w:p>
            <w:r>
              <w:t>0.645492</w:t>
            </w:r>
          </w:p>
        </w:tc>
        <w:tc>
          <w:tcPr>
            <w:tcW w:type="dxa" w:w="1680"/>
            <w:vAlign w:val="center"/>
          </w:tcPr>
          <w:p>
            <w:r>
              <w:t>0.784558</w:t>
            </w:r>
          </w:p>
        </w:tc>
        <w:tc>
          <w:tcPr>
            <w:tcW w:type="dxa" w:w="1680"/>
            <w:vAlign w:val="center"/>
          </w:tcPr>
          <w:p>
            <w:r>
              <w:t>0.411927</w:t>
            </w:r>
          </w:p>
        </w:tc>
        <w:tc>
          <w:tcPr>
            <w:tcW w:type="dxa" w:w="1680"/>
            <w:vAlign w:val="center"/>
          </w:tcPr>
          <w:p>
            <w:r>
              <w:t>边界改善但主体退化</w:t>
            </w:r>
          </w:p>
        </w:tc>
      </w:tr>
      <w:tr>
        <w:tc>
          <w:tcPr>
            <w:tcW w:type="dxa" w:w="1680"/>
            <w:vAlign w:val="center"/>
          </w:tcPr>
          <w:p>
            <w:r>
              <w:t>C4 输入/裁剪</w:t>
            </w:r>
          </w:p>
        </w:tc>
        <w:tc>
          <w:tcPr>
            <w:tcW w:type="dxa" w:w="1680"/>
            <w:vAlign w:val="center"/>
          </w:tcPr>
          <w:p>
            <w:r>
              <w:t>0.815506</w:t>
            </w:r>
          </w:p>
        </w:tc>
        <w:tc>
          <w:tcPr>
            <w:tcW w:type="dxa" w:w="1680"/>
            <w:vAlign w:val="center"/>
          </w:tcPr>
          <w:p>
            <w:r>
              <w:t>0.654863</w:t>
            </w:r>
          </w:p>
        </w:tc>
        <w:tc>
          <w:tcPr>
            <w:tcW w:type="dxa" w:w="1680"/>
            <w:vAlign w:val="center"/>
          </w:tcPr>
          <w:p>
            <w:r>
              <w:t>0.791440</w:t>
            </w:r>
          </w:p>
        </w:tc>
        <w:tc>
          <w:tcPr>
            <w:tcW w:type="dxa" w:w="1680"/>
            <w:vAlign w:val="center"/>
          </w:tcPr>
          <w:p>
            <w:r>
              <w:t>0.416531</w:t>
            </w:r>
          </w:p>
        </w:tc>
        <w:tc>
          <w:tcPr>
            <w:tcW w:type="dxa" w:w="1680"/>
            <w:vAlign w:val="center"/>
          </w:tcPr>
          <w:p>
            <w:r>
              <w:t>单次 seed42 通过</w:t>
            </w:r>
          </w:p>
        </w:tc>
      </w:tr>
    </w:tbl>
    <w:p/>
    <w:p>
      <w:r>
        <w:rPr>
          <w:b w:val="0"/>
        </w:rPr>
        <w:t>C4 seed43 验证 mIoU 0.816008，seed44 为 0.812876，说明输入尺度有帮助但稳定性不足。C2b 恢复方式对照表明 nearest 插值会进一步降低区域指标；PointRend 主要修正局部边界，不能保证主体区域完整。</w:t>
      </w:r>
    </w:p>
    <w:p>
      <w:pPr>
        <w:pStyle w:val="Heading2"/>
      </w:pPr>
      <w:r>
        <w:t>3.3 SegFormer-B0 波次五单模块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mIoU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裂缝 IoU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F1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边界 F1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参数量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FLOPs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008"/>
            <w:vAlign w:val="center"/>
          </w:tcPr>
          <w:p>
            <w:r>
              <w:t>SegFormer-B0</w:t>
            </w:r>
          </w:p>
        </w:tc>
        <w:tc>
          <w:tcPr>
            <w:tcW w:type="dxa" w:w="1008"/>
            <w:vAlign w:val="center"/>
          </w:tcPr>
          <w:p>
            <w:r>
              <w:t>0.828021</w:t>
            </w:r>
          </w:p>
        </w:tc>
        <w:tc>
          <w:tcPr>
            <w:tcW w:type="dxa" w:w="1008"/>
            <w:vAlign w:val="center"/>
          </w:tcPr>
          <w:p>
            <w:r>
              <w:t>0.678174</w:t>
            </w:r>
          </w:p>
        </w:tc>
        <w:tc>
          <w:tcPr>
            <w:tcW w:type="dxa" w:w="1008"/>
            <w:vAlign w:val="center"/>
          </w:tcPr>
          <w:p>
            <w:r>
              <w:t>0.828269</w:t>
            </w:r>
          </w:p>
        </w:tc>
        <w:tc>
          <w:tcPr>
            <w:tcW w:type="dxa" w:w="1008"/>
            <w:vAlign w:val="center"/>
          </w:tcPr>
          <w:p>
            <w:r>
              <w:t>0.789134</w:t>
            </w:r>
          </w:p>
        </w:tc>
        <w:tc>
          <w:tcPr>
            <w:tcW w:type="dxa" w:w="1008"/>
            <w:vAlign w:val="center"/>
          </w:tcPr>
          <w:p>
            <w:r>
              <w:t>0.808228</w:t>
            </w:r>
          </w:p>
        </w:tc>
        <w:tc>
          <w:tcPr>
            <w:tcW w:type="dxa" w:w="1008"/>
            <w:vAlign w:val="center"/>
          </w:tcPr>
          <w:p>
            <w:r>
              <w:t>0.417708</w:t>
            </w:r>
          </w:p>
        </w:tc>
        <w:tc>
          <w:tcPr>
            <w:tcW w:type="dxa" w:w="1008"/>
            <w:vAlign w:val="center"/>
          </w:tcPr>
          <w:p>
            <w:r>
              <w:t>基线</w:t>
            </w:r>
          </w:p>
        </w:tc>
        <w:tc>
          <w:tcPr>
            <w:tcW w:type="dxa" w:w="1008"/>
            <w:vAlign w:val="center"/>
          </w:tcPr>
          <w:p>
            <w:r>
              <w:t>基线</w:t>
            </w:r>
          </w:p>
        </w:tc>
        <w:tc>
          <w:tcPr>
            <w:tcW w:type="dxa" w:w="1008"/>
            <w:vAlign w:val="center"/>
          </w:tcPr>
          <w:p>
            <w:r>
              <w:t>控制组</w:t>
            </w:r>
          </w:p>
        </w:tc>
      </w:tr>
      <w:tr>
        <w:tc>
          <w:tcPr>
            <w:tcW w:type="dxa" w:w="1008"/>
            <w:vAlign w:val="center"/>
          </w:tcPr>
          <w:p>
            <w:r>
              <w:t>+ EMAU</w:t>
            </w:r>
          </w:p>
        </w:tc>
        <w:tc>
          <w:tcPr>
            <w:tcW w:type="dxa" w:w="1008"/>
            <w:vAlign w:val="center"/>
          </w:tcPr>
          <w:p>
            <w:r>
              <w:t>0.826912</w:t>
            </w:r>
          </w:p>
        </w:tc>
        <w:tc>
          <w:tcPr>
            <w:tcW w:type="dxa" w:w="1008"/>
            <w:vAlign w:val="center"/>
          </w:tcPr>
          <w:p>
            <w:r>
              <w:t>0.676847</w:t>
            </w:r>
          </w:p>
        </w:tc>
        <w:tc>
          <w:tcPr>
            <w:tcW w:type="dxa" w:w="1008"/>
            <w:vAlign w:val="center"/>
          </w:tcPr>
          <w:p>
            <w:r>
              <w:t>0.800025</w:t>
            </w:r>
          </w:p>
        </w:tc>
        <w:tc>
          <w:tcPr>
            <w:tcW w:type="dxa" w:w="1008"/>
            <w:vAlign w:val="center"/>
          </w:tcPr>
          <w:p>
            <w:r>
              <w:t>0.814678</w:t>
            </w:r>
          </w:p>
        </w:tc>
        <w:tc>
          <w:tcPr>
            <w:tcW w:type="dxa" w:w="1008"/>
            <w:vAlign w:val="center"/>
          </w:tcPr>
          <w:p>
            <w:r>
              <w:t>0.807285</w:t>
            </w:r>
          </w:p>
        </w:tc>
        <w:tc>
          <w:tcPr>
            <w:tcW w:type="dxa" w:w="1008"/>
            <w:vAlign w:val="center"/>
          </w:tcPr>
          <w:p>
            <w:r>
              <w:t>0.407198</w:t>
            </w:r>
          </w:p>
        </w:tc>
        <w:tc>
          <w:tcPr>
            <w:tcW w:type="dxa" w:w="1008"/>
            <w:vAlign w:val="center"/>
          </w:tcPr>
          <w:p>
            <w:r>
              <w:t>3.85M</w:t>
            </w:r>
          </w:p>
        </w:tc>
        <w:tc>
          <w:tcPr>
            <w:tcW w:type="dxa" w:w="1008"/>
            <w:vAlign w:val="center"/>
          </w:tcPr>
          <w:p>
            <w:r>
              <w:t>4.16G*</w:t>
            </w:r>
          </w:p>
        </w:tc>
        <w:tc>
          <w:tcPr>
            <w:tcW w:type="dxa" w:w="1008"/>
            <w:vAlign w:val="center"/>
          </w:tcPr>
          <w:p>
            <w:r>
              <w:t>未通过</w:t>
            </w:r>
          </w:p>
        </w:tc>
      </w:tr>
      <w:tr>
        <w:tc>
          <w:tcPr>
            <w:tcW w:type="dxa" w:w="1008"/>
            <w:vAlign w:val="center"/>
          </w:tcPr>
          <w:p>
            <w:r>
              <w:t>+ DualAttention</w:t>
            </w:r>
          </w:p>
        </w:tc>
        <w:tc>
          <w:tcPr>
            <w:tcW w:type="dxa" w:w="1008"/>
            <w:vAlign w:val="center"/>
          </w:tcPr>
          <w:p>
            <w:r>
              <w:t>0.828128</w:t>
            </w:r>
          </w:p>
        </w:tc>
        <w:tc>
          <w:tcPr>
            <w:tcW w:type="dxa" w:w="1008"/>
            <w:vAlign w:val="center"/>
          </w:tcPr>
          <w:p>
            <w:r>
              <w:t>0.678855</w:t>
            </w:r>
          </w:p>
        </w:tc>
        <w:tc>
          <w:tcPr>
            <w:tcW w:type="dxa" w:w="1008"/>
            <w:vAlign w:val="center"/>
          </w:tcPr>
          <w:p>
            <w:r>
              <w:t>0.809990</w:t>
            </w:r>
          </w:p>
        </w:tc>
        <w:tc>
          <w:tcPr>
            <w:tcW w:type="dxa" w:w="1008"/>
            <w:vAlign w:val="center"/>
          </w:tcPr>
          <w:p>
            <w:r>
              <w:t>0.807437</w:t>
            </w:r>
          </w:p>
        </w:tc>
        <w:tc>
          <w:tcPr>
            <w:tcW w:type="dxa" w:w="1008"/>
            <w:vAlign w:val="center"/>
          </w:tcPr>
          <w:p>
            <w:r>
              <w:t>0.808712</w:t>
            </w:r>
          </w:p>
        </w:tc>
        <w:tc>
          <w:tcPr>
            <w:tcW w:type="dxa" w:w="1008"/>
            <w:vAlign w:val="center"/>
          </w:tcPr>
          <w:p>
            <w:r>
              <w:t>0.415447</w:t>
            </w:r>
          </w:p>
        </w:tc>
        <w:tc>
          <w:tcPr>
            <w:tcW w:type="dxa" w:w="1008"/>
            <w:vAlign w:val="center"/>
          </w:tcPr>
          <w:p>
            <w:r>
              <w:t>3.98M</w:t>
            </w:r>
          </w:p>
        </w:tc>
        <w:tc>
          <w:tcPr>
            <w:tcW w:type="dxa" w:w="1008"/>
            <w:vAlign w:val="center"/>
          </w:tcPr>
          <w:p>
            <w:r>
              <w:t>4.18G</w:t>
            </w:r>
          </w:p>
        </w:tc>
        <w:tc>
          <w:tcPr>
            <w:tcW w:type="dxa" w:w="1008"/>
            <w:vAlign w:val="center"/>
          </w:tcPr>
          <w:p>
            <w:r>
              <w:t>门槛未通过</w:t>
            </w:r>
          </w:p>
        </w:tc>
      </w:tr>
      <w:tr>
        <w:tc>
          <w:tcPr>
            <w:tcW w:type="dxa" w:w="1008"/>
            <w:vAlign w:val="center"/>
          </w:tcPr>
          <w:p>
            <w:r>
              <w:t>+ LightHamHead</w:t>
            </w:r>
          </w:p>
        </w:tc>
        <w:tc>
          <w:tcPr>
            <w:tcW w:type="dxa" w:w="1008"/>
            <w:vAlign w:val="center"/>
          </w:tcPr>
          <w:p>
            <w:r>
              <w:t>0.823293</w:t>
            </w:r>
          </w:p>
        </w:tc>
        <w:tc>
          <w:tcPr>
            <w:tcW w:type="dxa" w:w="1008"/>
            <w:vAlign w:val="center"/>
          </w:tcPr>
          <w:p>
            <w:r>
              <w:t>0.669802</w:t>
            </w:r>
          </w:p>
        </w:tc>
        <w:tc>
          <w:tcPr>
            <w:tcW w:type="dxa" w:w="1008"/>
            <w:vAlign w:val="center"/>
          </w:tcPr>
          <w:p>
            <w:r>
              <w:t>0.808070</w:t>
            </w:r>
          </w:p>
        </w:tc>
        <w:tc>
          <w:tcPr>
            <w:tcW w:type="dxa" w:w="1008"/>
            <w:vAlign w:val="center"/>
          </w:tcPr>
          <w:p>
            <w:r>
              <w:t>0.796520</w:t>
            </w:r>
          </w:p>
        </w:tc>
        <w:tc>
          <w:tcPr>
            <w:tcW w:type="dxa" w:w="1008"/>
            <w:vAlign w:val="center"/>
          </w:tcPr>
          <w:p>
            <w:r>
              <w:t>0.802253</w:t>
            </w:r>
          </w:p>
        </w:tc>
        <w:tc>
          <w:tcPr>
            <w:tcW w:type="dxa" w:w="1008"/>
            <w:vAlign w:val="center"/>
          </w:tcPr>
          <w:p>
            <w:r>
              <w:t>0.397322</w:t>
            </w:r>
          </w:p>
        </w:tc>
        <w:tc>
          <w:tcPr>
            <w:tcW w:type="dxa" w:w="1008"/>
            <w:vAlign w:val="center"/>
          </w:tcPr>
          <w:p>
            <w:r>
              <w:t>3.43M</w:t>
            </w:r>
          </w:p>
        </w:tc>
        <w:tc>
          <w:tcPr>
            <w:tcW w:type="dxa" w:w="1008"/>
            <w:vAlign w:val="center"/>
          </w:tcPr>
          <w:p>
            <w:r>
              <w:t>1.62G*</w:t>
            </w:r>
          </w:p>
        </w:tc>
        <w:tc>
          <w:tcPr>
            <w:tcW w:type="dxa" w:w="1008"/>
            <w:vAlign w:val="center"/>
          </w:tcPr>
          <w:p>
            <w:r>
              <w:t>未通过</w:t>
            </w:r>
          </w:p>
        </w:tc>
      </w:tr>
    </w:tbl>
    <w:p/>
    <w:p>
      <w:r>
        <w:rPr>
          <w:b w:val="0"/>
        </w:rPr>
        <w:t>预设门槛为裂缝 IoU 至少增加 0.005、F1 至少增加 0.003、Recall 下降不超过 0.005，且 mIoU 和边界 F1 不下降。EMAU、DualAttentionModule 和 LightHamHead 均未通过，所以没有启动联合模型。带 * 的 FLOPs 对 EMAU/NMF2D 存在未计数项，只能作为相对参考。</w:t>
      </w:r>
    </w:p>
    <w:p>
      <w:pPr>
        <w:pStyle w:val="Heading1"/>
      </w:pPr>
      <w:r>
        <w:t>四 自建数据结果</w:t>
      </w:r>
    </w:p>
    <w:p>
      <w:r>
        <w:rPr>
          <w:b w:val="0"/>
        </w:rPr>
        <w:t>自建 SegFormer S0 已完成训练和验证。SegFormer-B0+UAFM 验证 mIoU 0.877269、裂缝 IoU 0.763581、Precision 0.845317、Recall 0.887602、F1 0.865944、边界 F1 0.553868。由于 Recall 相对门槛和统一筛选条件未满足，尚未冻结为最终自建模型，也尚未打开自建 test。</w:t>
      </w:r>
    </w:p>
    <w:p>
      <w:pPr>
        <w:pStyle w:val="Heading1"/>
      </w:pPr>
      <w:r>
        <w:t>五 已完成的审计与证据</w:t>
      </w:r>
    </w:p>
    <w:p>
      <w:pPr>
        <w:pStyle w:val="ListBullet"/>
      </w:pPr>
      <w:r>
        <w:t>服务器 SCSegamba 发现标签值与官方阈值不匹配，旧运行标记为无效。</w:t>
      </w:r>
    </w:p>
    <w:p>
      <w:pPr>
        <w:pStyle w:val="ListBullet"/>
      </w:pPr>
      <w:r>
        <w:t>本地 train/val 哈希核对 4488 个文件，原始数据没有被修改。</w:t>
      </w:r>
    </w:p>
    <w:p>
      <w:pPr>
        <w:pStyle w:val="ListBullet"/>
      </w:pPr>
      <w:r>
        <w:t>PointRend 完成四模型逐图诊断、恢复方式对照和典型样本 contact sheet。</w:t>
      </w:r>
    </w:p>
    <w:p>
      <w:pPr>
        <w:pStyle w:val="ListBullet"/>
      </w:pPr>
      <w:r>
        <w:t>C4 完成 seed42/43/44 复核，发现轻量输入改进存在种子波动。</w:t>
      </w:r>
    </w:p>
    <w:p>
      <w:pPr>
        <w:pStyle w:val="ListBullet"/>
      </w:pPr>
      <w:r>
        <w:t>波次五完成 EMAU、DualAttention、LightHamHead 各 18000 iter 和独立 val.py 复核。</w:t>
      </w:r>
    </w:p>
    <w:p>
      <w:pPr>
        <w:pStyle w:val="ListBullet"/>
      </w:pPr>
      <w:r>
        <w:t>PIDNet-S 与 DeepLabV3P 在当前 Windows RTX5060 cuDNN 反向路径失败，未伪造完整性能结果。</w:t>
      </w:r>
    </w:p>
    <w:p>
      <w:pPr>
        <w:pStyle w:val="Heading1"/>
      </w:pPr>
      <w:r>
        <w:t>六 图像与原始结果位置</w:t>
      </w:r>
    </w:p>
    <w:p>
      <w:r>
        <w:rPr>
          <w:b w:val="0"/>
        </w:rPr>
        <w:t>已整理图像目录包含 PointRend 诊断总览和三张典型样本，以及自建 SegFormer 验证掩膜示例：</w:t>
      </w:r>
    </w:p>
    <w:p>
      <w:pPr>
        <w:pStyle w:val="IntenseQuote"/>
      </w:pPr>
      <w:r>
        <w:t>D:\论文复现\结果图整理_20261014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23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contact_sheet_c0_c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2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diagnosis_contact_sheet_c0_c2b.png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8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60302_155857_1281_721_c0_c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20160302_155857_1281_721_c0_c2b.png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8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60316_143527_1_361_c0_c2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20160316_143527_1_361_c0_c2b.png</w:t>
      </w:r>
    </w:p>
    <w:p>
      <w:r>
        <w:rPr>
          <w:b w:val="0"/>
        </w:rPr>
        <w:t>完整逐图 CSV/JSON、训练日志和 checkpoint 保留在以下实验目录：</w:t>
      </w:r>
    </w:p>
    <w:p>
      <w:pPr>
        <w:pStyle w:val="ListBullet"/>
      </w:pPr>
      <w:r>
        <w:t>D:\论文复现\experiments\retrain_wave4_20261007</w:t>
      </w:r>
    </w:p>
    <w:p>
      <w:pPr>
        <w:pStyle w:val="ListBullet"/>
      </w:pPr>
      <w:r>
        <w:t>D:\论文复现\experiments\retrain_wave5_20261012</w:t>
      </w:r>
    </w:p>
    <w:p>
      <w:pPr>
        <w:pStyle w:val="ListBullet"/>
      </w:pPr>
      <w:r>
        <w:t>D:\论文复现\experiments\local_structure_wave2_20260930</w:t>
      </w:r>
    </w:p>
    <w:p>
      <w:pPr>
        <w:pStyle w:val="ListBullet"/>
      </w:pPr>
      <w:r>
        <w:t>D:\论文复现\experiments\local_structure_wave3_20261001</w:t>
      </w:r>
    </w:p>
    <w:p>
      <w:pPr>
        <w:pStyle w:val="ListBullet"/>
      </w:pPr>
      <w:r>
        <w:t>D:\论文复现\experiments\local_segformer_wave1_20261006</w:t>
      </w:r>
    </w:p>
    <w:p>
      <w:pPr>
        <w:pStyle w:val="Heading1"/>
      </w:pPr>
      <w:r>
        <w:t>七 后续可执行工作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工作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完成标志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输入与标签流诊断</w:t>
            </w:r>
          </w:p>
        </w:tc>
        <w:tc>
          <w:tcPr>
            <w:tcW w:type="dxa" w:w="2520"/>
            <w:vAlign w:val="center"/>
          </w:tcPr>
          <w:p>
            <w:r>
              <w:t>确认细裂缝是在缩放、裁剪、特征提取还是恢复阶段丢失</w:t>
            </w:r>
          </w:p>
        </w:tc>
        <w:tc>
          <w:tcPr>
            <w:tcW w:type="dxa" w:w="2520"/>
            <w:vAlign w:val="center"/>
          </w:tcPr>
          <w:p>
            <w:r>
              <w:t>输出裂缝保留率、尺寸分组、插值和 Padding 审计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逐图场景统计</w:t>
            </w:r>
          </w:p>
        </w:tc>
        <w:tc>
          <w:tcPr>
            <w:tcW w:type="dxa" w:w="2520"/>
            <w:vAlign w:val="center"/>
          </w:tcPr>
          <w:p>
            <w:r>
              <w:t>区分极细、宽裂缝、阴影、落叶、纹理密集和低对比度错误</w:t>
            </w:r>
          </w:p>
        </w:tc>
        <w:tc>
          <w:tcPr>
            <w:tcW w:type="dxa" w:w="2520"/>
            <w:vAlign w:val="center"/>
          </w:tcPr>
          <w:p>
            <w:r>
              <w:t>形成 TP/FP/FN、边界 F1 和宽度分组表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单变量输入/裁剪实验</w:t>
            </w:r>
          </w:p>
        </w:tc>
        <w:tc>
          <w:tcPr>
            <w:tcW w:type="dxa" w:w="2520"/>
            <w:vAlign w:val="center"/>
          </w:tcPr>
          <w:p>
            <w:r>
              <w:t>验证高分辨率或细裂缝保留策略</w:t>
            </w:r>
          </w:p>
        </w:tc>
        <w:tc>
          <w:tcPr>
            <w:tcW w:type="dxa" w:w="2520"/>
            <w:vAlign w:val="center"/>
          </w:tcPr>
          <w:p>
            <w:r>
              <w:t>只改变一个数据流因素，重新用 val 门槛筛选</w:t>
            </w:r>
          </w:p>
        </w:tc>
      </w:tr>
      <w:tr>
        <w:tc>
          <w:tcPr>
            <w:tcW w:type="dxa" w:w="2520"/>
            <w:vAlign w:val="center"/>
          </w:tcPr>
          <w:p>
            <w:r>
              <w:t>4</w:t>
            </w:r>
          </w:p>
        </w:tc>
        <w:tc>
          <w:tcPr>
            <w:tcW w:type="dxa" w:w="2520"/>
            <w:vAlign w:val="center"/>
          </w:tcPr>
          <w:p>
            <w:r>
              <w:t>统一速度与参数测量</w:t>
            </w:r>
          </w:p>
        </w:tc>
        <w:tc>
          <w:tcPr>
            <w:tcW w:type="dxa" w:w="2520"/>
            <w:vAlign w:val="center"/>
          </w:tcPr>
          <w:p>
            <w:r>
              <w:t>服务四轮底盘和三轴平台部署选择</w:t>
            </w:r>
          </w:p>
        </w:tc>
        <w:tc>
          <w:tcPr>
            <w:tcW w:type="dxa" w:w="2520"/>
            <w:vAlign w:val="center"/>
          </w:tcPr>
          <w:p>
            <w:r>
              <w:t>同一输入、同一 GPU、同一 warm-up 记录延迟/FPS</w:t>
            </w:r>
          </w:p>
        </w:tc>
      </w:tr>
      <w:tr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source-frame-disjoint 复核</w:t>
            </w:r>
          </w:p>
        </w:tc>
        <w:tc>
          <w:tcPr>
            <w:tcW w:type="dxa" w:w="2520"/>
            <w:vAlign w:val="center"/>
          </w:tcPr>
          <w:p>
            <w:r>
              <w:t>排除源帧泄漏，确认泛化</w:t>
            </w:r>
          </w:p>
        </w:tc>
        <w:tc>
          <w:tcPr>
            <w:tcW w:type="dxa" w:w="2520"/>
            <w:vAlign w:val="center"/>
          </w:tcPr>
          <w:p>
            <w:r>
              <w:t>冻结模型在互斥源帧 test 上评估</w:t>
            </w:r>
          </w:p>
        </w:tc>
      </w:tr>
      <w:tr>
        <w:tc>
          <w:tcPr>
            <w:tcW w:type="dxa" w:w="2520"/>
            <w:vAlign w:val="center"/>
          </w:tcPr>
          <w:p>
            <w:r>
              <w:t>6</w:t>
            </w:r>
          </w:p>
        </w:tc>
        <w:tc>
          <w:tcPr>
            <w:tcW w:type="dxa" w:w="2520"/>
            <w:vAlign w:val="center"/>
          </w:tcPr>
          <w:p>
            <w:r>
              <w:t>机器人闭环</w:t>
            </w:r>
          </w:p>
        </w:tc>
        <w:tc>
          <w:tcPr>
            <w:tcW w:type="dxa" w:w="2520"/>
            <w:vAlign w:val="center"/>
          </w:tcPr>
          <w:p>
            <w:r>
              <w:t>验证视觉指标能否转化为循迹和修复质量</w:t>
            </w:r>
          </w:p>
        </w:tc>
        <w:tc>
          <w:tcPr>
            <w:tcW w:type="dxa" w:w="2520"/>
            <w:vAlign w:val="center"/>
          </w:tcPr>
          <w:p>
            <w:r>
              <w:t>标定、循迹、停靠、三轴定位、宽度和覆盖率完成</w:t>
            </w:r>
          </w:p>
        </w:tc>
      </w:tr>
    </w:tbl>
    <w:p/>
    <w:p>
      <w:r>
        <w:rPr>
          <w:b w:val="0"/>
        </w:rPr>
        <w:t>推荐论文写作顺序是先写数据与协议，再写 SegFormer 基线和负结果消融，然后写输入/标签诊断，最后写相机标定、四轮粗定位、三轴精定位和真实修复。这样可以把“没有模块稳定超过基线”的事实转化为对数据流、任务目标和部署约束的清楚讨论。</w:t>
      </w:r>
    </w:p>
    <w:p>
      <w:pPr>
        <w:pStyle w:val="Heading1"/>
      </w:pPr>
      <w:r>
        <w:t>八 当前结论</w:t>
      </w:r>
    </w:p>
    <w:p>
      <w:r>
        <w:rPr>
          <w:b w:val="0"/>
        </w:rPr>
        <w:t>当前最稳妥的论文结论是：SegFormer-B0 是 Crack500 精度主线基线，BiSeNetV2-C4 是轻量部署参考；结构堆叠尚未带来稳定提升，PointRend 主要改善边界而牺牲主体区域，输入尺度调整对轻量模型有帮助但需要多种子复核。下一阶段应优先完成数据流诊断和机器人闭环，而不是继续无条件增加注意力、Transformer、Mamba 或动态卷积模块。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