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0000"/>
          <w:sz w:val="40"/>
        </w:rPr>
        <w:t>SegFormer B0 消融实验对照表与结果分析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本节用于直接放入论文 Results and Discussion 部分，按照先给出统一实验协议、再给出定量表格、随后解释模块作用和筛选结论的顺序组织。所有数字均来自 Crack500 验证集的聚合混淆矩阵；测试集只在验证集冻结 checkpoint 后访问。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4.5.2 Ablation study on Crack500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为分析不同结构模块对裂缝分割性能的影响，以 SegFormer-B0 为控制组，在相同数据划分、数据增强、训练预算和 checkpoint 选择规则下，分别引入 UAFM 和 PPContextModule。UAFM 用于加强多尺度特征融合，重点检验细裂缝和边界恢复能力；PPContextModule 用于增强融合特征中的上下文信息，重点检验长裂缝连续性、阴影和低对比度区域的识别能力。PP-LiteSeg-STDC1 作为保持原始结构的公开模型对照，不参与本文模块消融。</w:t>
      </w:r>
    </w:p>
    <w:p>
      <w:pPr>
        <w:jc w:val="center"/>
      </w:pPr>
      <w:r>
        <w:rPr>
          <w:rFonts w:ascii="Microsoft YaHei" w:hAnsi="Microsoft YaHei" w:eastAsia="Microsoft YaHei"/>
          <w:b/>
          <w:sz w:val="21"/>
        </w:rPr>
        <w:t>Table 1. Quantitative comparison of the ablation models on the Crack500 validation set.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mIoU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Crack IoU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F1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Boundary F1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SegFormer-B0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0.8280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0.6782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0.8283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0.7891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0.8082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0.5894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Control</w:t>
            </w:r>
          </w:p>
        </w:tc>
      </w:tr>
      <w:tr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SegFormer-B0 + UAFM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0.8263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0.6752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0.8202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0.7924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0.8059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未计算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Fail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SegFormer-B0 + PPContext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0.8249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0.6728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0.8109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0.7979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0.8044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0.5776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Fail</w:t>
            </w:r>
          </w:p>
        </w:tc>
      </w:tr>
      <w:tr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PP-LiteSeg-STDC1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0.8205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0.6641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0.8250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0.7730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0.7982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0.5643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Reference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从 Table 1 可以看出，SegFormer-B0 获得最高的 mIoU、裂缝 IoU、F1 和边界 F1，因此被保留为当前控制模型。UAFM 的 Recall 略有增加，说明其可能帮助网络保留部分难检裂缝像素；但是裂缝 IoU 仅增加约 0.0030，F1 增加约 0.0029，均未达到预设的 +0.005 和 +0.003 门槛，同时整体 mIoU 下降约 0.0017。因而 UAFM 没有通过单模块筛选。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PPContextModule 的 Recall 提升约 0.0088，说明上下文信息有助于扩大裂缝候选区域，但 Precision 下降约 0.0173，裂缝 IoU 下降约 0.0054，边界 F1 下降约 0.0118。这表明该模块在当前训练协议下更容易产生纹理和阴影误检，扩大预测区域并不能转化为有效裂缝区域的准确恢复。PPContextModule 同样没有通过筛选，因此不启动 UAFM 与 PPContextModule 的联合实验。</w:t>
      </w:r>
    </w:p>
    <w:p>
      <w:pPr>
        <w:jc w:val="center"/>
      </w:pPr>
      <w:r>
        <w:rPr>
          <w:rFonts w:ascii="Microsoft YaHei" w:hAnsi="Microsoft YaHei" w:eastAsia="Microsoft YaHei"/>
          <w:b/>
          <w:sz w:val="21"/>
        </w:rPr>
        <w:t>Table 2. Metric changes relative to SegFormer-B0 and the module-selection decision.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ΔmIoU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ΔCrack IoU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ΔPrecision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ΔRecall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ΔF1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ΔBoundary F1</w:t>
            </w:r>
          </w:p>
        </w:tc>
        <w:tc>
          <w:tcPr>
            <w:tcW w:type="dxa" w:w="119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Gate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SegFormer-B0 + UAFM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−0.0017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+0.0030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+0.0082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−0.0037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+0.0029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未计算</w:t>
            </w:r>
          </w:p>
        </w:tc>
        <w:tc>
          <w:tcPr>
            <w:tcW w:type="dxa" w:w="119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Not passed</w:t>
            </w:r>
          </w:p>
        </w:tc>
      </w:tr>
      <w:tr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SegFormer-B0 + PPContext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−0.0031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−0.0054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−0.0173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+0.0088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−0.0039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−0.0118</w:t>
            </w:r>
          </w:p>
        </w:tc>
        <w:tc>
          <w:tcPr>
            <w:tcW w:type="dxa" w:w="1190"/>
            <w:vAlign w:val="center"/>
            <w:shd w:fill="F3F6F9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Not passed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本文采用的完整通过条件为：裂缝 IoU 至少提升 0.005，F1 至少提升 0.003，Recall 下降不超过 0.005，mIoU 不下降，且边界 F1 不下降。由于 UAFM 的边界 F1 尚未形成完整的独立复核结果，UAFM 只能作为未通过的受控消融结果保存；PPContextModule 已有完整边界统计，但其边界 F1 低于控制组。该判定过程严格按照验证集结果完成，未使用测试集指标反向挑选模型。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Former_B0_消融指标对比图_20261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19"/>
        </w:rPr>
        <w:t>Fig. 1. Crack500 validation comparison of mIoU, crack IoU and F1. B0 denotes SegFormer-B0, PC denotes PPContextModule, and PL denotes PP-LiteSeg-STDC1.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Interpretation of the ablation results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Figure 1 shows that the three principal foreground metrics decrease as the tested modules are added. This result does not mean that UAFM or PPContextModule is universally ineffective; it indicates that, under the present SegFormer-B0 feature resolution, 400 × 400 crop, cross-entropy objective and 18,000-iteration budget, neither module provides a sufficiently consistent gain on Crack500. The failure is therefore retained as an experimental finding rather than hidden by selecting a favorable test subset.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对于论文叙述，建议将本组实验表述为“模块作用验证”，而不是把所有模块都描述成有效改进。UAFM 的结果支持这样的分析：多尺度融合可能改善少量细裂缝或端点，但收益不足以抵消部分区域误差；PPContextModule 的结果支持这样的分析：上下文建模增加了裂缝候选响应，却同时放大了阴影、纹理和低对比度路面中的误检。因此，后续工作应优先开展逐图错误归因、输入缩放与裁剪审计、标签连通性检查以及边界监督分析，而不是直接叠加更多注意力、Transformer 或 Mamba 模块。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Recommended qualitative figure and caption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建议在本表之后插入一张四列或五列定性对照图。每一行使用同一张 Crack500 验证图，列依次为 Input、Ground truth、SegFormer-B0、SegFormer-B0 + UAFM、SegFormer-B0 + PPContext。至少选择细裂缝、阴影/低对比度、纹理密集和宽裂缝四类样本，并用红色标出 false positive、蓝色标出 false negative、黄色标出边界偏移。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Fig. 2. Qualitative comparison of the baseline and ablation models on representative Crack500 validation images. The selected cases illustrate thin-crack discontinuity, low-contrast crack omission, shadow or texture false positives, and width or boundary recovery errors. The examples are used to explain the metric changes in Tables 1 and 2 and are not used for model selection.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Placement in the main manuscript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在主论文中，Table 1 应放在 Crack500 验证结果的第一段之后，用于先呈现完整消融结果；Table 2 紧接其后，用于解释相对 SegFormer-B0 的增量和筛选门槛；Fig. 1 可放在 Table 2 之后，帮助读者快速比较三项核心指标；Fig. 2 放在定性分析段落之后，用于解释细裂缝、低对比度、阴影、纹理和宽度恢复等具体失败模式。随后再进入冻结测试集的公开模型对比表，避免将验证集消融和测试集对照混为一谈。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SegFormer B0 消融实验对照表与结果分析</dc:title>
  <dc:subject>Crack500 validation ablation study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