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012932"/>
          <w:sz w:val="64"/>
          <w:szCs w:val="64"/>
        </w:rPr>
        <w:t xml:space="preserve">CCHC</w:t>
      </w:r>
    </w:p>
    <w:p>
      <w:pPr>
        <w:spacing w:after="240"/>
        <w:jc w:val="center"/>
      </w:pPr>
      <w:r>
        <w:rPr>
          <w:i/>
          <w:iCs/>
          <w:color w:val="037B96"/>
          <w:sz w:val="22"/>
          <w:szCs w:val="22"/>
        </w:rPr>
        <w:t xml:space="preserve">Trung tâm Truyền thông và Chăm sóc Sức khỏe Cộng đồng</w:t>
      </w:r>
    </w:p>
    <w:p>
      <w:pPr>
        <w:spacing w:after="40"/>
        <w:jc w:val="center"/>
      </w:pPr>
      <w:r>
        <w:rPr>
          <w:b/>
          <w:bCs/>
          <w:color w:val="012932"/>
          <w:sz w:val="40"/>
          <w:szCs w:val="40"/>
        </w:rPr>
        <w:t xml:space="preserve">TÀI LIỆU THIẾT KẾ UI/UX</w:t>
      </w:r>
    </w:p>
    <w:p>
      <w:pPr>
        <w:spacing w:after="40"/>
        <w:jc w:val="center"/>
      </w:pPr>
      <w:r>
        <w:rPr>
          <w:color w:val="333333"/>
          <w:sz w:val="22"/>
          <w:szCs w:val="22"/>
        </w:rPr>
        <w:t xml:space="preserve">Kiến trúc Thông tin (khung O’Reilly) · Chiến lược “4 Lớp nang” · Quy tắc thiết kế trang bài viết</w:t>
      </w:r>
    </w:p>
    <w:p>
      <w:pPr>
        <w:spacing w:after="360"/>
        <w:jc w:val="center"/>
      </w:pPr>
      <w:r>
        <w:rPr>
          <w:i/>
          <w:iCs/>
          <w:color w:val="666666"/>
          <w:sz w:val="20"/>
          <w:szCs w:val="20"/>
        </w:rPr>
        <w:t xml:space="preserve">Rosenfeld · Morville · Arango — “The Polar Bear Book”</w:t>
      </w:r>
    </w:p>
    <w:p>
      <w:pPr>
        <w:pBdr>
          <w:top w:val="single" w:color="037B96" w:sz="6"/>
          <w:bottom w:val="single" w:color="037B96" w:sz="6"/>
          <w:left w:val="single" w:color="037B96" w:sz="6"/>
          <w:right w:val="single" w:color="037B96" w:sz="6"/>
        </w:pBdr>
        <w:shd w:fill="037B96" w:color="auto" w:val="clear"/>
        <w:spacing w:after="900"/>
        <w:jc w:val="center"/>
      </w:pPr>
      <w:r>
        <w:rPr>
          <w:b/>
          <w:bCs/>
          <w:color w:val="FFFFFF"/>
          <w:sz w:val="22"/>
          <w:szCs w:val="22"/>
        </w:rPr>
        <w:t xml:space="preserve">⁃  TÀI LIỆU DÀNH CHO NHÀ ĐẦU TƯ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Hạng mục</w:t>
            </w:r>
          </w:p>
        </w:tc>
        <w:tc>
          <w:tcPr>
            <w:tcW w:type="dxa" w:w="624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Nội dung</w:t>
            </w:r>
          </w:p>
        </w:tc>
      </w:tr>
      <w:tr>
        <w:trPr>
          <w:tblHeader w:val="false"/>
        </w:trPr>
        <w:tc>
          <w:tcPr>
            <w:tcW w:type="dxa" w:w="312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Sản phẩm</w:t>
            </w:r>
          </w:p>
        </w:tc>
        <w:tc>
          <w:tcPr>
            <w:tcW w:type="dxa" w:w="624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Cổng thông tin CCHC — nguồn phát ngôn có thẩm quyền về sức khỏe cộng đồng</w:t>
            </w:r>
          </w:p>
        </w:tc>
      </w:tr>
      <w:tr>
        <w:trPr>
          <w:tblHeader w:val="false"/>
        </w:trPr>
        <w:tc>
          <w:tcPr>
            <w:tcW w:type="dxa" w:w="312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Loại hình</w:t>
            </w:r>
          </w:p>
        </w:tc>
        <w:tc>
          <w:tcPr>
            <w:tcW w:type="dxa" w:w="624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Website chính trị – chính sách (đơn vị trực thuộc Tổng hội Y học Việt Nam)</w:t>
            </w:r>
          </w:p>
        </w:tc>
      </w:tr>
      <w:tr>
        <w:trPr>
          <w:tblHeader w:val="false"/>
        </w:trPr>
        <w:tc>
          <w:tcPr>
            <w:tcW w:type="dxa" w:w="312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Trọng tâm chiến lược</w:t>
            </w:r>
          </w:p>
        </w:tc>
        <w:tc>
          <w:tcPr>
            <w:tcW w:type="dxa" w:w="624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Hậu thuẫn thể chế &amp; Thẩm quyền (lớp Chính danh) — quyền lực bảo chứng đứng sau mọi nội dung</w:t>
            </w:r>
          </w:p>
        </w:tc>
      </w:tr>
      <w:tr>
        <w:trPr>
          <w:tblHeader w:val="false"/>
        </w:trPr>
        <w:tc>
          <w:tcPr>
            <w:tcW w:type="dxa" w:w="312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Khung nền tảng</w:t>
            </w:r>
          </w:p>
        </w:tc>
        <w:tc>
          <w:tcPr>
            <w:tcW w:type="dxa" w:w="624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IA O’Reilly + Chiến lược truyền thông “4 Lớp nang” (Chính danh · Tri thức · Hành động · Minh bạch)</w:t>
            </w:r>
          </w:p>
        </w:tc>
      </w:tr>
      <w:tr>
        <w:trPr>
          <w:tblHeader w:val="false"/>
        </w:trPr>
        <w:tc>
          <w:tcPr>
            <w:tcW w:type="dxa" w:w="312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Đối tượng tài liệu</w:t>
            </w:r>
          </w:p>
        </w:tc>
        <w:tc>
          <w:tcPr>
            <w:tcW w:type="dxa" w:w="624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Nhà đầu tư</w:t>
            </w:r>
          </w:p>
        </w:tc>
      </w:tr>
      <w:tr>
        <w:trPr>
          <w:tblHeader w:val="false"/>
        </w:trPr>
        <w:tc>
          <w:tcPr>
            <w:tcW w:type="dxa" w:w="312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Phiên bản</w:t>
            </w:r>
          </w:p>
        </w:tc>
        <w:tc>
          <w:tcPr>
            <w:tcW w:type="dxa" w:w="624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1.1 — tích hợp tài liệu Kiến trúc “Lớp nang” &amp; Quy tắc thiết kế trang bài viết</w:t>
            </w:r>
          </w:p>
        </w:tc>
      </w:tr>
    </w:tbl>
    <w:p>
      <w:r>
        <w:br w:type="page"/>
      </w:r>
    </w:p>
    <w:p>
      <w:pPr>
        <w:pStyle w:val="Heading1"/>
        <w:spacing w:after="140" w:before="320"/>
      </w:pPr>
      <w:r>
        <w:rPr>
          <w:b/>
          <w:bCs/>
          <w:color w:val="012932"/>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b/>
          <w:bCs/>
          <w:color w:val="012932"/>
        </w:rPr>
        <w:t xml:space="preserve">0. Tóm tắt cho Nhà đầu tư (Executive Summary)</w:t>
      </w:r>
    </w:p>
    <w:p>
      <w:pPr>
        <w:spacing w:after="120" w:line="276"/>
      </w:pPr>
      <w:r>
        <w:rPr>
          <w:sz w:val="21"/>
          <w:szCs w:val="21"/>
        </w:rPr>
        <w:t xml:space="preserve">CCHC không phải một trang tin sức khỏe thông thường. Ở góc nhìn truyền thông chiến lược, đây là một </w:t>
      </w:r>
      <w:r>
        <w:rPr>
          <w:b/>
          <w:bCs/>
          <w:sz w:val="21"/>
          <w:szCs w:val="21"/>
        </w:rPr>
        <w:t xml:space="preserve">“website làm chính trị”</w:t>
      </w:r>
      <w:r>
        <w:rPr>
          <w:sz w:val="21"/>
          <w:szCs w:val="21"/>
        </w:rPr>
        <w:t xml:space="preserve">: một đơn vị trực thuộc </w:t>
      </w:r>
      <w:r>
        <w:rPr>
          <w:b/>
          <w:bCs/>
          <w:sz w:val="21"/>
          <w:szCs w:val="21"/>
        </w:rPr>
        <w:t xml:space="preserve">Tổng hội Y học Việt Nam</w:t>
      </w:r>
      <w:r>
        <w:rPr>
          <w:sz w:val="21"/>
          <w:szCs w:val="21"/>
        </w:rPr>
        <w:t xml:space="preserve">, dùng uy tín thể chế để chính danh hóa nội dung và tạo ảnh hưởng chính sách y tế — trong khi bề mặt trải nghiệm vẫn đặt người dân lên hàng đầu.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D9E0" w:sz="2"/>
              <w:left w:val="single" w:color="037B96" w:sz="24"/>
              <w:bottom w:val="single" w:color="BFD9E0" w:sz="2"/>
              <w:right w:val="single" w:color="BFD9E0" w:sz="2"/>
            </w:tcBorders>
            <w:shd w:fill="F2FAFC" w:color="auto" w:val="clear"/>
            <w:tcMar>
              <w:top w:type="dxa" w:w="120"/>
              <w:left w:type="dxa" w:w="160"/>
              <w:bottom w:type="dxa" w:w="120"/>
              <w:right w:type="dxa" w:w="160"/>
            </w:tcMar>
          </w:tcPr>
          <w:p>
            <w:pPr>
              <w:spacing w:after="40"/>
            </w:pPr>
            <w:r>
              <w:rPr>
                <w:b/>
                <w:bCs/>
                <w:color w:val="012932"/>
                <w:sz w:val="20"/>
                <w:szCs w:val="20"/>
              </w:rPr>
              <w:t xml:space="preserve">Chiến lược “Meta-trust” (niềm tin vào cấu trúc)</w:t>
            </w:r>
          </w:p>
          <w:p>
            <w:pPr>
              <w:spacing w:after="0" w:line="264"/>
            </w:pPr>
            <w:r>
              <w:rPr>
                <w:sz w:val="21"/>
                <w:szCs w:val="21"/>
              </w:rPr>
              <w:t xml:space="preserve">CCHC không chỉ yêu cầu người dân tin vào từng thông tin y tế, mà </w:t>
            </w:r>
            <w:r>
              <w:rPr>
                <w:b/>
                <w:bCs/>
                <w:sz w:val="21"/>
                <w:szCs w:val="21"/>
              </w:rPr>
              <w:t xml:space="preserve">công khai toàn bộ bộ khung 4 lớp — Chính danh → Tri thức → Hành động → Minh bạch</w:t>
            </w:r>
            <w:r>
              <w:rPr>
                <w:sz w:val="21"/>
                <w:szCs w:val="21"/>
              </w:rPr>
              <w:t xml:space="preserve"> — để người dùng tin vào chính quy trình tạo ra thông tin. Đây là con hào cạnh tranh: đối thủ sao chép được nội dung, nhưng không sao chép được cấu trúc niềm tin có thật.</w:t>
            </w:r>
          </w:p>
        </w:tc>
      </w:tr>
    </w:tbl>
    <w:p>
      <w:pPr>
        <w:spacing w:after="60"/>
      </w:pPr>
    </w:p>
    <w:p>
      <w:pPr>
        <w:pStyle w:val="Heading3"/>
        <w:spacing w:after="80" w:before="180"/>
      </w:pPr>
      <w:r>
        <w:rPr>
          <w:b/>
          <w:bCs/>
          <w:color w:val="012932"/>
        </w:rPr>
        <w:t xml:space="preserve">Luận điểm đầu tư (Investment thesis)</w:t>
      </w:r>
    </w:p>
    <w:p>
      <w:pPr>
        <w:pStyle w:val="ListParagraph"/>
        <w:numPr>
          <w:ilvl w:val="0"/>
          <w:numId w:val="2"/>
        </w:numPr>
        <w:spacing w:after="60" w:line="270"/>
      </w:pPr>
      <w:r>
        <w:rPr>
          <w:b/>
          <w:bCs/>
          <w:sz w:val="21"/>
          <w:szCs w:val="21"/>
        </w:rPr>
        <w:t xml:space="preserve">Con hào cạnh tranh (moat): </w:t>
      </w:r>
      <w:r>
        <w:rPr>
          <w:sz w:val="21"/>
          <w:szCs w:val="21"/>
        </w:rPr>
        <w:t xml:space="preserve">lớp Chính danh — hậu thuẫn thể chế của Tổng hội — là tài sản không thể sao chép trong ngắn hạn.</w:t>
      </w:r>
    </w:p>
    <w:p>
      <w:pPr>
        <w:pStyle w:val="ListParagraph"/>
        <w:numPr>
          <w:ilvl w:val="0"/>
          <w:numId w:val="2"/>
        </w:numPr>
        <w:spacing w:after="60" w:line="270"/>
      </w:pPr>
      <w:r>
        <w:rPr>
          <w:b/>
          <w:bCs/>
          <w:sz w:val="21"/>
          <w:szCs w:val="21"/>
        </w:rPr>
        <w:t xml:space="preserve">Niềm tin là tài sản chuyển hóa doanh thu: </w:t>
      </w:r>
      <w:r>
        <w:rPr>
          <w:sz w:val="21"/>
          <w:szCs w:val="21"/>
        </w:rPr>
        <w:t xml:space="preserve">uy tín mở ra ba dòng giá trị — quan hệ báo chí, hợp tác/tư vấn cho tổ chức, đào tạo &amp; chuyển giao KHCN có hợp đồng.</w:t>
      </w:r>
    </w:p>
    <w:p>
      <w:pPr>
        <w:pStyle w:val="ListParagraph"/>
        <w:numPr>
          <w:ilvl w:val="0"/>
          <w:numId w:val="2"/>
        </w:numPr>
        <w:spacing w:after="60" w:line="270"/>
      </w:pPr>
      <w:r>
        <w:rPr>
          <w:b/>
          <w:bCs/>
          <w:sz w:val="21"/>
          <w:szCs w:val="21"/>
        </w:rPr>
        <w:t xml:space="preserve">Vòng lặp giá trị bền vững: </w:t>
      </w:r>
      <w:r>
        <w:rPr>
          <w:sz w:val="21"/>
          <w:szCs w:val="21"/>
        </w:rPr>
        <w:t xml:space="preserve">Chuyên gia → Tri thức → Cộng đồng → (minh chứng thu hút thêm) Chuyên gia. Càng nhiều tri thức chính thống càng hút chuyên gia; chuyên gia tạo tri thức; tri thức phục vụ cộng đồng; cộng đồng là bằng chứng hút chuyên gia mới.</w:t>
      </w:r>
    </w:p>
    <w:p>
      <w:pPr>
        <w:pStyle w:val="ListParagraph"/>
        <w:numPr>
          <w:ilvl w:val="0"/>
          <w:numId w:val="2"/>
        </w:numPr>
        <w:spacing w:after="60" w:line="270"/>
      </w:pPr>
      <w:r>
        <w:rPr>
          <w:b/>
          <w:bCs/>
          <w:sz w:val="21"/>
          <w:szCs w:val="21"/>
        </w:rPr>
        <w:t xml:space="preserve">Rủi ro chính là rủi ro niềm tin: </w:t>
      </w:r>
      <w:r>
        <w:rPr>
          <w:sz w:val="21"/>
          <w:szCs w:val="21"/>
        </w:rPr>
        <w:t xml:space="preserve">mọi lỗi minh bạch rút thẳng từ “ngân sách uy tín”. Bộ máy lớp Minh bạch (COI, AI có kiểm soát, nhật ký đính chính) là lớp bảo hiểm cho tài sản cốt lõi.</w:t>
      </w:r>
    </w:p>
    <w:p>
      <w:pPr>
        <w:spacing w:after="120" w:line="276"/>
      </w:pPr>
      <w:r>
        <w:rPr>
          <w:sz w:val="21"/>
          <w:szCs w:val="21"/>
        </w:rPr>
        <w:t xml:space="preserve">Tài liệu tuân theo khung IA của Rosenfeld &amp; Morville (Bối cảnh–Nội dung–Người dùng; bốn hệ thống Tổ chức–Nhãn–Điều hướng–Tìm kiếm), </w:t>
      </w:r>
      <w:r>
        <w:rPr>
          <w:b/>
          <w:bCs/>
          <w:sz w:val="21"/>
          <w:szCs w:val="21"/>
        </w:rPr>
        <w:t xml:space="preserve">tích hợp chiến lược “4 Lớp nang” và quy tắc thiết kế trang bài viết (Attention Economy)</w:t>
      </w:r>
      <w:r>
        <w:rPr>
          <w:sz w:val="21"/>
          <w:szCs w:val="21"/>
        </w:rPr>
        <w:t xml:space="preserve"> từ tài liệu kiến trúc lớp nang của CCHC.</w:t>
      </w:r>
    </w:p>
    <w:p>
      <w:pPr>
        <w:pBdr>
          <w:bottom w:val="single" w:color="BFD9E0" w:sz="6"/>
        </w:pBdr>
        <w:spacing w:after="120" w:before="80"/>
      </w:pPr>
    </w:p>
    <w:p>
      <w:pPr>
        <w:pStyle w:val="Heading1"/>
        <w:spacing w:after="140" w:before="320"/>
      </w:pPr>
      <w:r>
        <w:rPr>
          <w:b/>
          <w:bCs/>
          <w:color w:val="012932"/>
        </w:rPr>
        <w:t xml:space="preserve">1. Khung chiến lược “4 Lớp nang” — xương sống của toàn bộ IA</w:t>
      </w:r>
    </w:p>
    <w:p>
      <w:pPr>
        <w:spacing w:after="120" w:line="276"/>
      </w:pPr>
      <w:r>
        <w:rPr>
          <w:sz w:val="21"/>
          <w:szCs w:val="21"/>
        </w:rPr>
        <w:t xml:space="preserve">Mọi quyết định Kiến trúc Thông tin trong tài liệu này phục vụ một bộ khung bốn lớp xếp chồng. Đây là cách CCHC biến </w:t>
      </w:r>
      <w:r>
        <w:rPr>
          <w:b/>
          <w:bCs/>
          <w:sz w:val="21"/>
          <w:szCs w:val="21"/>
        </w:rPr>
        <w:t xml:space="preserve">“quyền lực hậu thuẫn”</w:t>
      </w:r>
      <w:r>
        <w:rPr>
          <w:sz w:val="21"/>
          <w:szCs w:val="21"/>
        </w:rPr>
        <w:t xml:space="preserve"> từ khẩu hiệu thành cấu trúc vận hành được.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060"/>
      </w:tblGrid>
      <w:tr>
        <w:trPr>
          <w:tblHeader/>
        </w:trPr>
        <w:tc>
          <w:tcPr>
            <w:tcW w:type="dxa" w:w="19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Lớp nang</w:t>
            </w:r>
          </w:p>
        </w:tc>
        <w:tc>
          <w:tcPr>
            <w:tcW w:type="dxa" w:w="34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Dụng ý chiến lược</w:t>
            </w:r>
          </w:p>
        </w:tc>
        <w:tc>
          <w:tcPr>
            <w:tcW w:type="dxa" w:w="406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Hiện diện trên site (IA)</w:t>
            </w:r>
          </w:p>
        </w:tc>
      </w:tr>
      <w:tr>
        <w:trPr>
          <w:tblHeader w:val="false"/>
        </w:trPr>
        <w:tc>
          <w:tcPr>
            <w:tcW w:type="dxa" w:w="19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① Chính danh
(Legitimacy)</w:t>
            </w:r>
          </w:p>
        </w:tc>
        <w:tc>
          <w:tcPr>
            <w:tcW w:type="dxa" w:w="34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Khẳng định tư cách “cánh tay truyền thông của Tổng hội”; là gốc thẩm quyền cho mọi nội dung.</w:t>
            </w:r>
          </w:p>
        </w:tc>
        <w:tc>
          <w:tcPr>
            <w:tcW w:type="dxa" w:w="40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Banner Tổng hội, nhánh “Tổng hội &amp; Chính sách”, “Về CCHC”, Trung tâm báo chí, logo wall</w:t>
            </w:r>
          </w:p>
        </w:tc>
      </w:tr>
      <w:tr>
        <w:trPr>
          <w:tblHeader w:val="false"/>
        </w:trPr>
        <w:tc>
          <w:tcPr>
            <w:tcW w:type="dxa" w:w="19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② Tri thức
(Knowledge)</w:t>
            </w:r>
          </w:p>
        </w:tc>
        <w:tc>
          <w:tcPr>
            <w:tcW w:type="dxa" w:w="34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Chứng minh có nguồn tin cấp một; cung cấp công cụ tra cứu dễ hiểu, an toàn cho người dân.</w:t>
            </w:r>
          </w:p>
        </w:tc>
        <w:tc>
          <w:tcPr>
            <w:tcW w:type="dxa" w:w="40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Thư viện tri thức M1–M4, hồ sơ chủ đề, Tin tức Tổng hội &amp; hội chuyên khoa</w:t>
            </w:r>
          </w:p>
        </w:tc>
      </w:tr>
      <w:tr>
        <w:trPr>
          <w:tblHeader w:val="false"/>
        </w:trPr>
        <w:tc>
          <w:tcPr>
            <w:tcW w:type="dxa" w:w="19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③ Hành động
(Action)</w:t>
            </w:r>
          </w:p>
        </w:tc>
        <w:tc>
          <w:tcPr>
            <w:tcW w:type="dxa" w:w="34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Vinh danh &amp; kết nối chuyên gia; mở kênh hợp tác, đào tạo, chuyển giao KHCN.</w:t>
            </w:r>
          </w:p>
        </w:tc>
        <w:tc>
          <w:tcPr>
            <w:tcW w:type="dxa" w:w="40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Mạng lưới chuyên gia, Hợp tác &amp; Dịch vụ, đào tạo liên kết, đối thoại chính sách</w:t>
            </w:r>
          </w:p>
        </w:tc>
      </w:tr>
      <w:tr>
        <w:trPr>
          <w:tblHeader w:val="false"/>
        </w:trPr>
        <w:tc>
          <w:tcPr>
            <w:tcW w:type="dxa" w:w="19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④ Minh bạch
(Transparency)</w:t>
            </w:r>
          </w:p>
        </w:tc>
        <w:tc>
          <w:tcPr>
            <w:tcW w:type="dxa" w:w="34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Chốt hạ niềm tin bằng cách công khai quy trình &amp; giới hạn quyền lực.</w:t>
            </w:r>
          </w:p>
        </w:tc>
        <w:tc>
          <w:tcPr>
            <w:tcW w:type="dxa" w:w="40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Quy trình 8 bước, tài trợ &amp; COI, AI có kiểm soát, nhật ký đính chính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D9E0" w:sz="2"/>
              <w:left w:val="single" w:color="037B96" w:sz="24"/>
              <w:bottom w:val="single" w:color="BFD9E0" w:sz="2"/>
              <w:right w:val="single" w:color="BFD9E0" w:sz="2"/>
            </w:tcBorders>
            <w:shd w:fill="F2FAFC" w:color="auto" w:val="clear"/>
            <w:tcMar>
              <w:top w:type="dxa" w:w="120"/>
              <w:left w:type="dxa" w:w="160"/>
              <w:bottom w:type="dxa" w:w="120"/>
              <w:right w:type="dxa" w:w="160"/>
            </w:tcMar>
          </w:tcPr>
          <w:p>
            <w:pPr>
              <w:spacing w:after="40"/>
            </w:pPr>
            <w:r>
              <w:rPr>
                <w:b/>
                <w:bCs/>
                <w:color w:val="012932"/>
                <w:sz w:val="20"/>
                <w:szCs w:val="20"/>
              </w:rPr>
              <w:t xml:space="preserve">Triết lý bề mặt: “Dân vận đi trước — Đảng vận theo sau”</w:t>
            </w:r>
          </w:p>
          <w:p>
            <w:pPr>
              <w:spacing w:after="0" w:line="264"/>
            </w:pPr>
            <w:r>
              <w:rPr>
                <w:sz w:val="21"/>
                <w:szCs w:val="21"/>
              </w:rPr>
              <w:t xml:space="preserve">Dù mục tiêu cốt lõi là chính danh hóa và ảnh hưởng chính sách, </w:t>
            </w:r>
            <w:r>
              <w:rPr>
                <w:b/>
                <w:bCs/>
                <w:sz w:val="21"/>
                <w:szCs w:val="21"/>
              </w:rPr>
              <w:t xml:space="preserve">trải nghiệm bề mặt (UX) luôn đặt Nhân dân lên hàng đầu</w:t>
            </w:r>
            <w:r>
              <w:rPr>
                <w:sz w:val="21"/>
                <w:szCs w:val="21"/>
              </w:rPr>
              <w:t xml:space="preserve"> — thanh tìm kiếm nổi bật và ngôn ngữ đại chúng ở trên cùng, lớp chính danh/chính sách đứng sau nâng đỡ. Người dân được phục vụ trước; thẩm quyền thể chế hậu thuẫn phía sau.</w:t>
            </w:r>
          </w:p>
        </w:tc>
      </w:tr>
    </w:tbl>
    <w:p>
      <w:pPr>
        <w:pBdr>
          <w:bottom w:val="single" w:color="BFD9E0" w:sz="6"/>
        </w:pBdr>
        <w:spacing w:after="120" w:before="80"/>
      </w:pPr>
    </w:p>
    <w:p>
      <w:pPr>
        <w:pStyle w:val="Heading1"/>
        <w:spacing w:after="140" w:before="320"/>
      </w:pPr>
      <w:r>
        <w:rPr>
          <w:b/>
          <w:bCs/>
          <w:color w:val="012932"/>
        </w:rPr>
        <w:t xml:space="preserve">2. Ba vòng tròn của Kiến trúc Thông tin</w:t>
      </w:r>
    </w:p>
    <w:p>
      <w:pPr>
        <w:spacing w:after="120" w:line="276"/>
      </w:pPr>
      <w:r>
        <w:rPr>
          <w:sz w:val="21"/>
          <w:szCs w:val="21"/>
        </w:rPr>
        <w:t xml:space="preserve">Theo Rosenfeld &amp; Morville, IA tốt sống ở giao điểm ba vòng tròn </w:t>
      </w:r>
      <w:r>
        <w:rPr>
          <w:b/>
          <w:bCs/>
          <w:sz w:val="21"/>
          <w:szCs w:val="21"/>
        </w:rPr>
        <w:t xml:space="preserve">Context – Content – Users</w:t>
      </w:r>
      <w:r>
        <w:rPr>
          <w:sz w:val="21"/>
          <w:szCs w:val="21"/>
        </w:rPr>
        <w:t xml:space="preserve">.</w:t>
      </w:r>
    </w:p>
    <w:p>
      <w:pPr>
        <w:pStyle w:val="Heading2"/>
        <w:spacing w:after="100" w:before="240"/>
      </w:pPr>
      <w:r>
        <w:rPr>
          <w:b/>
          <w:bCs/>
          <w:color w:val="037B96"/>
        </w:rPr>
        <w:t xml:space="preserve">2.1. Bối cảnh (Context) — nơi quyền lực hậu thuẫn được định nghĩa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Yếu tố</w:t>
            </w:r>
          </w:p>
        </w:tc>
        <w:tc>
          <w:tcPr>
            <w:tcW w:type="dxa" w:w="676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Mô tả</w:t>
            </w:r>
          </w:p>
        </w:tc>
      </w:tr>
      <w:tr>
        <w:trPr>
          <w:tblHeader w:val="false"/>
        </w:trPr>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Sứ mệnh</w:t>
            </w:r>
          </w:p>
        </w:tc>
        <w:tc>
          <w:tcPr>
            <w:tcW w:type="dxa" w:w="67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Trở thành nguồn phát ngôn gốc, đáng tin cậy về sức khỏe — nơi người dân tìm đến trước khi hoang mang vì thông tin trôi nổi.</w:t>
            </w:r>
          </w:p>
        </w:tc>
      </w:tr>
      <w:tr>
        <w:trPr>
          <w:tblHeader w:val="false"/>
        </w:trPr>
        <w:tc>
          <w:tcPr>
            <w:tcW w:type="dxa" w:w="2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Tư cách pháp lý</w:t>
            </w:r>
          </w:p>
        </w:tc>
        <w:tc>
          <w:tcPr>
            <w:tcW w:type="dxa" w:w="67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Đơn vị trực thuộc Tổng hội Y học Việt Nam; phi thương mại; tuân thủ pháp luật về thông tin y tế và dữ liệu cá nhân.</w:t>
            </w:r>
          </w:p>
        </w:tc>
      </w:tr>
      <w:tr>
        <w:trPr>
          <w:tblHeader w:val="false"/>
        </w:trPr>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Bốn tầng bảo chứng (lõi lớp Chính danh)</w:t>
            </w:r>
          </w:p>
        </w:tc>
        <w:tc>
          <w:tcPr>
            <w:tcW w:type="dxa" w:w="67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① Tổng hội Y học Việt Nam (chủ quản); ② các hội chuyên khoa (phản biện); ③ Hội đồng khoa học (thẩm định); ④ chuyên gia ghi rõ tên (chịu trách nhiệm cá nhân).</w:t>
            </w:r>
          </w:p>
        </w:tc>
      </w:tr>
      <w:tr>
        <w:trPr>
          <w:tblHeader w:val="false"/>
        </w:trPr>
        <w:tc>
          <w:tcPr>
            <w:tcW w:type="dxa" w:w="2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Bản chất chính trị</w:t>
            </w:r>
          </w:p>
        </w:tc>
        <w:tc>
          <w:tcPr>
            <w:tcW w:type="dxa" w:w="67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“Cánh tay truyền thông” của Tổng hội, diễn giải chính sách &amp; văn bản luật thành nội dung dân hiểu — đòi hỏi thẩm quyền, trung lập, minh bạch cao hơn trang tin thường.</w:t>
            </w:r>
          </w:p>
        </w:tc>
      </w:tr>
      <w:tr>
        <w:trPr>
          <w:tblHeader w:val="false"/>
        </w:trPr>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Ngân sách niềm tin</w:t>
            </w:r>
          </w:p>
        </w:tc>
        <w:tc>
          <w:tcPr>
            <w:tcW w:type="dxa" w:w="67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Tài sản quý nhất là uy tín thể chế; mọi lỗi minh bạch rút thẳng từ ngân sách này.</w:t>
            </w:r>
          </w:p>
        </w:tc>
      </w:tr>
    </w:tbl>
    <w:p>
      <w:pPr>
        <w:pStyle w:val="Heading2"/>
        <w:spacing w:after="100" w:before="240"/>
      </w:pPr>
      <w:r>
        <w:rPr>
          <w:b/>
          <w:bCs/>
          <w:color w:val="037B96"/>
        </w:rPr>
        <w:t xml:space="preserve">2.2. Nội dung (Content)</w:t>
      </w:r>
    </w:p>
    <w:p>
      <w:pPr>
        <w:spacing w:after="120" w:line="276"/>
      </w:pPr>
      <w:r>
        <w:rPr>
          <w:sz w:val="21"/>
          <w:szCs w:val="21"/>
        </w:rPr>
        <w:t xml:space="preserve">Kiểm kê theo “content facets” của O’Reilly, gắn mỗi nhóm với lớp nang: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60"/>
        <w:gridCol w:w="3400"/>
      </w:tblGrid>
      <w:tr>
        <w:trPr>
          <w:tblHeader/>
        </w:trPr>
        <w:tc>
          <w:tcPr>
            <w:tcW w:type="dxa" w:w="24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Nhóm nội dung</w:t>
            </w:r>
          </w:p>
        </w:tc>
        <w:tc>
          <w:tcPr>
            <w:tcW w:type="dxa" w:w="356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Ví dụ</w:t>
            </w:r>
          </w:p>
        </w:tc>
        <w:tc>
          <w:tcPr>
            <w:tcW w:type="dxa" w:w="34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Lớp nang · Vân tay thẩm quyền</w:t>
            </w:r>
          </w:p>
        </w:tc>
      </w:tr>
      <w:tr>
        <w:trPr>
          <w:tblHeader w:val="false"/>
        </w:trPr>
        <w:tc>
          <w:tcPr>
            <w:tcW w:type="dxa" w:w="24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Tri thức đã thẩm định</w:t>
            </w:r>
          </w:p>
        </w:tc>
        <w:tc>
          <w:tcPr>
            <w:tcW w:type="dxa" w:w="35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Hồ sơ chủ đề, bài M1–M4, video/audio, bóc tách hiểu sai, “khi nào cần đi khám”, FAQ</w:t>
            </w:r>
          </w:p>
        </w:tc>
        <w:tc>
          <w:tcPr>
            <w:tcW w:type="dxa" w:w="34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② Tri thức — nhãn bằng chứng + tên chuyên gia</w:t>
            </w:r>
          </w:p>
        </w:tc>
      </w:tr>
      <w:tr>
        <w:trPr>
          <w:tblHeader w:val="false"/>
        </w:trPr>
        <w:tc>
          <w:tcPr>
            <w:tcW w:type="dxa" w:w="24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Tin tức &amp; Sự kiện</w:t>
            </w:r>
          </w:p>
        </w:tc>
        <w:tc>
          <w:tcPr>
            <w:tcW w:type="dxa" w:w="35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Tin hoạt động, lịch hội thảo, thông cáo, tóm tắt sau sự kiện</w:t>
            </w:r>
          </w:p>
        </w:tc>
        <w:tc>
          <w:tcPr>
            <w:tcW w:type="dxa" w:w="34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② Tri thức — nguồn cấp một, sự kiện có thật</w:t>
            </w:r>
          </w:p>
        </w:tc>
      </w:tr>
      <w:tr>
        <w:trPr>
          <w:tblHeader w:val="false"/>
        </w:trPr>
        <w:tc>
          <w:tcPr>
            <w:tcW w:type="dxa" w:w="24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Tổng hội &amp; Chính sách</w:t>
            </w:r>
          </w:p>
        </w:tc>
        <w:tc>
          <w:tcPr>
            <w:tcW w:type="dxa" w:w="35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Vai trò Tổng hội, hội chuyên khoa, giải mã chính sách, văn bản, đối thoại chính sách</w:t>
            </w:r>
          </w:p>
        </w:tc>
        <w:tc>
          <w:tcPr>
            <w:tcW w:type="dxa" w:w="34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① Chính danh — số hiệu, hiệu lực, link gốc</w:t>
            </w:r>
          </w:p>
        </w:tc>
      </w:tr>
      <w:tr>
        <w:trPr>
          <w:tblHeader w:val="false"/>
        </w:trPr>
        <w:tc>
          <w:tcPr>
            <w:tcW w:type="dxa" w:w="24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Mạng lưới chuyên gia</w:t>
            </w:r>
          </w:p>
        </w:tc>
        <w:tc>
          <w:tcPr>
            <w:tcW w:type="dxa" w:w="35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Thư viện chuyên gia (lọc chuyên khoa), hồ sơ chuyên gia</w:t>
            </w:r>
          </w:p>
        </w:tc>
        <w:tc>
          <w:tcPr>
            <w:tcW w:type="dxa" w:w="34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③ Hành động — học hàm/vị, hội, kê khai COI</w:t>
            </w:r>
          </w:p>
        </w:tc>
      </w:tr>
      <w:tr>
        <w:trPr>
          <w:tblHeader w:val="false"/>
        </w:trPr>
        <w:tc>
          <w:tcPr>
            <w:tcW w:type="dxa" w:w="24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Báo chí</w:t>
            </w:r>
          </w:p>
        </w:tc>
        <w:tc>
          <w:tcPr>
            <w:tcW w:type="dxa" w:w="35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Thông cáo, media kit, chuyên gia phỏng vấn, kiểm chứng &amp; đính chính</w:t>
            </w:r>
          </w:p>
        </w:tc>
        <w:tc>
          <w:tcPr>
            <w:tcW w:type="dxa" w:w="34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① Chính danh — nguồn chính thống, phản hồi nhanh</w:t>
            </w:r>
          </w:p>
        </w:tc>
      </w:tr>
      <w:tr>
        <w:trPr>
          <w:tblHeader w:val="false"/>
        </w:trPr>
        <w:tc>
          <w:tcPr>
            <w:tcW w:type="dxa" w:w="24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Hợp tác &amp; Dịch vụ</w:t>
            </w:r>
          </w:p>
        </w:tc>
        <w:tc>
          <w:tcPr>
            <w:tcW w:type="dxa" w:w="35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Tư vấn truyền thông, phản biện, đào tạo, chương trình cộng đồng, dịch vụ KHCN</w:t>
            </w:r>
          </w:p>
        </w:tc>
        <w:tc>
          <w:tcPr>
            <w:tcW w:type="dxa" w:w="34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③ Hành động — ranh giới độc lập chuyên môn</w:t>
            </w:r>
          </w:p>
        </w:tc>
      </w:tr>
      <w:tr>
        <w:trPr>
          <w:tblHeader w:val="false"/>
        </w:trPr>
        <w:tc>
          <w:tcPr>
            <w:tcW w:type="dxa" w:w="24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Minh bạch &amp; Trách nhiệm</w:t>
            </w:r>
          </w:p>
        </w:tc>
        <w:tc>
          <w:tcPr>
            <w:tcW w:type="dxa" w:w="35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Chính sách biên tập, quy trình 8 bước, tài trợ &amp; COI, AI có kiểm soát, đính chính</w:t>
            </w:r>
          </w:p>
        </w:tc>
        <w:tc>
          <w:tcPr>
            <w:tcW w:type="dxa" w:w="34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④ Minh bạch — bộ máy giới hạn quyền lực</w:t>
            </w:r>
          </w:p>
        </w:tc>
      </w:tr>
      <w:tr>
        <w:trPr>
          <w:tblHeader w:val="false"/>
        </w:trPr>
        <w:tc>
          <w:tcPr>
            <w:tcW w:type="dxa" w:w="24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Về CCHC</w:t>
            </w:r>
          </w:p>
        </w:tc>
        <w:tc>
          <w:tcPr>
            <w:tcW w:type="dxa" w:w="35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Tư cách pháp lý, quan hệ Tổng hội, tầm nhìn–sứ mệnh, hội đồng khoa học, năng lực lõi</w:t>
            </w:r>
          </w:p>
        </w:tc>
        <w:tc>
          <w:tcPr>
            <w:tcW w:type="dxa" w:w="34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① Chính danh — tuyên bố hậu thuẫn cấp cao nhất</w:t>
            </w:r>
          </w:p>
        </w:tc>
      </w:tr>
    </w:tbl>
    <w:p>
      <w:pPr>
        <w:spacing w:after="120" w:line="276"/>
      </w:pPr>
      <w:r>
        <w:rPr>
          <w:b/>
          <w:bCs/>
          <w:sz w:val="21"/>
          <w:szCs w:val="21"/>
        </w:rPr>
        <w:t xml:space="preserve">Content model then chốt — “Đơn vị nội dung có thẩm quyền”: </w:t>
      </w:r>
      <w:r>
        <w:rPr>
          <w:sz w:val="21"/>
          <w:szCs w:val="21"/>
        </w:rPr>
        <w:t xml:space="preserve">mỗi bài mang thuộc tính bắt buộc — chủ đề · mức bằng chứng M1–M4 · chuyên gia phản biện (tên) · ngày thẩm định · khai báo tài trợ/COI · câu miễn trừ y tế · trạng thái đính chính.</w:t>
      </w:r>
    </w:p>
    <w:p>
      <w:pPr>
        <w:pStyle w:val="Heading2"/>
        <w:spacing w:after="100" w:before="240"/>
      </w:pPr>
      <w:r>
        <w:rPr>
          <w:b/>
          <w:bCs/>
          <w:color w:val="037B96"/>
        </w:rPr>
        <w:t xml:space="preserve">2.3. Người dùng (Users) — Ma trận 8 nhóm &amp; dụng ý chiến lược</w:t>
      </w:r>
    </w:p>
    <w:p>
      <w:pPr>
        <w:spacing w:after="120" w:line="276"/>
      </w:pPr>
      <w:r>
        <w:rPr>
          <w:sz w:val="21"/>
          <w:szCs w:val="21"/>
        </w:rPr>
        <w:t xml:space="preserve">Mở rộng từ tài liệu lớp nang: tám nhóm sử dụng, mỗi nhóm là một “cửa” tạo giá trị và gắn với một lớp nang cụ thể.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300"/>
        <w:gridCol w:w="2160"/>
      </w:tblGrid>
      <w:tr>
        <w:trPr>
          <w:tblHeader/>
        </w:trPr>
        <w:tc>
          <w:tcPr>
            <w:tcW w:type="dxa" w:w="19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Nhóm</w:t>
            </w:r>
          </w:p>
        </w:tc>
        <w:tc>
          <w:tcPr>
            <w:tcW w:type="dxa" w:w="53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Dụng ý chiến lược &amp; hành động chính</w:t>
            </w:r>
          </w:p>
        </w:tc>
        <w:tc>
          <w:tcPr>
            <w:tcW w:type="dxa" w:w="216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Lớp nang IA</w:t>
            </w:r>
          </w:p>
        </w:tc>
      </w:tr>
      <w:tr>
        <w:trPr>
          <w:tblHeader w:val="false"/>
        </w:trPr>
        <w:tc>
          <w:tcPr>
            <w:tcW w:type="dxa" w:w="19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① Người dân</w:t>
            </w:r>
          </w:p>
        </w:tc>
        <w:tc>
          <w:tcPr>
            <w:tcW w:type="dxa" w:w="53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Dân vận: giảm ma sát nhận thức; công cụ tra cứu y khoa dễ hiểu, an toàn.</w:t>
            </w:r>
          </w:p>
        </w:tc>
        <w:tc>
          <w:tcPr>
            <w:tcW w:type="dxa" w:w="21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Tri thức (Thư viện M1–M4)</w:t>
            </w:r>
          </w:p>
        </w:tc>
      </w:tr>
      <w:tr>
        <w:trPr>
          <w:tblHeader w:val="false"/>
        </w:trPr>
        <w:tc>
          <w:tcPr>
            <w:tcW w:type="dxa" w:w="19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② Báo chí</w:t>
            </w:r>
          </w:p>
        </w:tc>
        <w:tc>
          <w:tcPr>
            <w:tcW w:type="dxa" w:w="53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Khuếch đại: biến báo chí thành đối tác qua SLA phản hồi nhanh &amp; media kit “sạch”.</w:t>
            </w:r>
          </w:p>
        </w:tc>
        <w:tc>
          <w:tcPr>
            <w:tcW w:type="dxa" w:w="21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Chính danh (Trung tâm báo chí)</w:t>
            </w:r>
          </w:p>
        </w:tc>
      </w:tr>
      <w:tr>
        <w:trPr>
          <w:tblHeader w:val="false"/>
        </w:trPr>
        <w:tc>
          <w:tcPr>
            <w:tcW w:type="dxa" w:w="19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③ Chuyên gia</w:t>
            </w:r>
          </w:p>
        </w:tc>
        <w:tc>
          <w:tcPr>
            <w:tcW w:type="dxa" w:w="53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Tài sản lõi: vinh danh học thuật &amp; chính trực; không gian đóng góp phi thương mại.</w:t>
            </w:r>
          </w:p>
        </w:tc>
        <w:tc>
          <w:tcPr>
            <w:tcW w:type="dxa" w:w="21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Hành động (Mạng lưới chuyên gia)</w:t>
            </w:r>
          </w:p>
        </w:tc>
      </w:tr>
      <w:tr>
        <w:trPr>
          <w:tblHeader w:val="false"/>
        </w:trPr>
        <w:tc>
          <w:tcPr>
            <w:tcW w:type="dxa" w:w="19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④ Tổng hội</w:t>
            </w:r>
          </w:p>
        </w:tc>
        <w:tc>
          <w:tcPr>
            <w:tcW w:type="dxa" w:w="53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Chính danh: khẳng định CCHC là cánh tay nối dài của hệ thống y học dân sự cao nhất.</w:t>
            </w:r>
          </w:p>
        </w:tc>
        <w:tc>
          <w:tcPr>
            <w:tcW w:type="dxa" w:w="21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Chính danh (Banner &amp; tin Tổng hội)</w:t>
            </w:r>
          </w:p>
        </w:tc>
      </w:tr>
      <w:tr>
        <w:trPr>
          <w:tblHeader w:val="false"/>
        </w:trPr>
        <w:tc>
          <w:tcPr>
            <w:tcW w:type="dxa" w:w="19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⑤ Viện / Trường</w:t>
            </w:r>
          </w:p>
        </w:tc>
        <w:tc>
          <w:tcPr>
            <w:tcW w:type="dxa" w:w="53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Liên kết: kết nối đào tạo &amp; nghiên cứu ứng dụng; rạch ròi vai trò quảng bá, không tự cấp bằng.</w:t>
            </w:r>
          </w:p>
        </w:tc>
        <w:tc>
          <w:tcPr>
            <w:tcW w:type="dxa" w:w="21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Hành động (Đào tạo liên kết)</w:t>
            </w:r>
          </w:p>
        </w:tc>
      </w:tr>
      <w:tr>
        <w:trPr>
          <w:tblHeader w:val="false"/>
        </w:trPr>
        <w:tc>
          <w:tcPr>
            <w:tcW w:type="dxa" w:w="19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⑥ Doanh nghiệp</w:t>
            </w:r>
          </w:p>
        </w:tc>
        <w:tc>
          <w:tcPr>
            <w:tcW w:type="dxa" w:w="53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Nguồn lực: ranh giới “kết luận chuyên môn không mua được”; minh bạch hóa tài trợ.</w:t>
            </w:r>
          </w:p>
        </w:tc>
        <w:tc>
          <w:tcPr>
            <w:tcW w:type="dxa" w:w="21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Minh bạch (Chính sách tài trợ)</w:t>
            </w:r>
          </w:p>
        </w:tc>
      </w:tr>
      <w:tr>
        <w:trPr>
          <w:tblHeader w:val="false"/>
        </w:trPr>
        <w:tc>
          <w:tcPr>
            <w:tcW w:type="dxa" w:w="19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⑦ Cơ quan chính sách</w:t>
            </w:r>
          </w:p>
        </w:tc>
        <w:tc>
          <w:tcPr>
            <w:tcW w:type="dxa" w:w="53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Ảnh hưởng: chuyển văn bản luật thành đồ họa dễ hiểu; đưa tiếng nói chuyên gia vào dự thảo.</w:t>
            </w:r>
          </w:p>
        </w:tc>
        <w:tc>
          <w:tcPr>
            <w:tcW w:type="dxa" w:w="21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Chính danh (Đối thoại chính sách)</w:t>
            </w:r>
          </w:p>
        </w:tc>
      </w:tr>
      <w:tr>
        <w:trPr>
          <w:tblHeader w:val="false"/>
        </w:trPr>
        <w:tc>
          <w:tcPr>
            <w:tcW w:type="dxa" w:w="19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⑧ Đối tác nền tảng</w:t>
            </w:r>
          </w:p>
        </w:tc>
        <w:tc>
          <w:tcPr>
            <w:tcW w:type="dxa" w:w="53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Hạ tầng: tận dụng công nghệ nhưng tách bạch tuyệt đối quyền công bố nội dung chuyên môn.</w:t>
            </w:r>
          </w:p>
        </w:tc>
        <w:tc>
          <w:tcPr>
            <w:tcW w:type="dxa" w:w="21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Hành động (Hợp tác công nghệ)</w:t>
            </w:r>
          </w:p>
        </w:tc>
      </w:tr>
    </w:tbl>
    <w:p>
      <w:pPr>
        <w:spacing w:after="120" w:line="276"/>
      </w:pPr>
      <w:r>
        <w:rPr>
          <w:b/>
          <w:bCs/>
          <w:sz w:val="21"/>
          <w:szCs w:val="21"/>
        </w:rPr>
        <w:t xml:space="preserve">Nguyên tắc xuyên suốt: </w:t>
      </w:r>
      <w:r>
        <w:rPr>
          <w:sz w:val="21"/>
          <w:szCs w:val="21"/>
        </w:rPr>
        <w:t xml:space="preserve">thiết kế cho người đọc hoài nghi. Mọi khẳng định phải kèm bằng chứng về ai đứng sau nó.</w:t>
      </w:r>
    </w:p>
    <w:p>
      <w:pPr>
        <w:pBdr>
          <w:bottom w:val="single" w:color="BFD9E0" w:sz="6"/>
        </w:pBdr>
        <w:spacing w:after="120" w:before="80"/>
      </w:pPr>
    </w:p>
    <w:p>
      <w:pPr>
        <w:pStyle w:val="Heading1"/>
        <w:spacing w:after="140" w:before="320"/>
      </w:pPr>
      <w:r>
        <w:rPr>
          <w:b/>
          <w:bCs/>
          <w:color w:val="012932"/>
        </w:rPr>
        <w:t xml:space="preserve">3. Hệ thống Tổ chức (Organization Systems)</w:t>
      </w:r>
    </w:p>
    <w:p>
      <w:pPr>
        <w:pStyle w:val="Heading2"/>
        <w:spacing w:after="100" w:before="240"/>
      </w:pPr>
      <w:r>
        <w:rPr>
          <w:b/>
          <w:bCs/>
          <w:color w:val="037B96"/>
        </w:rPr>
        <w:t xml:space="preserve">3.1. Sơ đồ tổ chức — Hybrid định hướng thẩm quyền</w:t>
      </w:r>
    </w:p>
    <w:p>
      <w:pPr>
        <w:pStyle w:val="ListParagraph"/>
        <w:numPr>
          <w:ilvl w:val="0"/>
          <w:numId w:val="2"/>
        </w:numPr>
        <w:spacing w:after="60" w:line="270"/>
      </w:pPr>
      <w:r>
        <w:rPr>
          <w:b/>
          <w:bCs/>
          <w:sz w:val="21"/>
          <w:szCs w:val="21"/>
        </w:rPr>
        <w:t xml:space="preserve">Theo chủ đề (topical): </w:t>
      </w:r>
      <w:r>
        <w:rPr>
          <w:sz w:val="21"/>
          <w:szCs w:val="21"/>
        </w:rPr>
        <w:t xml:space="preserve">Tri thức, Chủ đề sức khỏe — phục vụ người dân.</w:t>
      </w:r>
    </w:p>
    <w:p>
      <w:pPr>
        <w:pStyle w:val="ListParagraph"/>
        <w:numPr>
          <w:ilvl w:val="0"/>
          <w:numId w:val="2"/>
        </w:numPr>
        <w:spacing w:after="60" w:line="270"/>
      </w:pPr>
      <w:r>
        <w:rPr>
          <w:b/>
          <w:bCs/>
          <w:sz w:val="21"/>
          <w:szCs w:val="21"/>
        </w:rPr>
        <w:t xml:space="preserve">Theo đối tượng (audience): </w:t>
      </w:r>
      <w:r>
        <w:rPr>
          <w:sz w:val="21"/>
          <w:szCs w:val="21"/>
        </w:rPr>
        <w:t xml:space="preserve">Báo chí, Hợp tác &amp; Dịch vụ.</w:t>
      </w:r>
    </w:p>
    <w:p>
      <w:pPr>
        <w:pStyle w:val="ListParagraph"/>
        <w:numPr>
          <w:ilvl w:val="0"/>
          <w:numId w:val="2"/>
        </w:numPr>
        <w:spacing w:after="60" w:line="270"/>
      </w:pPr>
      <w:r>
        <w:rPr>
          <w:b/>
          <w:bCs/>
          <w:sz w:val="21"/>
          <w:szCs w:val="21"/>
        </w:rPr>
        <w:t xml:space="preserve">Theo thẩm quyền (organizational-authority): </w:t>
      </w:r>
      <w:r>
        <w:rPr>
          <w:sz w:val="21"/>
          <w:szCs w:val="21"/>
        </w:rPr>
        <w:t xml:space="preserve">Tổng hội &amp; Chính sách, Minh bạch, Về CCHC — nâng lên mục cấp 1 thay vì giấu ở footer.</w:t>
      </w:r>
    </w:p>
    <w:p>
      <w:pPr>
        <w:pStyle w:val="Heading2"/>
        <w:spacing w:after="100" w:before="240"/>
      </w:pPr>
      <w:r>
        <w:rPr>
          <w:b/>
          <w:bCs/>
          <w:color w:val="037B96"/>
        </w:rPr>
        <w:t xml:space="preserve">3.2. Cấu trúc 10 khối trang chủ &amp; dụng ý (mạch lớp nang)</w:t>
      </w:r>
    </w:p>
    <w:p>
      <w:pPr>
        <w:spacing w:after="120" w:line="276"/>
      </w:pPr>
      <w:r>
        <w:rPr>
          <w:sz w:val="21"/>
          <w:szCs w:val="21"/>
        </w:rPr>
        <w:t xml:space="preserve">Trang chủ được dàn theo trình tự tâm lý: phục vụ dân trước → dựng chính danh → chứng minh tri thức → mở hành động → chốt minh bạch.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tblHeader/>
        </w:trPr>
        <w:tc>
          <w:tcPr>
            <w:tcW w:type="dxa" w:w="26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Khối</w:t>
            </w:r>
          </w:p>
        </w:tc>
        <w:tc>
          <w:tcPr>
            <w:tcW w:type="dxa" w:w="476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Dụng ý</w:t>
            </w:r>
          </w:p>
        </w:tc>
        <w:tc>
          <w:tcPr>
            <w:tcW w:type="dxa" w:w="20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Lớp nang</w:t>
            </w:r>
          </w:p>
        </w:tc>
      </w:tr>
      <w:tr>
        <w:trPr>
          <w:tblHeader w:val="false"/>
        </w:trPr>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1 · Thanh tìm kiếm &amp; Header</w:t>
            </w:r>
          </w:p>
        </w:tc>
        <w:tc>
          <w:tcPr>
            <w:tcW w:type="dxa" w:w="47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Đặt Nhân dân là trung tâm; phục vụ nhu cầu cấp thiết ngay để tạo thiện cảm.</w:t>
            </w:r>
          </w:p>
        </w:tc>
        <w:tc>
          <w:tcPr>
            <w:tcW w:type="dxa" w:w="20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Tri thức</w:t>
            </w:r>
          </w:p>
        </w:tc>
      </w:tr>
      <w:tr>
        <w:trPr>
          <w:tblHeader w:val="false"/>
        </w:trPr>
        <w:tc>
          <w:tcPr>
            <w:tcW w:type="dxa" w:w="2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2 · Thông điệp định vị</w:t>
            </w:r>
          </w:p>
        </w:tc>
        <w:tc>
          <w:tcPr>
            <w:tcW w:type="dxa" w:w="47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Tuyên ngôn sứ mệnh; xác lập bản sắc điềm tĩnh, tin cậy.</w:t>
            </w:r>
          </w:p>
        </w:tc>
        <w:tc>
          <w:tcPr>
            <w:tcW w:type="dxa" w:w="20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Chính danh</w:t>
            </w:r>
          </w:p>
        </w:tc>
      </w:tr>
      <w:tr>
        <w:trPr>
          <w:tblHeader w:val="false"/>
        </w:trPr>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3 · Banner Tổng hội Y học VN</w:t>
            </w:r>
          </w:p>
        </w:tc>
        <w:tc>
          <w:tcPr>
            <w:tcW w:type="dxa" w:w="47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Lớp chính danh cốt lõi; vị trí trang trọng nhất, link trực tiếp = “bằng chứng tin cậy”.</w:t>
            </w:r>
          </w:p>
        </w:tc>
        <w:tc>
          <w:tcPr>
            <w:tcW w:type="dxa" w:w="20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Chính danh</w:t>
            </w:r>
          </w:p>
        </w:tc>
      </w:tr>
      <w:tr>
        <w:trPr>
          <w:tblHeader w:val="false"/>
        </w:trPr>
        <w:tc>
          <w:tcPr>
            <w:tcW w:type="dxa" w:w="2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4 · Mạng lưới đối tác (Logo Wall)</w:t>
            </w:r>
          </w:p>
        </w:tc>
        <w:tc>
          <w:tcPr>
            <w:tcW w:type="dxa" w:w="47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Khuếch đại niềm tin bên thứ ba — hiệu ứng “chứng chỉ tín nhiệm xã hội”.</w:t>
            </w:r>
          </w:p>
        </w:tc>
        <w:tc>
          <w:tcPr>
            <w:tcW w:type="dxa" w:w="20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Chính danh</w:t>
            </w:r>
          </w:p>
        </w:tc>
      </w:tr>
      <w:tr>
        <w:trPr>
          <w:tblHeader w:val="false"/>
        </w:trPr>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5 · Hoạt động Tổng hội &amp; hội CK</w:t>
            </w:r>
          </w:p>
        </w:tc>
        <w:tc>
          <w:tcPr>
            <w:tcW w:type="dxa" w:w="47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Dòng chảy tri thức đầu vào; chứng minh nguồn tin cấp một, không thứ cấp.</w:t>
            </w:r>
          </w:p>
        </w:tc>
        <w:tc>
          <w:tcPr>
            <w:tcW w:type="dxa" w:w="20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Tri thức</w:t>
            </w:r>
          </w:p>
        </w:tc>
      </w:tr>
      <w:tr>
        <w:trPr>
          <w:tblHeader w:val="false"/>
        </w:trPr>
        <w:tc>
          <w:tcPr>
            <w:tcW w:type="dxa" w:w="2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6 · Mạng lưới chuyên gia</w:t>
            </w:r>
          </w:p>
        </w:tc>
        <w:tc>
          <w:tcPr>
            <w:tcW w:type="dxa" w:w="47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Tài sản trí tuệ nội tại; công khai danh tính &amp; COI để bảo chứng bài viết.</w:t>
            </w:r>
          </w:p>
        </w:tc>
        <w:tc>
          <w:tcPr>
            <w:tcW w:type="dxa" w:w="20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Hành động</w:t>
            </w:r>
          </w:p>
        </w:tc>
      </w:tr>
      <w:tr>
        <w:trPr>
          <w:tblHeader w:val="false"/>
        </w:trPr>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7 · Tin tức &amp; Sự kiện</w:t>
            </w:r>
          </w:p>
        </w:tc>
        <w:tc>
          <w:tcPr>
            <w:tcW w:type="dxa" w:w="47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Điểm hội tụ hệ sinh thái; biến sự kiện thành “case study” năng lực.</w:t>
            </w:r>
          </w:p>
        </w:tc>
        <w:tc>
          <w:tcPr>
            <w:tcW w:type="dxa" w:w="20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Tri thức</w:t>
            </w:r>
          </w:p>
        </w:tc>
      </w:tr>
      <w:tr>
        <w:trPr>
          <w:tblHeader w:val="false"/>
        </w:trPr>
        <w:tc>
          <w:tcPr>
            <w:tcW w:type="dxa" w:w="2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8 · Tư vấn &amp; Chuyển giao KHCN</w:t>
            </w:r>
          </w:p>
        </w:tc>
        <w:tc>
          <w:tcPr>
            <w:tcW w:type="dxa" w:w="47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Lớp dịch vụ; đặt sau cùng vì chỉ thuyết phục khi chính danh đã vững.</w:t>
            </w:r>
          </w:p>
        </w:tc>
        <w:tc>
          <w:tcPr>
            <w:tcW w:type="dxa" w:w="20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Hành động</w:t>
            </w:r>
          </w:p>
        </w:tc>
      </w:tr>
      <w:tr>
        <w:trPr>
          <w:tblHeader w:val="false"/>
        </w:trPr>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9 · Minh bạch &amp; Trách nhiệm</w:t>
            </w:r>
          </w:p>
        </w:tc>
        <w:tc>
          <w:tcPr>
            <w:tcW w:type="dxa" w:w="47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Chốt hạ niềm tin; công khai quy trình 8 bước &amp; nhật ký đính chính.</w:t>
            </w:r>
          </w:p>
        </w:tc>
        <w:tc>
          <w:tcPr>
            <w:tcW w:type="dxa" w:w="20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Minh bạch</w:t>
            </w:r>
          </w:p>
        </w:tc>
      </w:tr>
      <w:tr>
        <w:trPr>
          <w:tblHeader w:val="false"/>
        </w:trPr>
        <w:tc>
          <w:tcPr>
            <w:tcW w:type="dxa" w:w="2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10 · Đối tác &amp; Trách nhiệm</w:t>
            </w:r>
          </w:p>
        </w:tc>
        <w:tc>
          <w:tcPr>
            <w:tcW w:type="dxa" w:w="47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Ranh giới quyền lực; bảo vệ độc lập chuyên môn, đặt kỳ vọng pháp lý mềm.</w:t>
            </w:r>
          </w:p>
        </w:tc>
        <w:tc>
          <w:tcPr>
            <w:tcW w:type="dxa" w:w="20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Minh bạch</w:t>
            </w:r>
          </w:p>
        </w:tc>
      </w:tr>
    </w:tbl>
    <w:p>
      <w:pPr>
        <w:pStyle w:val="Heading2"/>
        <w:spacing w:after="100" w:before="240"/>
      </w:pPr>
      <w:r>
        <w:rPr>
          <w:b/>
          <w:bCs/>
          <w:color w:val="037B96"/>
        </w:rPr>
        <w:t xml:space="preserve">3.3. Sơ đồ trang (Blueprint / Sitemap)</w:t>
      </w:r>
    </w:p>
    <w:p>
      <w:pPr>
        <w:pBdr>
          <w:top w:val="single" w:color="BFD9E0" w:sz="4"/>
          <w:bottom w:val="single" w:color="BFD9E0" w:sz="4"/>
          <w:left w:val="single" w:color="BFD9E0" w:sz="4"/>
          <w:right w:val="single" w:color="BFD9E0" w:sz="4"/>
        </w:pBdr>
        <w:shd w:fill="F2FAFC" w:color="auto" w:val="clear"/>
        <w:spacing w:after="120" w:before="60" w:line="250"/>
      </w:pPr>
      <w:r>
        <w:rPr>
          <w:rFonts w:ascii="Consolas" w:cs="Consolas" w:eastAsia="Consolas" w:hAnsi="Consolas"/>
          <w:color w:val="11333A"/>
          <w:sz w:val="18"/>
          <w:szCs w:val="18"/>
        </w:rPr>
        <w:t xml:space="preserve">CCHC (Trang chủ)</w:t>
      </w:r>
      <w:r>
        <w:rPr>
          <w:rFonts w:ascii="Consolas" w:cs="Consolas" w:eastAsia="Consolas" w:hAnsi="Consolas"/>
          <w:color w:val="11333A"/>
          <w:sz w:val="18"/>
          <w:szCs w:val="18"/>
        </w:rPr>
        <w:br/>
        <w:t xml:space="preserve">  [Utility: Bản đồ nội dung · Liên hệ · Tìm kiếm · Đăng nhập · Đăng ký]</w:t>
      </w:r>
      <w:r>
        <w:rPr>
          <w:rFonts w:ascii="Consolas" w:cs="Consolas" w:eastAsia="Consolas" w:hAnsi="Consolas"/>
          <w:color w:val="11333A"/>
          <w:sz w:val="18"/>
          <w:szCs w:val="18"/>
        </w:rPr>
        <w:br/>
        <w:t xml:space="preserve"> </w:t>
      </w:r>
      <w:r>
        <w:rPr>
          <w:rFonts w:ascii="Consolas" w:cs="Consolas" w:eastAsia="Consolas" w:hAnsi="Consolas"/>
          <w:color w:val="11333A"/>
          <w:sz w:val="18"/>
          <w:szCs w:val="18"/>
        </w:rPr>
        <w:br/>
        <w:t xml:space="preserve">1. TRI THỨC ........................ ② Tri thức</w:t>
      </w:r>
      <w:r>
        <w:rPr>
          <w:rFonts w:ascii="Consolas" w:cs="Consolas" w:eastAsia="Consolas" w:hAnsi="Consolas"/>
          <w:color w:val="11333A"/>
          <w:sz w:val="18"/>
          <w:szCs w:val="18"/>
        </w:rPr>
        <w:br/>
        <w:t xml:space="preserve">2. TIN TỨC &amp; SỰ KIỆN .............. ② Tri thức</w:t>
      </w:r>
      <w:r>
        <w:rPr>
          <w:rFonts w:ascii="Consolas" w:cs="Consolas" w:eastAsia="Consolas" w:hAnsi="Consolas"/>
          <w:color w:val="11333A"/>
          <w:sz w:val="18"/>
          <w:szCs w:val="18"/>
        </w:rPr>
        <w:br/>
        <w:t xml:space="preserve">3. TỔNG HỘI &amp; CHÍNH SÁCH  ★ ....... ① Chính danh</w:t>
      </w:r>
      <w:r>
        <w:rPr>
          <w:rFonts w:ascii="Consolas" w:cs="Consolas" w:eastAsia="Consolas" w:hAnsi="Consolas"/>
          <w:color w:val="11333A"/>
          <w:sz w:val="18"/>
          <w:szCs w:val="18"/>
        </w:rPr>
        <w:br/>
        <w:t xml:space="preserve">4. BÁO CHÍ ........................ ① Chính danh</w:t>
      </w:r>
      <w:r>
        <w:rPr>
          <w:rFonts w:ascii="Consolas" w:cs="Consolas" w:eastAsia="Consolas" w:hAnsi="Consolas"/>
          <w:color w:val="11333A"/>
          <w:sz w:val="18"/>
          <w:szCs w:val="18"/>
        </w:rPr>
        <w:br/>
        <w:t xml:space="preserve">5. HỢP TÁC &amp; DỊCH VỤ .............. ③ Hành động</w:t>
      </w:r>
      <w:r>
        <w:rPr>
          <w:rFonts w:ascii="Consolas" w:cs="Consolas" w:eastAsia="Consolas" w:hAnsi="Consolas"/>
          <w:color w:val="11333A"/>
          <w:sz w:val="18"/>
          <w:szCs w:val="18"/>
        </w:rPr>
        <w:br/>
        <w:t xml:space="preserve">6. MINH BẠCH  ★ ................... ④ Minh bạch</w:t>
      </w:r>
      <w:r>
        <w:rPr>
          <w:rFonts w:ascii="Consolas" w:cs="Consolas" w:eastAsia="Consolas" w:hAnsi="Consolas"/>
          <w:color w:val="11333A"/>
          <w:sz w:val="18"/>
          <w:szCs w:val="18"/>
        </w:rPr>
        <w:br/>
        <w:t xml:space="preserve">7. VỀ CCHC  ★ .................... ① Chính danh</w:t>
      </w:r>
      <w:r>
        <w:rPr>
          <w:rFonts w:ascii="Consolas" w:cs="Consolas" w:eastAsia="Consolas" w:hAnsi="Consolas"/>
          <w:color w:val="11333A"/>
          <w:sz w:val="18"/>
          <w:szCs w:val="18"/>
        </w:rPr>
        <w:br/>
        <w:t xml:space="preserve"> </w:t>
      </w:r>
      <w:r>
        <w:rPr>
          <w:rFonts w:ascii="Consolas" w:cs="Consolas" w:eastAsia="Consolas" w:hAnsi="Consolas"/>
          <w:color w:val="11333A"/>
          <w:sz w:val="18"/>
          <w:szCs w:val="18"/>
        </w:rPr>
        <w:br/>
        <w:t xml:space="preserve">★ = nhánh mang tải trọng "quyền lực hậu thuẫn" (3/7 mục cấp 1 — có chủ đích).</w:t>
      </w:r>
    </w:p>
    <w:p>
      <w:pPr>
        <w:pBdr>
          <w:bottom w:val="single" w:color="BFD9E0" w:sz="6"/>
        </w:pBdr>
        <w:spacing w:after="120" w:before="80"/>
      </w:pPr>
    </w:p>
    <w:p>
      <w:pPr>
        <w:pStyle w:val="Heading1"/>
        <w:spacing w:after="140" w:before="320"/>
      </w:pPr>
      <w:r>
        <w:rPr>
          <w:b/>
          <w:bCs/>
          <w:color w:val="012932"/>
        </w:rPr>
        <w:t xml:space="preserve">4. Hệ thống Nhãn (Labeling Systems)</w:t>
      </w:r>
    </w:p>
    <w:p>
      <w:pPr>
        <w:spacing w:after="120" w:line="276"/>
      </w:pPr>
      <w:r>
        <w:rPr>
          <w:sz w:val="21"/>
          <w:szCs w:val="21"/>
        </w:rPr>
        <w:t xml:space="preserve">Nhãn vừa “nói ngôn ngữ người dùng”, vừa phát tín hiệu thẩm quyền. Song ngữ có kiểm soát: từ dân hiểu cho người dân, từ vựng thể chế chuẩn xác cho trục chính danh.</w:t>
      </w:r>
    </w:p>
    <w:p>
      <w:pPr>
        <w:pStyle w:val="Heading3"/>
        <w:spacing w:after="80" w:before="180"/>
      </w:pPr>
      <w:r>
        <w:rPr>
          <w:b/>
          <w:bCs/>
          <w:color w:val="012932"/>
        </w:rPr>
        <w:t xml:space="preserve">4.1. Hệ nhãn thẩm quyền (trọng tâm)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360"/>
        <w:gridCol w:w="2000"/>
      </w:tblGrid>
      <w:tr>
        <w:trPr>
          <w:tblHeader/>
        </w:trPr>
        <w:tc>
          <w:tcPr>
            <w:tcW w:type="dxa" w:w="30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Nhãn / Tín hiệu</w:t>
            </w:r>
          </w:p>
        </w:tc>
        <w:tc>
          <w:tcPr>
            <w:tcW w:type="dxa" w:w="436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Ý nghĩa</w:t>
            </w:r>
          </w:p>
        </w:tc>
        <w:tc>
          <w:tcPr>
            <w:tcW w:type="dxa" w:w="20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Vị trí</w:t>
            </w:r>
          </w:p>
        </w:tc>
      </w:tr>
      <w:tr>
        <w:trPr>
          <w:tblHeader w:val="false"/>
        </w:trPr>
        <w:tc>
          <w:tcPr>
            <w:tcW w:type="dxa" w:w="30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Trust strip</w:t>
            </w:r>
          </w:p>
        </w:tc>
        <w:tc>
          <w:tcPr>
            <w:tcW w:type="dxa" w:w="43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Dải xác nhận “nguồn chính thống”</w:t>
            </w:r>
          </w:p>
        </w:tc>
        <w:tc>
          <w:tcPr>
            <w:tcW w:type="dxa" w:w="20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Trang chủ, đầu bài</w:t>
            </w:r>
          </w:p>
        </w:tc>
      </w:tr>
      <w:tr>
        <w:trPr>
          <w:tblHeader w:val="false"/>
        </w:trPr>
        <w:tc>
          <w:tcPr>
            <w:tcW w:type="dxa" w:w="30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Nhãn mức bằng chứng M1–M4</w:t>
            </w:r>
          </w:p>
        </w:tc>
        <w:tc>
          <w:tcPr>
            <w:tcW w:type="dxa" w:w="43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Phân loại độ mạnh bằng chứng</w:t>
            </w:r>
          </w:p>
        </w:tc>
        <w:tc>
          <w:tcPr>
            <w:tcW w:type="dxa" w:w="20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Thẻ bài, bộ lọc, đầu bài</w:t>
            </w:r>
          </w:p>
        </w:tc>
      </w:tr>
      <w:tr>
        <w:trPr>
          <w:tblHeader w:val="false"/>
        </w:trPr>
        <w:tc>
          <w:tcPr>
            <w:tcW w:type="dxa" w:w="30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Badge “đã thẩm định”</w:t>
            </w:r>
          </w:p>
        </w:tc>
        <w:tc>
          <w:tcPr>
            <w:tcW w:type="dxa" w:w="43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Đã qua hội đồng khoa học</w:t>
            </w:r>
          </w:p>
        </w:tc>
        <w:tc>
          <w:tcPr>
            <w:tcW w:type="dxa" w:w="20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Thẻ nội dung</w:t>
            </w:r>
          </w:p>
        </w:tc>
      </w:tr>
      <w:tr>
        <w:trPr>
          <w:tblHeader w:val="false"/>
        </w:trPr>
        <w:tc>
          <w:tcPr>
            <w:tcW w:type="dxa" w:w="30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Chuỗi logo hậu thuẫn</w:t>
            </w:r>
          </w:p>
        </w:tc>
        <w:tc>
          <w:tcPr>
            <w:tcW w:type="dxa" w:w="43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Logo Tổng hội &amp; hội chuyên khoa</w:t>
            </w:r>
          </w:p>
        </w:tc>
        <w:tc>
          <w:tcPr>
            <w:tcW w:type="dxa" w:w="20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Hero trang chủ (Block 3–4)</w:t>
            </w:r>
          </w:p>
        </w:tc>
      </w:tr>
      <w:tr>
        <w:trPr>
          <w:tblHeader w:val="false"/>
        </w:trPr>
        <w:tc>
          <w:tcPr>
            <w:tcW w:type="dxa" w:w="30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Ghi tên chuyên gia phản biện</w:t>
            </w:r>
          </w:p>
        </w:tc>
        <w:tc>
          <w:tcPr>
            <w:tcW w:type="dxa" w:w="43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Chịu trách nhiệm cá nhân, có thật</w:t>
            </w:r>
          </w:p>
        </w:tc>
        <w:tc>
          <w:tcPr>
            <w:tcW w:type="dxa" w:w="20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Cuối/đầu mỗi bài</w:t>
            </w:r>
          </w:p>
        </w:tc>
      </w:tr>
      <w:tr>
        <w:trPr>
          <w:tblHeader w:val="false"/>
        </w:trPr>
        <w:tc>
          <w:tcPr>
            <w:tcW w:type="dxa" w:w="30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Con dấu quy trình 8 bước</w:t>
            </w:r>
          </w:p>
        </w:tc>
        <w:tc>
          <w:tcPr>
            <w:tcW w:type="dxa" w:w="43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Mọi bài đi qua quy trình biên soạn</w:t>
            </w:r>
          </w:p>
        </w:tc>
        <w:tc>
          <w:tcPr>
            <w:tcW w:type="dxa" w:w="20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Bài → Minh bạch</w:t>
            </w:r>
          </w:p>
        </w:tc>
      </w:tr>
      <w:tr>
        <w:trPr>
          <w:tblHeader w:val="false"/>
        </w:trPr>
        <w:tc>
          <w:tcPr>
            <w:tcW w:type="dxa" w:w="30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Nhãn khai báo COI</w:t>
            </w:r>
          </w:p>
        </w:tc>
        <w:tc>
          <w:tcPr>
            <w:tcW w:type="dxa" w:w="43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Công khai xung đột lợi ích</w:t>
            </w:r>
          </w:p>
        </w:tc>
        <w:tc>
          <w:tcPr>
            <w:tcW w:type="dxa" w:w="20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Hồ sơ chuyên gia, bài có tài trợ</w:t>
            </w:r>
          </w:p>
        </w:tc>
      </w:tr>
    </w:tbl>
    <w:p>
      <w:pPr>
        <w:pStyle w:val="Heading3"/>
        <w:spacing w:after="80" w:before="180"/>
      </w:pPr>
      <w:r>
        <w:rPr>
          <w:b/>
          <w:bCs/>
          <w:color w:val="012932"/>
        </w:rPr>
        <w:t xml:space="preserve">4.2. Từ vựng có kiểm soát cho mức bằng chứng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Nhãn</w:t>
            </w:r>
          </w:p>
        </w:tc>
        <w:tc>
          <w:tcPr>
            <w:tcW w:type="dxa" w:w="816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Định nghĩa</w:t>
            </w:r>
          </w:p>
        </w:tc>
      </w:tr>
      <w:tr>
        <w:trPr>
          <w:tblHeader w:val="false"/>
        </w:trPr>
        <w:tc>
          <w:tcPr>
            <w:tcW w:type="dxa" w:w="12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M1</w:t>
            </w:r>
          </w:p>
        </w:tc>
        <w:tc>
          <w:tcPr>
            <w:tcW w:type="dxa" w:w="81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Bằng chứng mạnh (khuyến cáo/hướng dẫn, tổng quan hệ thống)</w:t>
            </w:r>
          </w:p>
        </w:tc>
      </w:tr>
      <w:tr>
        <w:trPr>
          <w:tblHeader w:val="false"/>
        </w:trPr>
        <w:tc>
          <w:tcPr>
            <w:tcW w:type="dxa" w:w="12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M2</w:t>
            </w:r>
          </w:p>
        </w:tc>
        <w:tc>
          <w:tcPr>
            <w:tcW w:type="dxa" w:w="81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Bằng chứng khá (nghiên cứu chất lượng, đồng thuận chuyên gia)</w:t>
            </w:r>
          </w:p>
        </w:tc>
      </w:tr>
      <w:tr>
        <w:trPr>
          <w:tblHeader w:val="false"/>
        </w:trPr>
        <w:tc>
          <w:tcPr>
            <w:tcW w:type="dxa" w:w="12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M3</w:t>
            </w:r>
          </w:p>
        </w:tc>
        <w:tc>
          <w:tcPr>
            <w:tcW w:type="dxa" w:w="81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Bằng chứng hạn chế (dữ liệu sơ bộ, cần thận trọng)</w:t>
            </w:r>
          </w:p>
        </w:tc>
      </w:tr>
      <w:tr>
        <w:trPr>
          <w:tblHeader w:val="false"/>
        </w:trPr>
        <w:tc>
          <w:tcPr>
            <w:tcW w:type="dxa" w:w="12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M4</w:t>
            </w:r>
          </w:p>
        </w:tc>
        <w:tc>
          <w:tcPr>
            <w:tcW w:type="dxa" w:w="81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Thông tin định hướng / bối cảnh (chưa đủ mạnh để khuyến cáo)</w:t>
            </w:r>
          </w:p>
        </w:tc>
      </w:tr>
    </w:tbl>
    <w:p>
      <w:pPr>
        <w:spacing w:after="120" w:line="276"/>
      </w:pPr>
      <w:r>
        <w:rPr>
          <w:b/>
          <w:bCs/>
          <w:sz w:val="21"/>
          <w:szCs w:val="21"/>
        </w:rPr>
        <w:t xml:space="preserve">Quy tắc: </w:t>
      </w:r>
      <w:r>
        <w:rPr>
          <w:sz w:val="21"/>
          <w:szCs w:val="21"/>
        </w:rPr>
        <w:t xml:space="preserve">một khái niệm = một nhãn (không lúc “độ tin cậy”, lúc “cấp độ”).</w:t>
      </w:r>
    </w:p>
    <w:p>
      <w:pPr>
        <w:spacing w:after="120" w:line="276"/>
      </w:pPr>
      <w:r>
        <w:rPr>
          <w:b/>
          <w:bCs/>
          <w:sz w:val="21"/>
          <w:szCs w:val="21"/>
        </w:rPr>
        <w:t xml:space="preserve">Nhãn an toàn: </w:t>
      </w:r>
      <w:r>
        <w:rPr>
          <w:sz w:val="21"/>
          <w:szCs w:val="21"/>
        </w:rPr>
        <w:t xml:space="preserve">màu </w:t>
      </w:r>
      <w:r>
        <w:rPr>
          <w:b/>
          <w:bCs/>
          <w:color w:val="C0392B"/>
          <w:sz w:val="21"/>
          <w:szCs w:val="21"/>
        </w:rPr>
        <w:t xml:space="preserve">coral (#C0392B)</w:t>
      </w:r>
      <w:r>
        <w:rPr>
          <w:sz w:val="21"/>
          <w:szCs w:val="21"/>
        </w:rPr>
        <w:t xml:space="preserve"> dành riêng cho nguy cơ/khẩn cấp — không dùng trang trí. Câu miễn trừ y tế là nhãn văn bản chuẩn cho mọi nội dung.</w:t>
      </w:r>
    </w:p>
    <w:p>
      <w:pPr>
        <w:pBdr>
          <w:bottom w:val="single" w:color="BFD9E0" w:sz="6"/>
        </w:pBdr>
        <w:spacing w:after="120" w:before="80"/>
      </w:pPr>
    </w:p>
    <w:p>
      <w:pPr>
        <w:pStyle w:val="Heading1"/>
        <w:spacing w:after="140" w:before="320"/>
      </w:pPr>
      <w:r>
        <w:rPr>
          <w:b/>
          <w:bCs/>
          <w:color w:val="012932"/>
        </w:rPr>
        <w:t xml:space="preserve">5. Hệ thống Điều hướng (Navigation Systems)</w:t>
      </w:r>
    </w:p>
    <w:p>
      <w:pPr>
        <w:spacing w:after="120" w:line="276"/>
      </w:pPr>
      <w:r>
        <w:rPr>
          <w:sz w:val="21"/>
          <w:szCs w:val="21"/>
        </w:rPr>
        <w:t xml:space="preserve">Điều hướng trả lời: Tôi ở đâu? Đi đâu? — và ở CCHC, thêm: </w:t>
      </w:r>
      <w:r>
        <w:rPr>
          <w:b/>
          <w:bCs/>
          <w:i/>
          <w:iCs/>
          <w:sz w:val="21"/>
          <w:szCs w:val="21"/>
        </w:rPr>
        <w:t xml:space="preserve">Ai bảo chứng cho nơi tôi đang đứng?</w:t>
      </w:r>
    </w:p>
    <w:p>
      <w:pPr>
        <w:pStyle w:val="ListParagraph"/>
        <w:numPr>
          <w:ilvl w:val="0"/>
          <w:numId w:val="2"/>
        </w:numPr>
        <w:spacing w:after="60" w:line="270"/>
      </w:pPr>
      <w:r>
        <w:rPr>
          <w:b/>
          <w:bCs/>
          <w:sz w:val="21"/>
          <w:szCs w:val="21"/>
        </w:rPr>
        <w:t xml:space="preserve">Global — Header hai tầng: </w:t>
      </w:r>
      <w:r>
        <w:rPr>
          <w:sz w:val="21"/>
          <w:szCs w:val="21"/>
        </w:rPr>
        <w:t xml:space="preserve">utility bar (nền navy = thẩm quyền) + main nav 7 mục cấp 1 với mega-menu; sticky → lớp thẩm quyền hiện diện thường trực.</w:t>
      </w:r>
    </w:p>
    <w:p>
      <w:pPr>
        <w:pStyle w:val="ListParagraph"/>
        <w:numPr>
          <w:ilvl w:val="0"/>
          <w:numId w:val="2"/>
        </w:numPr>
        <w:spacing w:after="60" w:line="270"/>
      </w:pPr>
      <w:r>
        <w:rPr>
          <w:b/>
          <w:bCs/>
          <w:sz w:val="21"/>
          <w:szCs w:val="21"/>
        </w:rPr>
        <w:t xml:space="preserve">Local &amp; contextual: </w:t>
      </w:r>
      <w:r>
        <w:rPr>
          <w:sz w:val="21"/>
          <w:szCs w:val="21"/>
        </w:rPr>
        <w:t xml:space="preserve">breadcrumb phơi bày chuỗi thể chế; “cầu nối thẩm quyền” dẫn bài → chuyên gia → hội → quy trình 8 bước.</w:t>
      </w:r>
    </w:p>
    <w:p>
      <w:pPr>
        <w:pStyle w:val="ListParagraph"/>
        <w:numPr>
          <w:ilvl w:val="0"/>
          <w:numId w:val="2"/>
        </w:numPr>
        <w:spacing w:after="60" w:line="270"/>
      </w:pPr>
      <w:r>
        <w:rPr>
          <w:b/>
          <w:bCs/>
          <w:sz w:val="21"/>
          <w:szCs w:val="21"/>
        </w:rPr>
        <w:t xml:space="preserve">Bổ trợ: </w:t>
      </w:r>
      <w:r>
        <w:rPr>
          <w:sz w:val="21"/>
          <w:szCs w:val="21"/>
        </w:rPr>
        <w:t xml:space="preserve">Bản đồ nội dung (Content Map overlay), home tabs, footer nhắc lại các trục thẩm quyền.</w:t>
      </w:r>
    </w:p>
    <w:p>
      <w:pPr>
        <w:pStyle w:val="ListParagraph"/>
        <w:numPr>
          <w:ilvl w:val="0"/>
          <w:numId w:val="2"/>
        </w:numPr>
        <w:spacing w:after="60" w:line="270"/>
      </w:pPr>
      <w:r>
        <w:rPr>
          <w:b/>
          <w:bCs/>
          <w:sz w:val="21"/>
          <w:szCs w:val="21"/>
        </w:rPr>
        <w:t xml:space="preserve">Di động &amp; tiếp cận: </w:t>
      </w:r>
      <w:r>
        <w:rPr>
          <w:sz w:val="21"/>
          <w:szCs w:val="21"/>
        </w:rPr>
        <w:t xml:space="preserve">mega-menu thu gọn; cỡ chữ vùng đọc điều chỉnh runtime (18→20→22px) cho người cao tuổi; tương phản AA.</w:t>
      </w:r>
    </w:p>
    <w:p>
      <w:pPr>
        <w:pStyle w:val="Heading3"/>
        <w:spacing w:after="80" w:before="180"/>
      </w:pPr>
      <w:r>
        <w:rPr>
          <w:b/>
          <w:bCs/>
          <w:color w:val="012932"/>
        </w:rPr>
        <w:t xml:space="preserve">5.1. Hai chuẩn điều hướng bắt buộc (từ tài liệu lớp nang)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D9E0" w:sz="2"/>
              <w:left w:val="single" w:color="037B96" w:sz="24"/>
              <w:bottom w:val="single" w:color="BFD9E0" w:sz="2"/>
              <w:right w:val="single" w:color="BFD9E0" w:sz="2"/>
            </w:tcBorders>
            <w:shd w:fill="F2FAFC" w:color="auto" w:val="clear"/>
            <w:tcMar>
              <w:top w:type="dxa" w:w="120"/>
              <w:left w:type="dxa" w:w="160"/>
              <w:bottom w:type="dxa" w:w="120"/>
              <w:right w:type="dxa" w:w="160"/>
            </w:tcMar>
          </w:tcPr>
          <w:p>
            <w:pPr>
              <w:spacing w:after="40"/>
            </w:pPr>
            <w:r>
              <w:rPr>
                <w:b/>
                <w:bCs/>
                <w:color w:val="012932"/>
                <w:sz w:val="20"/>
                <w:szCs w:val="20"/>
              </w:rPr>
              <w:t xml:space="preserve">Traceability — Tính truy xuất</w:t>
            </w:r>
          </w:p>
          <w:p>
            <w:pPr>
              <w:spacing w:after="0" w:line="264"/>
            </w:pPr>
            <w:r>
              <w:rPr>
                <w:sz w:val="21"/>
                <w:szCs w:val="21"/>
              </w:rPr>
              <w:t xml:space="preserve">100% tuyên bố chính danh và tri thức y khoa phải có </w:t>
            </w:r>
            <w:r>
              <w:rPr>
                <w:b/>
                <w:bCs/>
                <w:sz w:val="21"/>
                <w:szCs w:val="21"/>
              </w:rPr>
              <w:t xml:space="preserve">Outbound Trust Link</w:t>
            </w:r>
            <w:r>
              <w:rPr>
                <w:sz w:val="21"/>
                <w:szCs w:val="21"/>
              </w:rPr>
              <w:t xml:space="preserve"> trỏ về nguồn gốc thật (Bộ Y tế, WHO, PubMed…). Đây là điều hướng “ra ngoài” có chủ đích: dám dẫn về nguồn gốc là bằng chứng mạnh nhất của thẩm quyền.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D9E0" w:sz="2"/>
              <w:left w:val="single" w:color="037B96" w:sz="24"/>
              <w:bottom w:val="single" w:color="BFD9E0" w:sz="2"/>
              <w:right w:val="single" w:color="BFD9E0" w:sz="2"/>
            </w:tcBorders>
            <w:shd w:fill="F2FAFC" w:color="auto" w:val="clear"/>
            <w:tcMar>
              <w:top w:type="dxa" w:w="120"/>
              <w:left w:type="dxa" w:w="160"/>
              <w:bottom w:type="dxa" w:w="120"/>
              <w:right w:type="dxa" w:w="160"/>
            </w:tcMar>
          </w:tcPr>
          <w:p>
            <w:pPr>
              <w:spacing w:after="40"/>
            </w:pPr>
            <w:r>
              <w:rPr>
                <w:b/>
                <w:bCs/>
                <w:color w:val="012932"/>
                <w:sz w:val="20"/>
                <w:szCs w:val="20"/>
              </w:rPr>
              <w:t xml:space="preserve">No Dead Ends — Không ngõ cụt</w:t>
            </w:r>
          </w:p>
          <w:p>
            <w:pPr>
              <w:spacing w:after="0" w:line="264"/>
            </w:pPr>
            <w:r>
              <w:rPr>
                <w:sz w:val="21"/>
                <w:szCs w:val="21"/>
              </w:rPr>
              <w:t xml:space="preserve">Người dân luôn có lựa chọn tiếp theo — </w:t>
            </w:r>
            <w:r>
              <w:rPr>
                <w:b/>
                <w:bCs/>
                <w:sz w:val="21"/>
                <w:szCs w:val="21"/>
              </w:rPr>
              <w:t xml:space="preserve">tra cứu lại · xem chuyên gia · đi khám sớm</w:t>
            </w:r>
            <w:r>
              <w:rPr>
                <w:sz w:val="21"/>
                <w:szCs w:val="21"/>
              </w:rPr>
              <w:t xml:space="preserve"> — ngay cả khi thông tin không khớp nhu cầu. Mọi trang, mọi trạng thái rỗng đều phải có lối đi an toàn kế tiếp.</w:t>
            </w:r>
          </w:p>
        </w:tc>
      </w:tr>
    </w:tbl>
    <w:p>
      <w:pPr>
        <w:pBdr>
          <w:bottom w:val="single" w:color="BFD9E0" w:sz="6"/>
        </w:pBdr>
        <w:spacing w:after="120" w:before="80"/>
      </w:pPr>
    </w:p>
    <w:p>
      <w:pPr>
        <w:pStyle w:val="Heading1"/>
        <w:spacing w:after="140" w:before="320"/>
      </w:pPr>
      <w:r>
        <w:rPr>
          <w:b/>
          <w:bCs/>
          <w:color w:val="012932"/>
        </w:rPr>
        <w:t xml:space="preserve">6. Hệ thống Tìm kiếm (Searching Systems)</w:t>
      </w:r>
    </w:p>
    <w:p>
      <w:pPr>
        <w:spacing w:after="120" w:line="276"/>
      </w:pPr>
      <w:r>
        <w:rPr>
          <w:sz w:val="21"/>
          <w:szCs w:val="21"/>
        </w:rPr>
        <w:t xml:space="preserve">Với người dân hoang mang, tìm kiếm thường là “kế hoạch A” — nên được đặt nổi bật ngay Block 1 (Dân vận đi trước).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Khía cạnh</w:t>
            </w:r>
          </w:p>
        </w:tc>
        <w:tc>
          <w:tcPr>
            <w:tcW w:type="dxa" w:w="676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Thiết kế</w:t>
            </w:r>
          </w:p>
        </w:tc>
      </w:tr>
      <w:tr>
        <w:trPr>
          <w:tblHeader w:val="false"/>
        </w:trPr>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Điểm vào</w:t>
            </w:r>
          </w:p>
        </w:tc>
        <w:tc>
          <w:tcPr>
            <w:tcW w:type="dxa" w:w="67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Ô tìm ở hero, nút tìm ở cả 2 tầng header, overlay tìm kiếm cho mobile.</w:t>
            </w:r>
          </w:p>
        </w:tc>
      </w:tr>
      <w:tr>
        <w:trPr>
          <w:tblHeader w:val="false"/>
        </w:trPr>
        <w:tc>
          <w:tcPr>
            <w:tcW w:type="dxa" w:w="2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Vùng &amp; facet</w:t>
            </w:r>
          </w:p>
        </w:tc>
        <w:tc>
          <w:tcPr>
            <w:tcW w:type="dxa" w:w="67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Ưu tiên Tri thức đã thẩm định; lọc theo chủ đề + mức bằng chứng; chuyên gia lọc theo chuyên khoa.</w:t>
            </w:r>
          </w:p>
        </w:tc>
      </w:tr>
      <w:tr>
        <w:trPr>
          <w:tblHeader w:val="false"/>
        </w:trPr>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Trạng thái rỗng</w:t>
            </w:r>
          </w:p>
        </w:tc>
        <w:tc>
          <w:tcPr>
            <w:tcW w:type="dxa" w:w="67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“Không có bài khớp bộ lọc” + “Xóa bộ lọc” — theo nguyên tắc No Dead Ends.</w:t>
            </w:r>
          </w:p>
        </w:tc>
      </w:tr>
      <w:tr>
        <w:trPr>
          <w:tblHeader w:val="false"/>
        </w:trPr>
        <w:tc>
          <w:tcPr>
            <w:tcW w:type="dxa" w:w="2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Gợi ý truy vấn</w:t>
            </w:r>
          </w:p>
        </w:tc>
        <w:tc>
          <w:tcPr>
            <w:tcW w:type="dxa" w:w="67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Placeholder từ khóa dân dã (huyết áp, tiêm chủng) bắc cầu ngôn ngữ ↔ chuyên môn.</w:t>
            </w:r>
          </w:p>
        </w:tc>
      </w:tr>
      <w:tr>
        <w:trPr>
          <w:tblHeader w:val="false"/>
        </w:trPr>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Kết quả có tín hiệu</w:t>
            </w:r>
          </w:p>
        </w:tc>
        <w:tc>
          <w:tcPr>
            <w:tcW w:type="dxa" w:w="67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Mỗi kết quả kèm badge “đã thẩm định” + tên chuyên gia + nhãn M1–M4.</w:t>
            </w:r>
          </w:p>
        </w:tc>
      </w:tr>
    </w:tbl>
    <w:p>
      <w:pPr>
        <w:spacing w:after="120" w:line="276"/>
      </w:pPr>
      <w:r>
        <w:rPr>
          <w:b/>
          <w:bCs/>
          <w:sz w:val="21"/>
          <w:szCs w:val="21"/>
        </w:rPr>
        <w:t xml:space="preserve">Roadmap: </w:t>
      </w:r>
      <w:r>
        <w:rPr>
          <w:sz w:val="21"/>
          <w:szCs w:val="21"/>
        </w:rPr>
        <w:t xml:space="preserve">best bets cho truy vấn nhạy cảm (“sốt xuất huyết”, “vaccine”) trỏ hồ sơ chủ đề M1; thesaurus nối “cao huyết áp” ↔ “tăng huyết áp”.</w:t>
      </w:r>
    </w:p>
    <w:p>
      <w:pPr>
        <w:pBdr>
          <w:bottom w:val="single" w:color="BFD9E0" w:sz="6"/>
        </w:pBdr>
        <w:spacing w:after="120" w:before="80"/>
      </w:pPr>
    </w:p>
    <w:p>
      <w:pPr>
        <w:pStyle w:val="Heading1"/>
        <w:spacing w:after="140" w:before="320"/>
      </w:pPr>
      <w:r>
        <w:rPr>
          <w:b/>
          <w:bCs/>
          <w:color w:val="012932"/>
        </w:rPr>
        <w:t xml:space="preserve">7. Siêu dữ liệu &amp; Từ vựng có kiểm soát</w:t>
      </w:r>
    </w:p>
    <w:p>
      <w:pPr>
        <w:spacing w:after="120" w:line="276"/>
      </w:pPr>
      <w:r>
        <w:rPr>
          <w:sz w:val="21"/>
          <w:szCs w:val="21"/>
        </w:rPr>
        <w:t xml:space="preserve">Lược đồ metadata cho “Đơn vị nội dung có thẩm quyền” — nền tảng cho tìm kiếm, lọc, liên kết ngang và truy xuất: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Trường</w:t>
            </w:r>
          </w:p>
        </w:tc>
        <w:tc>
          <w:tcPr>
            <w:tcW w:type="dxa" w:w="26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Loại từ vựng</w:t>
            </w:r>
          </w:p>
        </w:tc>
        <w:tc>
          <w:tcPr>
            <w:tcW w:type="dxa" w:w="416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Ví dụ giá trị</w:t>
            </w:r>
          </w:p>
        </w:tc>
      </w:tr>
      <w:tr>
        <w:trPr>
          <w:tblHeader w:val="false"/>
        </w:trPr>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chu_de</w:t>
            </w:r>
          </w:p>
        </w:tc>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Danh mục có kiểm soát</w:t>
            </w:r>
          </w:p>
        </w:tc>
        <w:tc>
          <w:tcPr>
            <w:tcW w:type="dxa" w:w="41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Tim mạch, Đái tháo đường, Tiêm chủng…</w:t>
            </w:r>
          </w:p>
        </w:tc>
      </w:tr>
      <w:tr>
        <w:trPr>
          <w:tblHeader w:val="false"/>
        </w:trPr>
        <w:tc>
          <w:tcPr>
            <w:tcW w:type="dxa" w:w="2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muc_bang_chung</w:t>
            </w:r>
          </w:p>
        </w:tc>
        <w:tc>
          <w:tcPr>
            <w:tcW w:type="dxa" w:w="2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Từ vựng đóng</w:t>
            </w:r>
          </w:p>
        </w:tc>
        <w:tc>
          <w:tcPr>
            <w:tcW w:type="dxa" w:w="41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M1 / M2 / M3 / M4</w:t>
            </w:r>
          </w:p>
        </w:tc>
      </w:tr>
      <w:tr>
        <w:trPr>
          <w:tblHeader w:val="false"/>
        </w:trPr>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chuyen_gia_phan_bien</w:t>
            </w:r>
          </w:p>
        </w:tc>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Danh mục (liên kết hồ sơ)</w:t>
            </w:r>
          </w:p>
        </w:tc>
        <w:tc>
          <w:tcPr>
            <w:tcW w:type="dxa" w:w="41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PGS.TS Nguyễn Văn An …</w:t>
            </w:r>
          </w:p>
        </w:tc>
      </w:tr>
      <w:tr>
        <w:trPr>
          <w:tblHeader w:val="false"/>
        </w:trPr>
        <w:tc>
          <w:tcPr>
            <w:tcW w:type="dxa" w:w="2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hoi_chuyen_khoa</w:t>
            </w:r>
          </w:p>
        </w:tc>
        <w:tc>
          <w:tcPr>
            <w:tcW w:type="dxa" w:w="2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Danh mục (liên kết hồ sơ)</w:t>
            </w:r>
          </w:p>
        </w:tc>
        <w:tc>
          <w:tcPr>
            <w:tcW w:type="dxa" w:w="41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Hội Tim mạch học Việt Nam …</w:t>
            </w:r>
          </w:p>
        </w:tc>
      </w:tr>
      <w:tr>
        <w:trPr>
          <w:tblHeader w:val="false"/>
        </w:trPr>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outbound_trust_link</w:t>
            </w:r>
          </w:p>
        </w:tc>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URL nguồn gốc</w:t>
            </w:r>
          </w:p>
        </w:tc>
        <w:tc>
          <w:tcPr>
            <w:tcW w:type="dxa" w:w="41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Bộ Y tế / WHO / PubMed …</w:t>
            </w:r>
          </w:p>
        </w:tc>
      </w:tr>
      <w:tr>
        <w:trPr>
          <w:tblHeader w:val="false"/>
        </w:trPr>
        <w:tc>
          <w:tcPr>
            <w:tcW w:type="dxa" w:w="2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khai_bao_tai_tro_coi</w:t>
            </w:r>
          </w:p>
        </w:tc>
        <w:tc>
          <w:tcPr>
            <w:tcW w:type="dxa" w:w="2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Boolean + văn bản</w:t>
            </w:r>
          </w:p>
        </w:tc>
        <w:tc>
          <w:tcPr>
            <w:tcW w:type="dxa" w:w="41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Có/Không + nội dung công khai</w:t>
            </w:r>
          </w:p>
        </w:tc>
      </w:tr>
      <w:tr>
        <w:trPr>
          <w:tblHeader w:val="false"/>
        </w:trPr>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trang_thai_dinh_chinh</w:t>
            </w:r>
          </w:p>
        </w:tc>
        <w:tc>
          <w:tcPr>
            <w:tcW w:type="dxa" w:w="2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Từ vựng đóng (4 trạng thái)</w:t>
            </w:r>
          </w:p>
        </w:tc>
        <w:tc>
          <w:tcPr>
            <w:tcW w:type="dxa" w:w="41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Nguyên bản / Đã cập nhật / Đã đính chính / Thu hồi</w:t>
            </w:r>
          </w:p>
        </w:tc>
      </w:tr>
    </w:tbl>
    <w:p>
      <w:pPr>
        <w:pBdr>
          <w:bottom w:val="single" w:color="BFD9E0" w:sz="6"/>
        </w:pBdr>
        <w:spacing w:after="120" w:before="80"/>
      </w:pPr>
    </w:p>
    <w:p>
      <w:pPr>
        <w:pStyle w:val="Heading1"/>
        <w:spacing w:after="140" w:before="320"/>
      </w:pPr>
      <w:r>
        <w:rPr>
          <w:b/>
          <w:bCs/>
          <w:color w:val="012932"/>
        </w:rPr>
        <w:t xml:space="preserve">8. Phơi bày “Quyền lực hậu thuẫn” qua IA — Mục trọng tâm</w:t>
      </w:r>
    </w:p>
    <w:p>
      <w:pPr>
        <w:spacing w:after="120" w:line="276"/>
      </w:pPr>
      <w:r>
        <w:rPr>
          <w:sz w:val="21"/>
          <w:szCs w:val="21"/>
        </w:rPr>
        <w:t xml:space="preserve">Bốn tầng bảo chứng (lõi lớp Chính danh) được cả bốn hệ thống IA đồng loạt phơi bày: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900"/>
        <w:gridCol w:w="1780"/>
        <w:gridCol w:w="1580"/>
      </w:tblGrid>
      <w:tr>
        <w:trPr>
          <w:tblHeader/>
        </w:trPr>
        <w:tc>
          <w:tcPr>
            <w:tcW w:type="dxa" w:w="22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Tầng hậu thuẫn</w:t>
            </w:r>
          </w:p>
        </w:tc>
        <w:tc>
          <w:tcPr>
            <w:tcW w:type="dxa" w:w="19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Tổ chức</w:t>
            </w:r>
          </w:p>
        </w:tc>
        <w:tc>
          <w:tcPr>
            <w:tcW w:type="dxa" w:w="19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Nhãn</w:t>
            </w:r>
          </w:p>
        </w:tc>
        <w:tc>
          <w:tcPr>
            <w:tcW w:type="dxa" w:w="178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Điều hướng</w:t>
            </w:r>
          </w:p>
        </w:tc>
        <w:tc>
          <w:tcPr>
            <w:tcW w:type="dxa" w:w="158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Tìm kiếm</w:t>
            </w:r>
          </w:p>
        </w:tc>
      </w:tr>
      <w:tr>
        <w:trPr>
          <w:tblHeader w:val="false"/>
        </w:trPr>
        <w:tc>
          <w:tcPr>
            <w:tcW w:type="dxa" w:w="22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① Tổng hội Y học VN</w:t>
            </w:r>
          </w:p>
        </w:tc>
        <w:tc>
          <w:tcPr>
            <w:tcW w:type="dxa" w:w="19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Nhánh “Tổng hội &amp; Chính sách”</w:t>
            </w:r>
          </w:p>
        </w:tc>
        <w:tc>
          <w:tcPr>
            <w:tcW w:type="dxa" w:w="19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Banner + logo hero</w:t>
            </w:r>
          </w:p>
        </w:tc>
        <w:tc>
          <w:tcPr>
            <w:tcW w:type="dxa" w:w="178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Breadcrumb, footer</w:t>
            </w:r>
          </w:p>
        </w:tc>
        <w:tc>
          <w:tcPr>
            <w:tcW w:type="dxa" w:w="158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Best bet “Tổng hội”</w:t>
            </w:r>
          </w:p>
        </w:tc>
      </w:tr>
      <w:tr>
        <w:trPr>
          <w:tblHeader w:val="false"/>
        </w:trPr>
        <w:tc>
          <w:tcPr>
            <w:tcW w:type="dxa" w:w="22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② Hội chuyên khoa</w:t>
            </w:r>
          </w:p>
        </w:tc>
        <w:tc>
          <w:tcPr>
            <w:tcW w:type="dxa" w:w="19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Mục “Hội chuyên khoa”</w:t>
            </w:r>
          </w:p>
        </w:tc>
        <w:tc>
          <w:tcPr>
            <w:tcW w:type="dxa" w:w="19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Tên hội gắn mỗi bài</w:t>
            </w:r>
          </w:p>
        </w:tc>
        <w:tc>
          <w:tcPr>
            <w:tcW w:type="dxa" w:w="178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Cầu nối bài → hội</w:t>
            </w:r>
          </w:p>
        </w:tc>
        <w:tc>
          <w:tcPr>
            <w:tcW w:type="dxa" w:w="158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Facet chuyên khoa</w:t>
            </w:r>
          </w:p>
        </w:tc>
      </w:tr>
      <w:tr>
        <w:trPr>
          <w:tblHeader w:val="false"/>
        </w:trPr>
        <w:tc>
          <w:tcPr>
            <w:tcW w:type="dxa" w:w="22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③ Hội đồng khoa học</w:t>
            </w:r>
          </w:p>
        </w:tc>
        <w:tc>
          <w:tcPr>
            <w:tcW w:type="dxa" w:w="19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Trong “Về CCHC”</w:t>
            </w:r>
          </w:p>
        </w:tc>
        <w:tc>
          <w:tcPr>
            <w:tcW w:type="dxa" w:w="19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Badge “đã thẩm định”</w:t>
            </w:r>
          </w:p>
        </w:tc>
        <w:tc>
          <w:tcPr>
            <w:tcW w:type="dxa" w:w="178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Link bài → quy trình</w:t>
            </w:r>
          </w:p>
        </w:tc>
        <w:tc>
          <w:tcPr>
            <w:tcW w:type="dxa" w:w="158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Gắn nhãn kết quả</w:t>
            </w:r>
          </w:p>
        </w:tc>
      </w:tr>
      <w:tr>
        <w:trPr>
          <w:tblHeader w:val="false"/>
        </w:trPr>
        <w:tc>
          <w:tcPr>
            <w:tcW w:type="dxa" w:w="22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④ Chuyên gia (tên thật)</w:t>
            </w:r>
          </w:p>
        </w:tc>
        <w:tc>
          <w:tcPr>
            <w:tcW w:type="dxa" w:w="19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“Mạng lưới chuyên gia”</w:t>
            </w:r>
          </w:p>
        </w:tc>
        <w:tc>
          <w:tcPr>
            <w:tcW w:type="dxa" w:w="19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Ghi tên + COI</w:t>
            </w:r>
          </w:p>
        </w:tc>
        <w:tc>
          <w:tcPr>
            <w:tcW w:type="dxa" w:w="178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Hồ sơ chuyên gia</w:t>
            </w:r>
          </w:p>
        </w:tc>
        <w:tc>
          <w:tcPr>
            <w:tcW w:type="dxa" w:w="158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Thư viện có lọc</w:t>
            </w:r>
          </w:p>
        </w:tc>
      </w:tr>
    </w:tbl>
    <w:p>
      <w:pPr>
        <w:spacing w:after="120" w:line="276"/>
      </w:pPr>
      <w:r>
        <w:rPr>
          <w:b/>
          <w:bCs/>
          <w:sz w:val="21"/>
          <w:szCs w:val="21"/>
        </w:rPr>
        <w:t xml:space="preserve">Nguyên tắc “một cú chạm tới thẩm quyền”: </w:t>
      </w:r>
      <w:r>
        <w:rPr>
          <w:sz w:val="21"/>
          <w:szCs w:val="21"/>
        </w:rPr>
        <w:t xml:space="preserve">từ bất kỳ nội dung nào, chỉ một thao tác để thấy ai bảo chứng và bằng chứng ở đâu.</w:t>
      </w:r>
    </w:p>
    <w:p>
      <w:pPr>
        <w:spacing w:after="120" w:line="276"/>
      </w:pPr>
      <w:r>
        <w:rPr>
          <w:b/>
          <w:bCs/>
          <w:sz w:val="21"/>
          <w:szCs w:val="21"/>
        </w:rPr>
        <w:t xml:space="preserve">Cân bằng quyền lực – trách nhiệm: </w:t>
      </w:r>
      <w:r>
        <w:rPr>
          <w:sz w:val="21"/>
          <w:szCs w:val="21"/>
        </w:rPr>
        <w:t xml:space="preserve">lớp Chính danh luôn đặt cạnh lớp Minh bạch (COI, AI có kiểm soát, nhật ký đính chính). Thẩm quyền không kèm minh bạch sẽ bị người đọc hoài nghi bác bỏ.</w:t>
      </w:r>
    </w:p>
    <w:p>
      <w:pPr>
        <w:pBdr>
          <w:bottom w:val="single" w:color="BFD9E0" w:sz="6"/>
        </w:pBdr>
        <w:spacing w:after="120" w:before="80"/>
      </w:pPr>
    </w:p>
    <w:p>
      <w:pPr>
        <w:pStyle w:val="Heading1"/>
        <w:spacing w:after="140" w:before="320"/>
      </w:pPr>
      <w:r>
        <w:rPr>
          <w:b/>
          <w:bCs/>
          <w:color w:val="012932"/>
        </w:rPr>
        <w:t xml:space="preserve">9. Quy tắc thiết kế trang bài viết (Attention Economy — Quy tắc 3 giây)</w:t>
      </w:r>
    </w:p>
    <w:p>
      <w:pPr>
        <w:spacing w:after="120" w:line="276"/>
      </w:pPr>
      <w:r>
        <w:rPr>
          <w:sz w:val="21"/>
          <w:szCs w:val="21"/>
        </w:rPr>
        <w:t xml:space="preserve">Nếu các phần trên xác lập kiến trúc niềm tin ở cấp toàn trang, phần này đưa nguyên tắc xuống cấp chi tiết nhất — trang bài viết đơn lẻ, nơi người đọc quyết định có tin và đọc tiếp không. Đây là chuẩn bắt buộc cho mọi template bài viết.</w:t>
      </w:r>
    </w:p>
    <w:p>
      <w:pPr>
        <w:pStyle w:val="Heading3"/>
        <w:spacing w:after="80" w:before="180"/>
      </w:pPr>
      <w:r>
        <w:rPr>
          <w:b/>
          <w:bCs/>
          <w:color w:val="012932"/>
        </w:rPr>
        <w:t xml:space="preserve">9.1. Ba câu hỏi thiết kế bố cục</w:t>
      </w:r>
    </w:p>
    <w:p>
      <w:pPr>
        <w:pStyle w:val="ListParagraph"/>
        <w:numPr>
          <w:ilvl w:val="0"/>
          <w:numId w:val="3"/>
        </w:numPr>
        <w:spacing w:after="60" w:line="270"/>
      </w:pPr>
      <w:r>
        <w:rPr>
          <w:b/>
          <w:bCs/>
          <w:sz w:val="21"/>
          <w:szCs w:val="21"/>
        </w:rPr>
        <w:t xml:space="preserve">Cái gì ưu tiên ở đâu? </w:t>
      </w:r>
      <w:r>
        <w:rPr>
          <w:sz w:val="21"/>
          <w:szCs w:val="21"/>
        </w:rPr>
        <w:t xml:space="preserve">Thứ tự tín hiệu bắt buộc trong 3 giây đầu: (1) bài nói về gì → (2) có đáng tin không → (3) đọc tiếp hay thoát.</w:t>
      </w:r>
    </w:p>
    <w:p>
      <w:pPr>
        <w:pStyle w:val="ListParagraph"/>
        <w:numPr>
          <w:ilvl w:val="0"/>
          <w:numId w:val="3"/>
        </w:numPr>
        <w:spacing w:after="60" w:line="270"/>
      </w:pPr>
      <w:r>
        <w:rPr>
          <w:b/>
          <w:bCs/>
          <w:sz w:val="21"/>
          <w:szCs w:val="21"/>
        </w:rPr>
        <w:t xml:space="preserve">Bố cục thế nào? </w:t>
      </w:r>
      <w:r>
        <w:rPr>
          <w:sz w:val="21"/>
          <w:szCs w:val="21"/>
        </w:rPr>
        <w:t xml:space="preserve">Trên cùng = ưu tiên 1, giữa = ưu tiên 2, dưới = ưu tiên 3. Trên điện thoại chỉ ~6 dòng đầu là “đất vàng”; ngoài vùng đó gần như vô hình với người lướt nhanh.</w:t>
      </w:r>
    </w:p>
    <w:p>
      <w:pPr>
        <w:pStyle w:val="ListParagraph"/>
        <w:numPr>
          <w:ilvl w:val="0"/>
          <w:numId w:val="3"/>
        </w:numPr>
        <w:spacing w:after="60" w:line="270"/>
      </w:pPr>
      <w:r>
        <w:rPr>
          <w:b/>
          <w:bCs/>
          <w:sz w:val="21"/>
          <w:szCs w:val="21"/>
        </w:rPr>
        <w:t xml:space="preserve">Thành phần ở mỗi vùng là gì? </w:t>
      </w:r>
      <w:r>
        <w:rPr>
          <w:sz w:val="21"/>
          <w:szCs w:val="21"/>
        </w:rPr>
        <w:t xml:space="preserve">Chỉ sau khi xác định vùng ưu tiên mới quyết định đặt khối bảo chứng, tick xanh, tên chuyên gia, nhãn bằng chứng ở đâu — tránh chèn yếu tố tin cậy ngẫu nhiên, thiếu chủ đích.</w:t>
      </w:r>
    </w:p>
    <w:p>
      <w:pPr>
        <w:pStyle w:val="Heading3"/>
        <w:spacing w:after="80" w:before="180"/>
      </w:pPr>
      <w:r>
        <w:rPr>
          <w:b/>
          <w:bCs/>
          <w:color w:val="012932"/>
        </w:rPr>
        <w:t xml:space="preserve">9.2. Ánh xạ Vùng màn hình → Ưu tiên → Thành phần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tblHeader/>
        </w:trPr>
        <w:tc>
          <w:tcPr>
            <w:tcW w:type="dxa" w:w="24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Vùng màn hình</w:t>
            </w:r>
          </w:p>
        </w:tc>
        <w:tc>
          <w:tcPr>
            <w:tcW w:type="dxa" w:w="28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Ưu tiên nhận thức</w:t>
            </w:r>
          </w:p>
        </w:tc>
        <w:tc>
          <w:tcPr>
            <w:tcW w:type="dxa" w:w="416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Thành phần UI cụ thể</w:t>
            </w:r>
          </w:p>
        </w:tc>
      </w:tr>
      <w:tr>
        <w:trPr>
          <w:tblHeader w:val="false"/>
        </w:trPr>
        <w:tc>
          <w:tcPr>
            <w:tcW w:type="dxa" w:w="24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Trên cùng (“đất vàng” ~6 dòng đầu, mobile)</w:t>
            </w:r>
          </w:p>
        </w:tc>
        <w:tc>
          <w:tcPr>
            <w:tcW w:type="dxa" w:w="28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Ưu tiên 1 — Bài nói về gì? Có đáng tin không?</w:t>
            </w:r>
          </w:p>
        </w:tc>
        <w:tc>
          <w:tcPr>
            <w:tcW w:type="dxa" w:w="41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Tiêu đề rõ, cụ thể · Nhãn M1–M4 · Ảnh + tên + chức danh chuyên gia thẩm định · Badge “Trực thuộc Tổng hội Y học VN”</w:t>
            </w:r>
          </w:p>
        </w:tc>
      </w:tr>
      <w:tr>
        <w:trPr>
          <w:tblHeader w:val="false"/>
        </w:trPr>
        <w:tc>
          <w:tcPr>
            <w:tcW w:type="dxa" w:w="24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Vùng giữa</w:t>
            </w:r>
          </w:p>
        </w:tc>
        <w:tc>
          <w:tcPr>
            <w:tcW w:type="dxa" w:w="28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Ưu tiên 2 — Nội dung chính; đọc tiếp hay thoát?</w:t>
            </w:r>
          </w:p>
        </w:tc>
        <w:tc>
          <w:tcPr>
            <w:tcW w:type="dxa" w:w="41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Tóm tắt nhanh / key takeaways đầu bài · Nội dung chi tiết · Outbound Trust Link dẫn nguồn (Bộ Y tế, WHO, PubMed…)</w:t>
            </w:r>
          </w:p>
        </w:tc>
      </w:tr>
      <w:tr>
        <w:trPr>
          <w:tblHeader w:val="false"/>
        </w:trPr>
        <w:tc>
          <w:tcPr>
            <w:tcW w:type="dxa" w:w="24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Vùng dưới</w:t>
            </w:r>
          </w:p>
        </w:tc>
        <w:tc>
          <w:tcPr>
            <w:tcW w:type="dxa" w:w="28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Ưu tiên 3 — Hành động tiếp theo?</w:t>
            </w:r>
          </w:p>
        </w:tc>
        <w:tc>
          <w:tcPr>
            <w:tcW w:type="dxa" w:w="41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Nguồn tham khảo đầy đủ · Nút chia sẻ (khuếch đại) · Bài liên quan · CTA (đăng ký bản tin / liên hệ chuyên gia / phản hồi sai sót)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D9E0" w:sz="2"/>
              <w:left w:val="single" w:color="037B96" w:sz="24"/>
              <w:bottom w:val="single" w:color="BFD9E0" w:sz="2"/>
              <w:right w:val="single" w:color="BFD9E0" w:sz="2"/>
            </w:tcBorders>
            <w:shd w:fill="F2FAFC" w:color="auto" w:val="clear"/>
            <w:tcMar>
              <w:top w:type="dxa" w:w="120"/>
              <w:left w:type="dxa" w:w="160"/>
              <w:bottom w:type="dxa" w:w="120"/>
              <w:right w:type="dxa" w:w="160"/>
            </w:tcMar>
          </w:tcPr>
          <w:p>
            <w:pPr>
              <w:spacing w:after="40"/>
            </w:pPr>
            <w:r>
              <w:rPr>
                <w:b/>
                <w:bCs/>
                <w:color w:val="012932"/>
                <w:sz w:val="20"/>
                <w:szCs w:val="20"/>
              </w:rPr>
              <w:t xml:space="preserve">Chuẩn bắt buộc toàn hệ thống</w:t>
            </w:r>
          </w:p>
          <w:p>
            <w:pPr>
              <w:spacing w:after="0" w:line="264"/>
            </w:pPr>
            <w:r>
              <w:rPr>
                <w:sz w:val="21"/>
                <w:szCs w:val="21"/>
              </w:rPr>
              <w:t xml:space="preserve">Mọi bài viết — dù thuộc chuyên mục nào (tin tức, thư viện M1–M4, “Bác sĩ CCHC”) — đều phải tuân thủ đúng thứ tự ưu tiên này trong </w:t>
            </w:r>
            <w:r>
              <w:rPr>
                <w:b/>
                <w:bCs/>
                <w:sz w:val="21"/>
                <w:szCs w:val="21"/>
              </w:rPr>
              <w:t xml:space="preserve">6 dòng đầu tiên trên màn hình di động</w:t>
            </w:r>
            <w:r>
              <w:rPr>
                <w:sz w:val="21"/>
                <w:szCs w:val="21"/>
              </w:rPr>
              <w:t xml:space="preserve">. Đây là nơi lớp Chính danh (badge Tổng hội) và lớp Tri thức (nhãn M1–M4) phải xuất hiện sớm nhất.</w:t>
            </w:r>
          </w:p>
        </w:tc>
      </w:tr>
    </w:tbl>
    <w:p>
      <w:pPr>
        <w:pBdr>
          <w:bottom w:val="single" w:color="BFD9E0" w:sz="6"/>
        </w:pBdr>
        <w:spacing w:after="120" w:before="80"/>
      </w:pPr>
    </w:p>
    <w:p>
      <w:pPr>
        <w:pStyle w:val="Heading1"/>
        <w:spacing w:after="140" w:before="320"/>
      </w:pPr>
      <w:r>
        <w:rPr>
          <w:b/>
          <w:bCs/>
          <w:color w:val="012932"/>
        </w:rPr>
        <w:t xml:space="preserve">10. Hệ thống Thị giác &amp; Lằn ranh đạo đức</w:t>
      </w:r>
    </w:p>
    <w:p>
      <w:pPr>
        <w:pStyle w:val="Heading3"/>
        <w:spacing w:after="80" w:before="180"/>
      </w:pPr>
      <w:r>
        <w:rPr>
          <w:b/>
          <w:bCs/>
          <w:color w:val="012932"/>
        </w:rPr>
        <w:t xml:space="preserve">10.1. Màu sắc như tín hiệu ngữ nghĩa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rPr>
          <w:tblHeader/>
        </w:trPr>
        <w:tc>
          <w:tcPr>
            <w:tcW w:type="dxa" w:w="24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Token</w:t>
            </w:r>
          </w:p>
        </w:tc>
        <w:tc>
          <w:tcPr>
            <w:tcW w:type="dxa" w:w="160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Mã</w:t>
            </w:r>
          </w:p>
        </w:tc>
        <w:tc>
          <w:tcPr>
            <w:tcW w:type="dxa" w:w="5360"/>
            <w:tcBorders>
              <w:top w:val="single" w:color="BFD9E0" w:sz="2"/>
              <w:left w:val="single" w:color="BFD9E0" w:sz="2"/>
              <w:bottom w:val="single" w:color="BFD9E0" w:sz="2"/>
              <w:right w:val="single" w:color="BFD9E0" w:sz="2"/>
            </w:tcBorders>
            <w:shd w:fill="012932" w:color="auto" w:val="clear"/>
            <w:tcMar>
              <w:top w:type="dxa" w:w="60"/>
              <w:left w:type="dxa" w:w="90"/>
              <w:bottom w:type="dxa" w:w="60"/>
              <w:right w:type="dxa" w:w="90"/>
            </w:tcMar>
          </w:tcPr>
          <w:p>
            <w:pPr>
              <w:spacing w:after="20" w:line="250"/>
            </w:pPr>
            <w:r>
              <w:rPr>
                <w:b/>
                <w:bCs/>
                <w:color w:val="FFFFFF"/>
                <w:sz w:val="19"/>
                <w:szCs w:val="19"/>
              </w:rPr>
              <w:t xml:space="preserve">Vai trò ngữ nghĩa</w:t>
            </w:r>
          </w:p>
        </w:tc>
      </w:tr>
      <w:tr>
        <w:trPr>
          <w:tblHeader w:val="false"/>
        </w:trPr>
        <w:tc>
          <w:tcPr>
            <w:tcW w:type="dxa" w:w="24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--navy</w:t>
            </w:r>
          </w:p>
        </w:tc>
        <w:tc>
          <w:tcPr>
            <w:tcW w:type="dxa" w:w="1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#012932</w:t>
            </w:r>
          </w:p>
        </w:tc>
        <w:tc>
          <w:tcPr>
            <w:tcW w:type="dxa" w:w="53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Thẩm quyền — hero, footer, panel Minh bạch</w:t>
            </w:r>
          </w:p>
        </w:tc>
      </w:tr>
      <w:tr>
        <w:trPr>
          <w:tblHeader w:val="false"/>
        </w:trPr>
        <w:tc>
          <w:tcPr>
            <w:tcW w:type="dxa" w:w="24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--blue (cobalt)</w:t>
            </w:r>
          </w:p>
        </w:tc>
        <w:tc>
          <w:tcPr>
            <w:tcW w:type="dxa" w:w="1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#037B96</w:t>
            </w:r>
          </w:p>
        </w:tc>
        <w:tc>
          <w:tcPr>
            <w:tcW w:type="dxa" w:w="53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Hành động — CTA, link, tiêu đề tô màu</w:t>
            </w:r>
          </w:p>
        </w:tc>
      </w:tr>
      <w:tr>
        <w:trPr>
          <w:tblHeader w:val="false"/>
        </w:trPr>
        <w:tc>
          <w:tcPr>
            <w:tcW w:type="dxa" w:w="24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--blue-l</w:t>
            </w:r>
          </w:p>
        </w:tc>
        <w:tc>
          <w:tcPr>
            <w:tcW w:type="dxa" w:w="1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#82E6FD</w:t>
            </w:r>
          </w:p>
        </w:tc>
        <w:tc>
          <w:tcPr>
            <w:tcW w:type="dxa" w:w="53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Nền tint, trust strip, chip “đã kiểm chứng”</w:t>
            </w:r>
          </w:p>
        </w:tc>
      </w:tr>
      <w:tr>
        <w:trPr>
          <w:tblHeader w:val="false"/>
        </w:trPr>
        <w:tc>
          <w:tcPr>
            <w:tcW w:type="dxa" w:w="24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--coral</w:t>
            </w:r>
          </w:p>
        </w:tc>
        <w:tc>
          <w:tcPr>
            <w:tcW w:type="dxa" w:w="160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#C0392B</w:t>
            </w:r>
          </w:p>
        </w:tc>
        <w:tc>
          <w:tcPr>
            <w:tcW w:type="dxa" w:w="5360"/>
            <w:tcBorders>
              <w:top w:val="single" w:color="BFD9E0" w:sz="2"/>
              <w:left w:val="single" w:color="BFD9E0" w:sz="2"/>
              <w:bottom w:val="single" w:color="BFD9E0" w:sz="2"/>
              <w:right w:val="single" w:color="BFD9E0" w:sz="2"/>
            </w:tcBorders>
            <w:shd w:fill="E8F7FC" w:color="auto" w:val="clear"/>
            <w:tcMar>
              <w:top w:type="dxa" w:w="60"/>
              <w:left w:type="dxa" w:w="90"/>
              <w:bottom w:type="dxa" w:w="60"/>
              <w:right w:type="dxa" w:w="90"/>
            </w:tcMar>
          </w:tcPr>
          <w:p>
            <w:pPr>
              <w:spacing w:after="20" w:line="250"/>
            </w:pPr>
            <w:r>
              <w:rPr>
                <w:b w:val="false"/>
                <w:bCs w:val="false"/>
                <w:color w:val="1A1A1A"/>
                <w:sz w:val="19"/>
                <w:szCs w:val="19"/>
              </w:rPr>
              <w:t xml:space="preserve">CHỈ nguy cơ/khẩn cấp</w:t>
            </w:r>
          </w:p>
        </w:tc>
      </w:tr>
      <w:tr>
        <w:trPr>
          <w:tblHeader w:val="false"/>
        </w:trPr>
        <w:tc>
          <w:tcPr>
            <w:tcW w:type="dxa" w:w="24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--amber</w:t>
            </w:r>
          </w:p>
        </w:tc>
        <w:tc>
          <w:tcPr>
            <w:tcW w:type="dxa" w:w="160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#995100</w:t>
            </w:r>
          </w:p>
        </w:tc>
        <w:tc>
          <w:tcPr>
            <w:tcW w:type="dxa" w:w="5360"/>
            <w:tcBorders>
              <w:top w:val="single" w:color="BFD9E0" w:sz="2"/>
              <w:left w:val="single" w:color="BFD9E0" w:sz="2"/>
              <w:bottom w:val="single" w:color="BFD9E0" w:sz="2"/>
              <w:right w:val="single" w:color="BFD9E0" w:sz="2"/>
            </w:tcBorders>
            <w:tcMar>
              <w:top w:type="dxa" w:w="60"/>
              <w:left w:type="dxa" w:w="90"/>
              <w:bottom w:type="dxa" w:w="60"/>
              <w:right w:type="dxa" w:w="90"/>
            </w:tcMar>
          </w:tcPr>
          <w:p>
            <w:pPr>
              <w:spacing w:after="20" w:line="250"/>
            </w:pPr>
            <w:r>
              <w:rPr>
                <w:b w:val="false"/>
                <w:bCs w:val="false"/>
                <w:color w:val="1A1A1A"/>
                <w:sz w:val="19"/>
                <w:szCs w:val="19"/>
              </w:rPr>
              <w:t xml:space="preserve">Nhãn “demo”, chú ý nhẹ</w:t>
            </w:r>
          </w:p>
        </w:tc>
      </w:tr>
    </w:tbl>
    <w:p>
      <w:pPr>
        <w:pStyle w:val="Heading3"/>
        <w:spacing w:after="80" w:before="180"/>
      </w:pPr>
      <w:r>
        <w:rPr>
          <w:b/>
          <w:bCs/>
          <w:color w:val="012932"/>
        </w:rPr>
        <w:t xml:space="preserve">10.2. Bốn lằn ranh đạo đức bắt buộc (chuẩn CCHC)</w:t>
      </w:r>
    </w:p>
    <w:p>
      <w:pPr>
        <w:pStyle w:val="ListParagraph"/>
        <w:numPr>
          <w:ilvl w:val="0"/>
          <w:numId w:val="2"/>
        </w:numPr>
        <w:spacing w:after="60" w:line="270"/>
      </w:pPr>
      <w:r>
        <w:rPr>
          <w:b/>
          <w:bCs/>
          <w:sz w:val="21"/>
          <w:szCs w:val="21"/>
        </w:rPr>
        <w:t xml:space="preserve">Tính truy xuất (Traceability): </w:t>
      </w:r>
      <w:r>
        <w:rPr>
          <w:sz w:val="21"/>
          <w:szCs w:val="21"/>
        </w:rPr>
        <w:t xml:space="preserve">100% tuyên bố có Outbound Trust Link về nguồn gốc thật.</w:t>
      </w:r>
    </w:p>
    <w:p>
      <w:pPr>
        <w:pStyle w:val="ListParagraph"/>
        <w:numPr>
          <w:ilvl w:val="0"/>
          <w:numId w:val="2"/>
        </w:numPr>
        <w:spacing w:after="60" w:line="270"/>
      </w:pPr>
      <w:r>
        <w:rPr>
          <w:b/>
          <w:bCs/>
          <w:sz w:val="21"/>
          <w:szCs w:val="21"/>
        </w:rPr>
        <w:t xml:space="preserve">No Dead Ends: </w:t>
      </w:r>
      <w:r>
        <w:rPr>
          <w:sz w:val="21"/>
          <w:szCs w:val="21"/>
        </w:rPr>
        <w:t xml:space="preserve">luôn có lối đi kế tiếp an toàn cho người dân.</w:t>
      </w:r>
    </w:p>
    <w:p>
      <w:pPr>
        <w:pStyle w:val="ListParagraph"/>
        <w:numPr>
          <w:ilvl w:val="0"/>
          <w:numId w:val="2"/>
        </w:numPr>
        <w:spacing w:after="60" w:line="270"/>
      </w:pPr>
      <w:r>
        <w:rPr>
          <w:b/>
          <w:bCs/>
          <w:sz w:val="21"/>
          <w:szCs w:val="21"/>
        </w:rPr>
        <w:t xml:space="preserve">Kiểm soát AI: </w:t>
      </w:r>
      <w:r>
        <w:rPr>
          <w:sz w:val="21"/>
          <w:szCs w:val="21"/>
        </w:rPr>
        <w:t xml:space="preserve">AI chỉ hỗ trợ soạn thảo; Ban biên tập &amp; Hội đồng khoa học giữ quyền phê duyệt cuối trên CMS.</w:t>
      </w:r>
    </w:p>
    <w:p>
      <w:pPr>
        <w:pStyle w:val="ListParagraph"/>
        <w:numPr>
          <w:ilvl w:val="0"/>
          <w:numId w:val="2"/>
        </w:numPr>
        <w:spacing w:after="60" w:line="270"/>
      </w:pPr>
      <w:r>
        <w:rPr>
          <w:b/>
          <w:bCs/>
          <w:sz w:val="21"/>
          <w:szCs w:val="21"/>
        </w:rPr>
        <w:t xml:space="preserve">Tách bạch UI: </w:t>
      </w:r>
      <w:r>
        <w:rPr>
          <w:sz w:val="21"/>
          <w:szCs w:val="21"/>
        </w:rPr>
        <w:t xml:space="preserve">phân biệt rõ bằng màu sắc/layout giữa bài đã thẩm định (M1–M4) và nội dung dịch vụ/tài trợ — tránh quảng cáo trá hình.</w:t>
      </w:r>
    </w:p>
    <w:p>
      <w:pPr>
        <w:pBdr>
          <w:bottom w:val="single" w:color="BFD9E0" w:sz="6"/>
        </w:pBdr>
        <w:spacing w:after="120" w:before="80"/>
      </w:pPr>
    </w:p>
    <w:p>
      <w:pPr>
        <w:pStyle w:val="Heading1"/>
        <w:spacing w:after="140" w:before="320"/>
      </w:pPr>
      <w:r>
        <w:rPr>
          <w:b/>
          <w:bCs/>
          <w:color w:val="012932"/>
        </w:rPr>
        <w:t xml:space="preserve">11. Nguyên tắc &amp; Chỉ số thành công</w:t>
      </w:r>
    </w:p>
    <w:p>
      <w:pPr>
        <w:pStyle w:val="Heading3"/>
        <w:spacing w:after="80" w:before="180"/>
      </w:pPr>
      <w:r>
        <w:rPr>
          <w:b/>
          <w:bCs/>
          <w:color w:val="012932"/>
        </w:rPr>
        <w:t xml:space="preserve">11.1. Nguyên tắc thiết kế</w:t>
      </w:r>
    </w:p>
    <w:p>
      <w:pPr>
        <w:pStyle w:val="ListParagraph"/>
        <w:numPr>
          <w:ilvl w:val="0"/>
          <w:numId w:val="3"/>
        </w:numPr>
        <w:spacing w:after="60" w:line="270"/>
      </w:pPr>
      <w:r>
        <w:rPr>
          <w:sz w:val="21"/>
          <w:szCs w:val="21"/>
        </w:rPr>
        <w:t xml:space="preserve">Thẩm quyền (Chính danh) là bề mặt thường trực, không phải một trang riêng.</w:t>
      </w:r>
    </w:p>
    <w:p>
      <w:pPr>
        <w:pStyle w:val="ListParagraph"/>
        <w:numPr>
          <w:ilvl w:val="0"/>
          <w:numId w:val="3"/>
        </w:numPr>
        <w:spacing w:after="60" w:line="270"/>
      </w:pPr>
      <w:r>
        <w:rPr>
          <w:sz w:val="21"/>
          <w:szCs w:val="21"/>
        </w:rPr>
        <w:t xml:space="preserve">Mọi khẳng định truy nguyên được về gốc thể chế trong ≤1 cú chạm; có Outbound Trust Link.</w:t>
      </w:r>
    </w:p>
    <w:p>
      <w:pPr>
        <w:pStyle w:val="ListParagraph"/>
        <w:numPr>
          <w:ilvl w:val="0"/>
          <w:numId w:val="3"/>
        </w:numPr>
        <w:spacing w:after="60" w:line="270"/>
      </w:pPr>
      <w:r>
        <w:rPr>
          <w:sz w:val="21"/>
          <w:szCs w:val="21"/>
        </w:rPr>
        <w:t xml:space="preserve">Quyền lực đi kèm giới hạn quyền lực — luôn hiển thị Minh bạch cạnh Chính danh.</w:t>
      </w:r>
    </w:p>
    <w:p>
      <w:pPr>
        <w:pStyle w:val="ListParagraph"/>
        <w:numPr>
          <w:ilvl w:val="0"/>
          <w:numId w:val="3"/>
        </w:numPr>
        <w:spacing w:after="60" w:line="270"/>
      </w:pPr>
      <w:r>
        <w:rPr>
          <w:sz w:val="21"/>
          <w:szCs w:val="21"/>
        </w:rPr>
        <w:t xml:space="preserve">Dân vận đi trước: bề mặt phục vụ người dân, thẩm quyền hậu thuẫn phía sau.</w:t>
      </w:r>
    </w:p>
    <w:p>
      <w:pPr>
        <w:pStyle w:val="ListParagraph"/>
        <w:numPr>
          <w:ilvl w:val="0"/>
          <w:numId w:val="3"/>
        </w:numPr>
        <w:spacing w:after="60" w:line="270"/>
      </w:pPr>
      <w:r>
        <w:rPr>
          <w:sz w:val="21"/>
          <w:szCs w:val="21"/>
        </w:rPr>
        <w:t xml:space="preserve">Từ vựng có kiểm soát cho mọi tín hiệu niềm tin (M1–M4, 4 trạng thái đính chính).</w:t>
      </w:r>
    </w:p>
    <w:p>
      <w:pPr>
        <w:pStyle w:val="ListParagraph"/>
        <w:numPr>
          <w:ilvl w:val="0"/>
          <w:numId w:val="3"/>
        </w:numPr>
        <w:spacing w:after="60" w:line="270"/>
      </w:pPr>
      <w:r>
        <w:rPr>
          <w:sz w:val="21"/>
          <w:szCs w:val="21"/>
        </w:rPr>
        <w:t xml:space="preserve">Trang bài viết tuân thủ quy tắc 3 giây trong 6 dòng đầu (mobile).</w:t>
      </w:r>
    </w:p>
    <w:p>
      <w:pPr>
        <w:pStyle w:val="Heading3"/>
        <w:spacing w:after="80" w:before="180"/>
      </w:pPr>
      <w:r>
        <w:rPr>
          <w:b/>
          <w:bCs/>
          <w:color w:val="012932"/>
        </w:rPr>
        <w:t xml:space="preserve">11.2. Chỉ số đo lường (KPIs) cho nhà đầu tư</w:t>
      </w:r>
    </w:p>
    <w:p>
      <w:pPr>
        <w:pStyle w:val="ListParagraph"/>
        <w:numPr>
          <w:ilvl w:val="0"/>
          <w:numId w:val="2"/>
        </w:numPr>
        <w:spacing w:after="60" w:line="270"/>
      </w:pPr>
      <w:r>
        <w:rPr>
          <w:b/>
          <w:bCs/>
          <w:sz w:val="21"/>
          <w:szCs w:val="21"/>
        </w:rPr>
        <w:t xml:space="preserve">Tỷ lệ truy nguyên thẩm quyền: </w:t>
      </w:r>
      <w:r>
        <w:rPr>
          <w:sz w:val="21"/>
          <w:szCs w:val="21"/>
        </w:rPr>
        <w:t xml:space="preserve">% phiên có xem tín hiệu bảo chứng (tên chuyên gia / hội / quy trình 8 bước).</w:t>
      </w:r>
    </w:p>
    <w:p>
      <w:pPr>
        <w:pStyle w:val="ListParagraph"/>
        <w:numPr>
          <w:ilvl w:val="0"/>
          <w:numId w:val="2"/>
        </w:numPr>
        <w:spacing w:after="60" w:line="270"/>
      </w:pPr>
      <w:r>
        <w:rPr>
          <w:b/>
          <w:bCs/>
          <w:sz w:val="21"/>
          <w:szCs w:val="21"/>
        </w:rPr>
        <w:t xml:space="preserve">Độ sâu tới bằng chứng: </w:t>
      </w:r>
      <w:r>
        <w:rPr>
          <w:sz w:val="21"/>
          <w:szCs w:val="21"/>
        </w:rPr>
        <w:t xml:space="preserve">số cú chạm trung bình nội dung → nguồn thẩm quyền (mục tiêu ≤1).</w:t>
      </w:r>
    </w:p>
    <w:p>
      <w:pPr>
        <w:pStyle w:val="ListParagraph"/>
        <w:numPr>
          <w:ilvl w:val="0"/>
          <w:numId w:val="2"/>
        </w:numPr>
        <w:spacing w:after="60" w:line="270"/>
      </w:pPr>
      <w:r>
        <w:rPr>
          <w:b/>
          <w:bCs/>
          <w:sz w:val="21"/>
          <w:szCs w:val="21"/>
        </w:rPr>
        <w:t xml:space="preserve">Sức khỏe vòng lặp giá trị: </w:t>
      </w:r>
      <w:r>
        <w:rPr>
          <w:sz w:val="21"/>
          <w:szCs w:val="21"/>
        </w:rPr>
        <w:t xml:space="preserve">số chuyên gia mới tham gia; số bài thẩm định/tháng; lượt phục vụ cộng đồng.</w:t>
      </w:r>
    </w:p>
    <w:p>
      <w:pPr>
        <w:pStyle w:val="ListParagraph"/>
        <w:numPr>
          <w:ilvl w:val="0"/>
          <w:numId w:val="2"/>
        </w:numPr>
        <w:spacing w:after="60" w:line="270"/>
      </w:pPr>
      <w:r>
        <w:rPr>
          <w:b/>
          <w:bCs/>
          <w:sz w:val="21"/>
          <w:szCs w:val="21"/>
        </w:rPr>
        <w:t xml:space="preserve">Chuyển đổi giá trị: </w:t>
      </w:r>
      <w:r>
        <w:rPr>
          <w:sz w:val="21"/>
          <w:szCs w:val="21"/>
        </w:rPr>
        <w:t xml:space="preserve">lượt tải thông cáo/media kit của báo chí; số yêu cầu hợp tác/tư vấn/đào tạo.</w:t>
      </w:r>
    </w:p>
    <w:p>
      <w:pPr>
        <w:pBdr>
          <w:bottom w:val="single" w:color="BFD9E0" w:sz="6"/>
        </w:pBdr>
        <w:spacing w:after="120" w:before="80"/>
      </w:pPr>
    </w:p>
    <w:p>
      <w:pPr>
        <w:pStyle w:val="Heading1"/>
        <w:spacing w:after="140" w:before="320"/>
      </w:pPr>
      <w:r>
        <w:rPr>
          <w:b/>
          <w:bCs/>
          <w:color w:val="012932"/>
        </w:rPr>
        <w:t xml:space="preserve">12. Tài liệu hóa &amp; Bước tiếp theo</w:t>
      </w:r>
    </w:p>
    <w:p>
      <w:pPr>
        <w:pStyle w:val="ListParagraph"/>
        <w:numPr>
          <w:ilvl w:val="0"/>
          <w:numId w:val="2"/>
        </w:numPr>
        <w:spacing w:after="60" w:line="270"/>
      </w:pPr>
      <w:r>
        <w:rPr>
          <w:b/>
          <w:bCs/>
          <w:sz w:val="21"/>
          <w:szCs w:val="21"/>
        </w:rPr>
        <w:t xml:space="preserve">Blueprint/Sitemap &amp; 10 khối trang chủ: </w:t>
      </w:r>
      <w:r>
        <w:rPr>
          <w:sz w:val="21"/>
          <w:szCs w:val="21"/>
        </w:rPr>
        <w:t xml:space="preserve">Mục 3.2–3.3.</w:t>
      </w:r>
    </w:p>
    <w:p>
      <w:pPr>
        <w:pStyle w:val="ListParagraph"/>
        <w:numPr>
          <w:ilvl w:val="0"/>
          <w:numId w:val="2"/>
        </w:numPr>
        <w:spacing w:after="60" w:line="270"/>
      </w:pPr>
      <w:r>
        <w:rPr>
          <w:b/>
          <w:bCs/>
          <w:sz w:val="21"/>
          <w:szCs w:val="21"/>
        </w:rPr>
        <w:t xml:space="preserve">Wireframe cần bổ sung: </w:t>
      </w:r>
      <w:r>
        <w:rPr>
          <w:sz w:val="21"/>
          <w:szCs w:val="21"/>
        </w:rPr>
        <w:t xml:space="preserve">(a) template bài viết theo quy tắc 3 giây (Mục 9); (b) hồ sơ chuyên gia; (c) trang kết quả tìm kiếm gắn nhãn M1–M4; (d) overlay Bản đồ nội dung.</w:t>
      </w:r>
    </w:p>
    <w:p>
      <w:pPr>
        <w:pStyle w:val="ListParagraph"/>
        <w:numPr>
          <w:ilvl w:val="0"/>
          <w:numId w:val="2"/>
        </w:numPr>
        <w:spacing w:after="60" w:line="270"/>
      </w:pPr>
      <w:r>
        <w:rPr>
          <w:b/>
          <w:bCs/>
          <w:sz w:val="21"/>
          <w:szCs w:val="21"/>
        </w:rPr>
        <w:t xml:space="preserve">Content model: </w:t>
      </w:r>
      <w:r>
        <w:rPr>
          <w:sz w:val="21"/>
          <w:szCs w:val="21"/>
        </w:rPr>
        <w:t xml:space="preserve">chuẩn hóa “Đơn vị nội dung có thẩm quyền” (Mục 7) thành schema CMS, gồm outbound_trust_link.</w:t>
      </w:r>
    </w:p>
    <w:p>
      <w:pPr>
        <w:pStyle w:val="ListParagraph"/>
        <w:numPr>
          <w:ilvl w:val="0"/>
          <w:numId w:val="2"/>
        </w:numPr>
        <w:spacing w:after="60" w:line="270"/>
      </w:pPr>
      <w:r>
        <w:rPr>
          <w:b/>
          <w:bCs/>
          <w:sz w:val="21"/>
          <w:szCs w:val="21"/>
        </w:rPr>
        <w:t xml:space="preserve">Kiểm thử: </w:t>
      </w:r>
      <w:r>
        <w:rPr>
          <w:sz w:val="21"/>
          <w:szCs w:val="21"/>
        </w:rPr>
        <w:t xml:space="preserve">card sorting nhãn nhánh thẩm quyền; tree testing độ truy nguyên; test 3 giây (first-click / 5-second test) trên mobile; test tiếp cận với người cao tuổi.</w:t>
      </w:r>
    </w:p>
    <w:p>
      <w:pPr>
        <w:pStyle w:val="ListParagraph"/>
        <w:numPr>
          <w:ilvl w:val="0"/>
          <w:numId w:val="2"/>
        </w:numPr>
        <w:spacing w:after="60" w:line="270"/>
      </w:pPr>
      <w:r>
        <w:rPr>
          <w:b/>
          <w:bCs/>
          <w:sz w:val="21"/>
          <w:szCs w:val="21"/>
        </w:rPr>
        <w:t xml:space="preserve">Quản trị: </w:t>
      </w:r>
      <w:r>
        <w:rPr>
          <w:sz w:val="21"/>
          <w:szCs w:val="21"/>
        </w:rPr>
        <w:t xml:space="preserve">duy trì từ vựng có kiểm soát (M1–M4, chuyên khoa) &amp; nhật ký đính chính 4 trạng thái; quy chế kiểm soát AI trên CMS.</w:t>
      </w:r>
    </w:p>
    <w:p>
      <w:pPr>
        <w:spacing w:after="60"/>
      </w:pPr>
    </w:p>
    <w:p>
      <w:pPr>
        <w:spacing w:before="200"/>
      </w:pPr>
      <w:r>
        <w:rPr>
          <w:i/>
          <w:iCs/>
          <w:color w:val="666666"/>
          <w:sz w:val="18"/>
          <w:szCs w:val="18"/>
        </w:rPr>
        <w:t xml:space="preserve">Tài liệu áp dụng khung Information Architecture (Rosenfeld, Morville &amp; Arango), tích hợp tài liệu “Kiến trúc Lớp nang &amp; Quy tắc thiết kế trang bài viết” của CCHC. Nội dung minh hoạ trên bản demo định hướng giao diện — không phải thiết kế cuối cùng.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CCHC · Tài liệu Thiết kế UI/UX (IA O’Reilly + 4 Lớp nang) · Trang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pPr>
    <w:rPr>
      <w:rFonts w:ascii="Calibri" w:cs="Calibri" w:eastAsia="Calibri" w:hAnsi="Calibri"/>
      <w:b/>
      <w:bCs/>
      <w:color w:val="012932"/>
      <w:sz w:val="30"/>
      <w:szCs w:val="30"/>
    </w:rPr>
  </w:style>
  <w:style w:type="paragraph" w:styleId="Heading2">
    <w:name w:val="Heading 2"/>
    <w:basedOn w:val="Normal"/>
    <w:next w:val="Normal"/>
    <w:qFormat/>
    <w:pPr>
      <w:spacing w:after="100" w:before="240"/>
    </w:pPr>
    <w:rPr>
      <w:rFonts w:ascii="Calibri" w:cs="Calibri" w:eastAsia="Calibri" w:hAnsi="Calibri"/>
      <w:b/>
      <w:bCs/>
      <w:color w:val="037B96"/>
      <w:sz w:val="25"/>
      <w:szCs w:val="25"/>
    </w:rPr>
  </w:style>
  <w:style w:type="paragraph" w:styleId="Heading3">
    <w:name w:val="Heading 3"/>
    <w:basedOn w:val="Normal"/>
    <w:next w:val="Normal"/>
    <w:qFormat/>
    <w:pPr>
      <w:spacing w:after="70" w:before="160"/>
    </w:pPr>
    <w:rPr>
      <w:rFonts w:ascii="Calibri" w:cs="Calibri" w:eastAsia="Calibri" w:hAnsi="Calibri"/>
      <w:b/>
      <w:bCs/>
      <w:color w:val="01293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Thiết kế UI/UX — CCHC (dành cho Nhà đầu tư)</dc:title>
  <dc:creator>CCHC</dc:creator>
  <cp:lastModifiedBy>Un-named</cp:lastModifiedBy>
  <cp:revision>1</cp:revision>
  <dcterms:created xsi:type="dcterms:W3CDTF">2026-07-28T10:12:42.291Z</dcterms:created>
  <dcterms:modified xsi:type="dcterms:W3CDTF">2026-07-28T10:12:42.293Z</dcterms:modified>
</cp:coreProperties>
</file>

<file path=docProps/custom.xml><?xml version="1.0" encoding="utf-8"?>
<Properties xmlns="http://schemas.openxmlformats.org/officeDocument/2006/custom-properties" xmlns:vt="http://schemas.openxmlformats.org/officeDocument/2006/docPropsVTypes"/>
</file>