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012932"/>
          <w:sz w:val="64"/>
          <w:szCs w:val="64"/>
        </w:rPr>
        <w:t xml:space="preserve">CCHC</w:t>
      </w:r>
    </w:p>
    <w:p>
      <w:pPr>
        <w:spacing w:after="240"/>
        <w:jc w:val="center"/>
      </w:pPr>
      <w:r>
        <w:rPr>
          <w:i/>
          <w:iCs/>
          <w:color w:val="037B96"/>
          <w:sz w:val="21"/>
          <w:szCs w:val="21"/>
        </w:rPr>
        <w:t xml:space="preserve">Trung tâm Truyền thông và Chăm sóc Sức khỏe Cộng đồng · Tổng hội Y học Việt Nam</w:t>
      </w:r>
    </w:p>
    <w:p>
      <w:pPr>
        <w:spacing w:after="40"/>
        <w:jc w:val="center"/>
      </w:pPr>
      <w:r>
        <w:rPr>
          <w:b/>
          <w:bCs/>
          <w:color w:val="012932"/>
          <w:sz w:val="40"/>
          <w:szCs w:val="40"/>
        </w:rPr>
        <w:t xml:space="preserve">TÀI LIỆU THIẾT KẾ UI/UX</w:t>
      </w:r>
    </w:p>
    <w:p>
      <w:pPr>
        <w:spacing w:after="40"/>
        <w:jc w:val="center"/>
      </w:pPr>
      <w:r>
        <w:rPr>
          <w:color w:val="333333"/>
          <w:sz w:val="21"/>
          <w:szCs w:val="21"/>
        </w:rPr>
        <w:t xml:space="preserve">Thiết kế Mobile-first · Kiến trúc Thông tin (O’Reilly) · Chiến lược “4 Lớp nang” · Triết lý UX</w:t>
      </w:r>
    </w:p>
    <w:p>
      <w:pPr>
        <w:spacing w:after="340"/>
        <w:jc w:val="center"/>
      </w:pPr>
      <w:r>
        <w:rPr>
          <w:i/>
          <w:iCs/>
          <w:color w:val="666666"/>
          <w:sz w:val="19"/>
          <w:szCs w:val="19"/>
        </w:rPr>
        <w:t xml:space="preserve">Rosenfeld · Morville · Arango — “The Polar Bear Book”</w:t>
      </w:r>
    </w:p>
    <w:p>
      <w:pPr>
        <w:pBdr>
          <w:top w:val="single" w:color="037B96" w:sz="6"/>
          <w:bottom w:val="single" w:color="037B96" w:sz="6"/>
          <w:left w:val="single" w:color="037B96" w:sz="6"/>
          <w:right w:val="single" w:color="037B96" w:sz="6"/>
        </w:pBdr>
        <w:shd w:fill="037B96" w:color="auto" w:val="clear"/>
        <w:spacing w:after="800"/>
        <w:jc w:val="center"/>
      </w:pPr>
      <w:r>
        <w:rPr>
          <w:b/>
          <w:bCs/>
          <w:color w:val="FFFFFF"/>
          <w:sz w:val="22"/>
          <w:szCs w:val="22"/>
        </w:rPr>
        <w:t xml:space="preserve">⁃  TÀI LIỆU DÀNH CHO NHÀ ĐẦU TƯ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Hạng mục</w:t>
            </w:r>
          </w:p>
        </w:tc>
        <w:tc>
          <w:tcPr>
            <w:tcW w:type="dxa" w:w="624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Nội dung</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Sản phẩm</w:t>
            </w:r>
          </w:p>
        </w:tc>
        <w:tc>
          <w:tcPr>
            <w:tcW w:type="dxa" w:w="62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Cổng thông tin CCHC — nguồn phát ngôn có thẩm quyền về sức khỏe cộng đồng</w:t>
            </w:r>
          </w:p>
        </w:tc>
      </w:tr>
      <w:tr>
        <w:trPr>
          <w:cantSplit/>
          <w:tblHeader w:val="false"/>
        </w:trPr>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Loại hình</w:t>
            </w:r>
          </w:p>
        </w:tc>
        <w:tc>
          <w:tcPr>
            <w:tcW w:type="dxa" w:w="624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Website chính trị – chính sách (đơn vị trực thuộc Tổng hội Y học Việt Nam)</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Trọng tâm chiến lược</w:t>
            </w:r>
          </w:p>
        </w:tc>
        <w:tc>
          <w:tcPr>
            <w:tcW w:type="dxa" w:w="62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Hậu thuẫn thể chế &amp; Thẩm quyền (lớp Chính danh) — quyền lực bảo chứng sau mọi nội dung</w:t>
            </w:r>
          </w:p>
        </w:tc>
      </w:tr>
      <w:tr>
        <w:trPr>
          <w:cantSplit/>
          <w:tblHeader w:val="false"/>
        </w:trPr>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Khung nền tảng</w:t>
            </w:r>
          </w:p>
        </w:tc>
        <w:tc>
          <w:tcPr>
            <w:tcW w:type="dxa" w:w="624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Mobile-first + IA O’Reilly + “4 Lớp nang” (Chính danh · Tri thức · Hành động · Minh bạch) + 5 triết lý UX</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Nguyên tắc chủ đạo</w:t>
            </w:r>
          </w:p>
        </w:tc>
        <w:tc>
          <w:tcPr>
            <w:tcW w:type="dxa" w:w="62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Mobile-first mặc định — điện thoại là chuẩn gốc của mọi mô tả giao diện; desktop là bản mở rộng</w:t>
            </w:r>
          </w:p>
        </w:tc>
      </w:tr>
      <w:tr>
        <w:trPr>
          <w:cantSplit/>
          <w:tblHeader w:val="false"/>
        </w:trPr>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Nguồn tích hợp</w:t>
            </w:r>
          </w:p>
        </w:tc>
        <w:tc>
          <w:tcPr>
            <w:tcW w:type="dxa" w:w="624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Tài liệu Kiến trúc Lớp nang; Hồ sơ Thiết kế Trải nghiệm Người dùng Nền tảng CCHC (2026)</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Phiên bản</w:t>
            </w:r>
          </w:p>
        </w:tc>
        <w:tc>
          <w:tcPr>
            <w:tcW w:type="dxa" w:w="62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1.4 — nâng cao văn phong &amp; tinh chỉnh trình bày (mobile-first mặc định, thanh tab đáy 4 nút là chuẩn gốc)</w:t>
            </w:r>
          </w:p>
        </w:tc>
      </w:tr>
    </w:tbl>
    <w:p>
      <w:r>
        <w:br w:type="page"/>
      </w:r>
    </w:p>
    <w:p>
      <w:pPr>
        <w:pStyle w:val="Heading1"/>
        <w:pBdr>
          <w:bottom w:val="single" w:color="037B96" w:sz="10"/>
        </w:pBdr>
        <w:spacing w:after="130" w:before="340"/>
      </w:pPr>
      <w:r>
        <w:rPr>
          <w:b/>
          <w:bCs/>
          <w:color w:val="0129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37B96" w:sz="10"/>
        </w:pBdr>
        <w:spacing w:after="130" w:before="340"/>
      </w:pPr>
      <w:r>
        <w:rPr>
          <w:b/>
          <w:bCs/>
          <w:color w:val="012932"/>
        </w:rPr>
        <w:t xml:space="preserve">0. Tóm tắt cho Nhà đầu tư (Executive Summary)</w:t>
      </w:r>
    </w:p>
    <w:p>
      <w:pPr>
        <w:spacing w:after="120" w:line="276"/>
      </w:pPr>
      <w:r>
        <w:rPr>
          <w:sz w:val="21"/>
          <w:szCs w:val="21"/>
        </w:rPr>
        <w:t xml:space="preserve">CCHC không đơn thuần là một cổng thông tin sức khỏe thường thấy. Xét về bản chất chiến lược, đây là một </w:t>
      </w:r>
      <w:r>
        <w:rPr>
          <w:b/>
          <w:bCs/>
          <w:sz w:val="21"/>
          <w:szCs w:val="21"/>
        </w:rPr>
        <w:t xml:space="preserve">thiết chế truyền thông mang tầm vóc chính danh</w:t>
      </w:r>
      <w:r>
        <w:rPr>
          <w:sz w:val="21"/>
          <w:szCs w:val="21"/>
        </w:rPr>
        <w:t xml:space="preserve"> — đơn vị trực thuộc </w:t>
      </w:r>
      <w:r>
        <w:rPr>
          <w:b/>
          <w:bCs/>
          <w:sz w:val="21"/>
          <w:szCs w:val="21"/>
        </w:rPr>
        <w:t xml:space="preserve">Tổng hội Y học Việt Nam</w:t>
      </w:r>
      <w:r>
        <w:rPr>
          <w:sz w:val="21"/>
          <w:szCs w:val="21"/>
        </w:rPr>
        <w:t xml:space="preserve"> — vận dụng uy tín thể chế để bảo chứng cho từng nội dung y tế và kiến tạo ảnh hưởng bền vững lên chính sách, trong khi vẫn đặt trải nghiệm của người dân ở vị trí thượng tôn nơi bề mặt. Lợi thế cạnh tranh cốt lõi, vì thế, không đến từ khối lượng nội dung, mà kết tinh ở </w:t>
      </w:r>
      <w:r>
        <w:rPr>
          <w:b/>
          <w:bCs/>
          <w:sz w:val="21"/>
          <w:szCs w:val="21"/>
        </w:rPr>
        <w:t xml:space="preserve">tầng quyền lực hậu thuẫn</w:t>
      </w:r>
      <w:r>
        <w:rPr>
          <w:sz w:val="21"/>
          <w:szCs w:val="21"/>
        </w:rPr>
        <w:t xml:space="preserve"> đứng phía sau từng con chữ.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Con hào cạnh tranh không thể sao chép</w:t>
            </w:r>
          </w:p>
          <w:p>
            <w:pPr>
              <w:spacing w:after="0" w:line="264"/>
            </w:pPr>
            <w:r>
              <w:rPr>
                <w:sz w:val="21"/>
                <w:szCs w:val="21"/>
              </w:rPr>
              <w:t xml:space="preserve">Tổng hội Y học Việt Nam quy tụ </w:t>
            </w:r>
            <w:r>
              <w:rPr>
                <w:b/>
                <w:bCs/>
                <w:sz w:val="21"/>
                <w:szCs w:val="21"/>
              </w:rPr>
              <w:t xml:space="preserve">hơn 2.000 chuyên gia</w:t>
            </w:r>
            <w:r>
              <w:rPr>
                <w:sz w:val="21"/>
                <w:szCs w:val="21"/>
              </w:rPr>
              <w:t xml:space="preserve"> thuộc trên 50 chuyên ngành, kết tinh </w:t>
            </w:r>
            <w:r>
              <w:rPr>
                <w:b/>
                <w:bCs/>
                <w:sz w:val="21"/>
                <w:szCs w:val="21"/>
              </w:rPr>
              <w:t xml:space="preserve">hơn 75 năm bề dày lịch sử</w:t>
            </w:r>
            <w:r>
              <w:rPr>
                <w:sz w:val="21"/>
                <w:szCs w:val="21"/>
              </w:rPr>
              <w:t xml:space="preserve"> (thành lập từ năm 1955), và nắm giữ </w:t>
            </w:r>
            <w:r>
              <w:rPr>
                <w:b/>
                <w:bCs/>
                <w:sz w:val="21"/>
                <w:szCs w:val="21"/>
              </w:rPr>
              <w:t xml:space="preserve">thẩm quyền CME độc quyền theo Nghị định 96/2023</w:t>
            </w:r>
            <w:r>
              <w:rPr>
                <w:sz w:val="21"/>
                <w:szCs w:val="21"/>
              </w:rPr>
              <w:t xml:space="preserve">. Đây là thứ uy tín thể chế không thể kiến tạo bằng ngân sách marketing, cũng không một startup hay nền tảng nào có thể sao chép trong ngắn hạn — nền móng vững chắc nhất cho luận điểm đầu tư.</w:t>
            </w:r>
          </w:p>
        </w:tc>
      </w:tr>
    </w:tbl>
    <w:p>
      <w:pPr>
        <w:spacing w:after="60"/>
      </w:pPr>
    </w:p>
    <w:p>
      <w:pPr>
        <w:pStyle w:val="Heading3"/>
        <w:spacing w:after="80" w:before="180"/>
      </w:pPr>
      <w:r>
        <w:rPr>
          <w:b/>
          <w:bCs/>
          <w:color w:val="012932"/>
        </w:rPr>
        <w:t xml:space="preserve">Luận điểm đầu tư (Investment thesis)</w:t>
      </w:r>
    </w:p>
    <w:p>
      <w:pPr>
        <w:pStyle w:val="ListParagraph"/>
        <w:numPr>
          <w:ilvl w:val="0"/>
          <w:numId w:val="2"/>
        </w:numPr>
        <w:spacing w:after="60" w:line="270"/>
      </w:pPr>
      <w:r>
        <w:rPr>
          <w:b/>
          <w:bCs/>
          <w:sz w:val="21"/>
          <w:szCs w:val="21"/>
        </w:rPr>
        <w:t xml:space="preserve">Con hào nằm ở lớp Chính danh: </w:t>
      </w:r>
      <w:r>
        <w:rPr>
          <w:sz w:val="21"/>
          <w:szCs w:val="21"/>
        </w:rPr>
        <w:t xml:space="preserve">sự hậu thuẫn của Tổng hội là một tài sản đặc quyền, gần như bất khả sao chép trong ngắn hạn.</w:t>
      </w:r>
    </w:p>
    <w:p>
      <w:pPr>
        <w:pStyle w:val="ListParagraph"/>
        <w:numPr>
          <w:ilvl w:val="0"/>
          <w:numId w:val="2"/>
        </w:numPr>
        <w:spacing w:after="60" w:line="270"/>
      </w:pPr>
      <w:r>
        <w:rPr>
          <w:b/>
          <w:bCs/>
          <w:sz w:val="21"/>
          <w:szCs w:val="21"/>
        </w:rPr>
        <w:t xml:space="preserve">Niềm tin được chuyển hóa thành doanh thu: </w:t>
      </w:r>
      <w:r>
        <w:rPr>
          <w:sz w:val="21"/>
          <w:szCs w:val="21"/>
        </w:rPr>
        <w:t xml:space="preserve">chính uy tín ấy khai mở ba dòng giá trị bền vững — quan hệ báo chí, hợp tác &amp; tư vấn cho tổ chức, cùng đào tạo CME và chuyển giao khoa học – công nghệ theo hợp đồng.</w:t>
      </w:r>
    </w:p>
    <w:p>
      <w:pPr>
        <w:pStyle w:val="ListParagraph"/>
        <w:numPr>
          <w:ilvl w:val="0"/>
          <w:numId w:val="2"/>
        </w:numPr>
        <w:spacing w:after="60" w:line="270"/>
      </w:pPr>
      <w:r>
        <w:rPr>
          <w:b/>
          <w:bCs/>
          <w:sz w:val="21"/>
          <w:szCs w:val="21"/>
        </w:rPr>
        <w:t xml:space="preserve">Một vòng lặp giá trị tự củng cố: </w:t>
      </w:r>
      <w:r>
        <w:rPr>
          <w:sz w:val="21"/>
          <w:szCs w:val="21"/>
        </w:rPr>
        <w:t xml:space="preserve">Chuyên gia sản sinh Tri thức, Tri thức phụng sự Cộng đồng, và chính Cộng đồng lại trở thành minh chứng thu hút thêm Chuyên gia mới.</w:t>
      </w:r>
    </w:p>
    <w:p>
      <w:pPr>
        <w:pStyle w:val="ListParagraph"/>
        <w:numPr>
          <w:ilvl w:val="0"/>
          <w:numId w:val="2"/>
        </w:numPr>
        <w:spacing w:after="60" w:line="270"/>
      </w:pPr>
      <w:r>
        <w:rPr>
          <w:b/>
          <w:bCs/>
          <w:sz w:val="21"/>
          <w:szCs w:val="21"/>
        </w:rPr>
        <w:t xml:space="preserve">Rủi ro trọng yếu là rủi ro niềm tin: </w:t>
      </w:r>
      <w:r>
        <w:rPr>
          <w:sz w:val="21"/>
          <w:szCs w:val="21"/>
        </w:rPr>
        <w:t xml:space="preserve">mỗi sơ suất về minh bạch đều bị khấu trừ trực tiếp vào “ngân sách uy tín”; bởi vậy, lớp Minh bạch chính là tấm bảo hiểm cho tài sản cốt lõi.</w:t>
      </w:r>
    </w:p>
    <w:p>
      <w:pPr>
        <w:spacing w:after="60"/>
      </w:pPr>
    </w:p>
    <w:p>
      <w:pPr>
        <w:pStyle w:val="Heading3"/>
        <w:spacing w:after="80" w:before="180"/>
      </w:pPr>
      <w:r>
        <w:rPr>
          <w:b/>
          <w:bCs/>
          <w:color w:val="012932"/>
        </w:rPr>
        <w:t xml:space="preserve">Cơ sở bằng chứng (vì sao thiết kế này thắng)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Sự thật thị trường / hành vi</w:t>
            </w:r>
          </w:p>
        </w:tc>
        <w:tc>
          <w:tcPr>
            <w:tcW w:type="dxa" w:w="46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Hệ quả thiết kế</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97,2% người Việt tra cứu thông tin y tế qua điện thoại (We Are Social 2024)</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Mobile-first tuyệt đối</w:t>
            </w:r>
          </w:p>
        </w:tc>
      </w:tr>
      <w:tr>
        <w:trPr>
          <w:cantSplit/>
          <w:tblHeader w:val="false"/>
        </w:trPr>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Người dùng quyết định ở lại trong 3–5 giây đầu; mỗi giây tải chậm +7–12% thoát</w:t>
            </w:r>
          </w:p>
        </w:tc>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Quy tắc 3 giây, tải &lt; 2s</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73% người Việt không phân biệt được tin y tế đúng/sai (UNICEF 2021)</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Chính danh hiển thị rõ ràng</w:t>
            </w:r>
          </w:p>
        </w:tc>
      </w:tr>
      <w:tr>
        <w:trPr>
          <w:cantSplit/>
          <w:tblHeader w:val="false"/>
        </w:trPr>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 hiển thị (Visible Agent Effect) tăng thuyết phục 89% — d = 0,89</w:t>
            </w:r>
          </w:p>
        </w:tc>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Hộp chính danh ba tầng ở đầu bài</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Yếu tố “miễn phí” chiếm 46,9% trọng số quyết định tiếp cận (OR = 3,433)</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Không rào cản đăng nhập bắt buộc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12932"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Nguyên tắc chủ đạo: Mobile-first mặc định</w:t>
            </w:r>
          </w:p>
          <w:p>
            <w:pPr>
              <w:spacing w:after="0" w:line="264"/>
            </w:pPr>
            <w:r>
              <w:rPr>
                <w:sz w:val="21"/>
                <w:szCs w:val="21"/>
              </w:rPr>
              <w:t xml:space="preserve">Vì 97,2% người dùng đến bằng điện thoại, </w:t>
            </w:r>
            <w:r>
              <w:rPr>
                <w:b/>
                <w:bCs/>
                <w:sz w:val="21"/>
                <w:szCs w:val="21"/>
              </w:rPr>
              <w:t xml:space="preserve">toàn bộ tài liệu này mô tả thiết kế lấy màn hình điện thoại làm chuẩn gốc</w:t>
            </w:r>
            <w:r>
              <w:rPr>
                <w:sz w:val="21"/>
                <w:szCs w:val="21"/>
              </w:rPr>
              <w:t xml:space="preserve">. Điều hướng chính là thanh tab đáy 4 nút (vùng ngón cái); mọi trang xếp dọc một cột theo thứ tự ưu tiên; máy tính chỉ là </w:t>
            </w:r>
            <w:r>
              <w:rPr>
                <w:b/>
                <w:bCs/>
                <w:sz w:val="21"/>
                <w:szCs w:val="21"/>
              </w:rPr>
              <w:t xml:space="preserve">bản mở rộng</w:t>
            </w:r>
            <w:r>
              <w:rPr>
                <w:sz w:val="21"/>
                <w:szCs w:val="21"/>
              </w:rPr>
              <w:t xml:space="preserve"> của cùng một kiến trúc, không phải chiều ngược lại.</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1. Khung chiến lược “4 Lớp nang” — xương sống của toàn bộ IA</w:t>
      </w:r>
    </w:p>
    <w:p>
      <w:pPr>
        <w:spacing w:after="120" w:line="276"/>
      </w:pPr>
      <w:r>
        <w:rPr>
          <w:sz w:val="21"/>
          <w:szCs w:val="21"/>
        </w:rPr>
        <w:t xml:space="preserve">Mọi quyết định về Kiến trúc Thông tin đều quy phục một bộ khung bốn lớp xếp chồng — phương thức để CCHC chuyển hóa “quyền lực hậu thuẫn” từ một mệnh đề trừu tượng thành cấu trúc vận hành cụ thể, hữu hình trên từng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cantSplit/>
          <w:tblHeader/>
        </w:trPr>
        <w:tc>
          <w:tcPr>
            <w:tcW w:type="dxa" w:w="19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Lớp nang</w:t>
            </w:r>
          </w:p>
        </w:tc>
        <w:tc>
          <w:tcPr>
            <w:tcW w:type="dxa" w:w="34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Dụng ý chiến lược</w:t>
            </w:r>
          </w:p>
        </w:tc>
        <w:tc>
          <w:tcPr>
            <w:tcW w:type="dxa" w:w="40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Hiện diện trên site (IA)</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① Chính danh (Legitimacy)</w:t>
            </w:r>
          </w:p>
        </w:tc>
        <w:tc>
          <w:tcPr>
            <w:tcW w:type="dxa" w:w="3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Khẳng định tư cách “cánh tay truyền thông của Tổng hội”; gốc thẩm quyền cho mọi nội dung.</w:t>
            </w:r>
          </w:p>
        </w:tc>
        <w:tc>
          <w:tcPr>
            <w:tcW w:type="dxa" w:w="40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Banner Tổng hội, nhánh Tổng hội &amp; Chính sách, Về CCHC, Trung tâm báo chí, logo wall</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② Tri thức (Knowledge)</w:t>
            </w:r>
          </w:p>
        </w:tc>
        <w:tc>
          <w:tcPr>
            <w:tcW w:type="dxa" w:w="3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Chứng minh nguồn tin cấp một; công cụ tra cứu dễ hiểu, an toàn cho người dân.</w:t>
            </w:r>
          </w:p>
        </w:tc>
        <w:tc>
          <w:tcPr>
            <w:tcW w:type="dxa" w:w="40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Thư viện M1–M4, hồ sơ chủ đề, tin Tổng hội &amp; hội chuyên khoa</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③ Hành động (Action)</w:t>
            </w:r>
          </w:p>
        </w:tc>
        <w:tc>
          <w:tcPr>
            <w:tcW w:type="dxa" w:w="3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Vinh danh &amp; kết nối chuyên gia; mở kênh hợp tác, đào tạo, chuyển giao KHCN.</w:t>
            </w:r>
          </w:p>
        </w:tc>
        <w:tc>
          <w:tcPr>
            <w:tcW w:type="dxa" w:w="40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Mạng lưới chuyên gia, Hợp tác &amp; Dịch vụ, đào tạo liên kết, đối thoại chính sách</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④ Minh bạch (Transparency)</w:t>
            </w:r>
          </w:p>
        </w:tc>
        <w:tc>
          <w:tcPr>
            <w:tcW w:type="dxa" w:w="3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Chốt hạ niềm tin bằng công khai quy trình &amp; giới hạn quyền lực.</w:t>
            </w:r>
          </w:p>
        </w:tc>
        <w:tc>
          <w:tcPr>
            <w:tcW w:type="dxa" w:w="40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Quy trình 8 bước, tài trợ &amp; COI, AI có kiểm soát, nhật ký đính chính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Meta-trust &amp; triết lý bề mặt “Dân vận đi trước — Đảng vận theo sau”</w:t>
            </w:r>
          </w:p>
          <w:p>
            <w:pPr>
              <w:spacing w:after="0" w:line="264"/>
            </w:pPr>
            <w:r>
              <w:rPr>
                <w:sz w:val="21"/>
                <w:szCs w:val="21"/>
              </w:rPr>
              <w:t xml:space="preserve">CCHC chủ động phơi bày trọn vẹn bộ khung bốn lớp, mời gọi người dùng đặt niềm tin vào chính quy trình kiến tạo thông tin — đó là tinh thần Meta-trust. Dẫu đích đến sau cùng là chính danh hóa và gây ảnh hưởng lên chính sách, </w:t>
            </w:r>
            <w:r>
              <w:rPr>
                <w:b/>
                <w:bCs/>
                <w:sz w:val="21"/>
                <w:szCs w:val="21"/>
              </w:rPr>
              <w:t xml:space="preserve">trải nghiệm bề mặt luôn tôn người dân lên hàng đầu</w:t>
            </w:r>
            <w:r>
              <w:rPr>
                <w:sz w:val="21"/>
                <w:szCs w:val="21"/>
              </w:rPr>
              <w:t xml:space="preserve"> — thanh tìm kiếm nổi bật cùng ngôn ngữ đại chúng dẫn lối phía trước, còn thẩm quyền thể chế lặng lẽ nâng đỡ phía sau.</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2. Năm triết lý UX nền tảng</w:t>
      </w:r>
    </w:p>
    <w:p>
      <w:pPr>
        <w:spacing w:after="120" w:line="276"/>
      </w:pPr>
      <w:r>
        <w:rPr>
          <w:sz w:val="21"/>
          <w:szCs w:val="21"/>
        </w:rPr>
        <w:t xml:space="preserve">Chắt lọc từ hồ sơ Thiết kế Trải nghiệm Người dùng của CCHC, năm triết lý dưới đây chi phối từng màn hình — mỗi nguyên tắc đều được đặt vững trên nền tảng bằng chứng hành vi thực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Triết lý</w:t>
            </w:r>
          </w:p>
        </w:tc>
        <w:tc>
          <w:tcPr>
            <w:tcW w:type="dxa" w:w="45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Nguyên tắc cốt lõi</w:t>
            </w:r>
          </w:p>
        </w:tc>
        <w:tc>
          <w:tcPr>
            <w:tcW w:type="dxa" w:w="28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Bằng chứng nền</w:t>
            </w:r>
          </w:p>
        </w:tc>
      </w:tr>
      <w:tr>
        <w:trPr>
          <w:cantSplit/>
          <w:tblHeader w:val="false"/>
        </w:trPr>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① Nhân dân-centric (Ngôn ngữ người dùng)</w:t>
            </w:r>
          </w:p>
        </w:tc>
        <w:tc>
          <w:tcPr>
            <w:tcW w:type="dxa" w:w="45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Trải nghiệm 3 giây; headline rõ, nội dung nổi bật above-the-fold; dùng tên bệnh thay tên chuyên khoa.</w:t>
            </w:r>
          </w:p>
        </w:tc>
        <w:tc>
          <w:tcPr>
            <w:tcW w:type="dxa" w:w="28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97,2% tra cứu qua điện thoại (We Are Social 2024)</w:t>
            </w:r>
          </w:p>
        </w:tc>
      </w:tr>
      <w:tr>
        <w:trPr>
          <w:cantSplit/>
          <w:tblHeader w:val="false"/>
        </w:trPr>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② Không rào cản tiếp cận</w:t>
            </w:r>
          </w:p>
        </w:tc>
        <w:tc>
          <w:tcPr>
            <w:tcW w:type="dxa" w:w="45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Miễn phí; tránh đăng nhập bắt buộc (Mô hình Fogg B = M × A × Trigger).</w:t>
            </w:r>
          </w:p>
        </w:tc>
        <w:tc>
          <w:tcPr>
            <w:tcW w:type="dxa" w:w="28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Miễn phí = 46,9% trọng số; OR = 3,433 (618 người)</w:t>
            </w:r>
          </w:p>
        </w:tc>
      </w:tr>
      <w:tr>
        <w:trPr>
          <w:cantSplit/>
          <w:tblHeader w:val="false"/>
        </w:trPr>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③ Mobile-first</w:t>
            </w:r>
          </w:p>
        </w:tc>
        <w:tc>
          <w:tcPr>
            <w:tcW w:type="dxa" w:w="45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Điện thoại là chuẩn gốc; 18/44/8dp; quy tắc 4 nút (Định luật Hick); tối ưu một tay.</w:t>
            </w:r>
          </w:p>
        </w:tc>
        <w:tc>
          <w:tcPr>
            <w:tcW w:type="dxa" w:w="28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40% người dùng nông thôn dùng 3G/2G</w:t>
            </w:r>
          </w:p>
        </w:tc>
      </w:tr>
      <w:tr>
        <w:trPr>
          <w:cantSplit/>
          <w:tblHeader w:val="false"/>
        </w:trPr>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④ Chính danh ba tầng</w:t>
            </w:r>
          </w:p>
        </w:tc>
        <w:tc>
          <w:tcPr>
            <w:tcW w:type="dxa" w:w="45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Thể chế + Chuyên gia cụ thể + Biên tập hiển thị rõ trên mỗi bài.</w:t>
            </w:r>
          </w:p>
        </w:tc>
        <w:tc>
          <w:tcPr>
            <w:tcW w:type="dxa" w:w="28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Visible Agent Effect +89% (d=0,89); 73% không phân biệt tin đúng/sai</w:t>
            </w:r>
          </w:p>
        </w:tc>
      </w:tr>
      <w:tr>
        <w:trPr>
          <w:cantSplit/>
          <w:tblHeader w:val="false"/>
        </w:trPr>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⑤ Giữ chân bằng utility khẩn cấp</w:t>
            </w:r>
          </w:p>
        </w:tc>
        <w:tc>
          <w:tcPr>
            <w:tcW w:type="dxa" w:w="45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Công cụ cần thật; progress &amp; continuity; community.</w:t>
            </w:r>
          </w:p>
        </w:tc>
        <w:tc>
          <w:tcPr>
            <w:tcW w:type="dxa" w:w="28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DAU cao nhất khi người dùng lo lắng sức khỏe</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3. Ba vòng tròn của Kiến trúc Thông tin</w:t>
      </w:r>
    </w:p>
    <w:p>
      <w:pPr>
        <w:pStyle w:val="Heading2"/>
        <w:spacing w:after="100" w:before="240"/>
      </w:pPr>
      <w:r>
        <w:rPr>
          <w:b/>
          <w:bCs/>
          <w:color w:val="037B96"/>
        </w:rPr>
        <w:t xml:space="preserve">3.1. Bối cảnh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Yếu tố</w:t>
            </w:r>
          </w:p>
        </w:tc>
        <w:tc>
          <w:tcPr>
            <w:tcW w:type="dxa" w:w="67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Mô tả</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Sứ mệnh</w:t>
            </w:r>
          </w:p>
        </w:tc>
        <w:tc>
          <w:tcPr>
            <w:tcW w:type="dxa" w:w="6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Nguồn phát ngôn gốc, đáng tin cậy về sức khỏe — nơi người dân tìm đến trước khi hoang mang.</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Tư cách pháp lý</w:t>
            </w:r>
          </w:p>
        </w:tc>
        <w:tc>
          <w:tcPr>
            <w:tcW w:type="dxa" w:w="6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Đơn vị trực thuộc Tổng hội Y học Việt Nam; phi thương mại; tuân thủ pháp luật thông tin y tế &amp; dữ liệu.</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Bốn tầng bảo chứng (lõi Chính danh)</w:t>
            </w:r>
          </w:p>
        </w:tc>
        <w:tc>
          <w:tcPr>
            <w:tcW w:type="dxa" w:w="6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① Tổng hội; ② hội chuyên khoa; ③ Hội đồng khoa học; ④ chuyên gia ghi rõ tên.</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Ngân sách niềm tin</w:t>
            </w:r>
          </w:p>
        </w:tc>
        <w:tc>
          <w:tcPr>
            <w:tcW w:type="dxa" w:w="6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Tài sản quý nhất là uy tín thể chế; mọi lỗi minh bạch rút thẳng từ ngân sách này.</w:t>
            </w:r>
          </w:p>
        </w:tc>
      </w:tr>
    </w:tbl>
    <w:p>
      <w:pPr>
        <w:pStyle w:val="Heading2"/>
        <w:spacing w:after="100" w:before="240"/>
      </w:pPr>
      <w:r>
        <w:rPr>
          <w:b/>
          <w:bCs/>
          <w:color w:val="037B96"/>
        </w:rPr>
        <w:t xml:space="preserve">3.2. Nội dung (Content)</w:t>
      </w:r>
    </w:p>
    <w:p>
      <w:pPr>
        <w:spacing w:after="120" w:line="276"/>
      </w:pPr>
      <w:r>
        <w:rPr>
          <w:b/>
          <w:bCs/>
          <w:sz w:val="21"/>
          <w:szCs w:val="21"/>
        </w:rPr>
        <w:t xml:space="preserve">Content model then chốt — “Đơn vị nội dung có thẩm quyền”: </w:t>
      </w:r>
      <w:r>
        <w:rPr>
          <w:sz w:val="21"/>
          <w:szCs w:val="21"/>
        </w:rPr>
        <w:t xml:space="preserve">mỗi nội dung xuất bản đều mang theo trọn bộ thuộc tính định danh — chủ đề · mức bằng chứng M1–M4 · chuyên gia phản biện (ghi rõ tên) · ngày thẩm định · khai báo tài trợ/COI · outbound trust link · câu miễn trừ y tế · trạng thái đính chính. Từ một đơn vị gốc, nội dung được </w:t>
      </w:r>
    </w:p>
    <w:p>
      <w:pPr>
        <w:spacing w:after="120" w:line="276"/>
      </w:pPr>
      <w:r>
        <w:rPr>
          <w:b/>
          <w:bCs/>
          <w:sz w:val="21"/>
          <w:szCs w:val="21"/>
        </w:rPr>
        <w:t xml:space="preserve">nhân bội thành nhiều định dạng</w:t>
      </w:r>
      <w:r>
        <w:rPr>
          <w:sz w:val="21"/>
          <w:szCs w:val="21"/>
        </w:rPr>
        <w:t xml:space="preserve"> (xem Mục 12) theo tinh thần “produce once, publish everywhere” — sản xuất một lần, hiện diện ở muôn nơi.</w:t>
      </w:r>
    </w:p>
    <w:p>
      <w:pPr>
        <w:pStyle w:val="Heading2"/>
        <w:spacing w:after="100" w:before="240"/>
      </w:pPr>
      <w:r>
        <w:rPr>
          <w:b/>
          <w:bCs/>
          <w:color w:val="037B96"/>
        </w:rPr>
        <w:t xml:space="preserve">3.3. Người dùng (Users) — Ma trận 8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160"/>
      </w:tblGrid>
      <w:tr>
        <w:trPr>
          <w:cantSplit/>
          <w:tblHeader/>
        </w:trPr>
        <w:tc>
          <w:tcPr>
            <w:tcW w:type="dxa" w:w="19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Nhóm</w:t>
            </w:r>
          </w:p>
        </w:tc>
        <w:tc>
          <w:tcPr>
            <w:tcW w:type="dxa" w:w="53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Dụng ý chiến lược &amp; hành động chính</w:t>
            </w:r>
          </w:p>
        </w:tc>
        <w:tc>
          <w:tcPr>
            <w:tcW w:type="dxa" w:w="21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Lớp nang</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① Người dân</w:t>
            </w:r>
          </w:p>
        </w:tc>
        <w:tc>
          <w:tcPr>
            <w:tcW w:type="dxa" w:w="53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Dân vận: giảm ma sát nhận thức; tra cứu y khoa dễ hiểu, an toàn.</w:t>
            </w:r>
          </w:p>
        </w:tc>
        <w:tc>
          <w:tcPr>
            <w:tcW w:type="dxa" w:w="2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Tri thức</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② Báo chí</w:t>
            </w:r>
          </w:p>
        </w:tc>
        <w:tc>
          <w:tcPr>
            <w:tcW w:type="dxa" w:w="53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Khuếch đại: SLA phản hồi nhanh &amp; media kit “sạch”.</w:t>
            </w:r>
          </w:p>
        </w:tc>
        <w:tc>
          <w:tcPr>
            <w:tcW w:type="dxa" w:w="2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③ Chuyên gia</w:t>
            </w:r>
          </w:p>
        </w:tc>
        <w:tc>
          <w:tcPr>
            <w:tcW w:type="dxa" w:w="53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Tài sản lõi: vinh danh học thuật &amp; chính trực.</w:t>
            </w:r>
          </w:p>
        </w:tc>
        <w:tc>
          <w:tcPr>
            <w:tcW w:type="dxa" w:w="2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Hành động</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④ Tổng hội</w:t>
            </w:r>
          </w:p>
        </w:tc>
        <w:tc>
          <w:tcPr>
            <w:tcW w:type="dxa" w:w="53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 cánh tay nối dài của hệ thống y học dân sự cao nhất.</w:t>
            </w:r>
          </w:p>
        </w:tc>
        <w:tc>
          <w:tcPr>
            <w:tcW w:type="dxa" w:w="2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⑤ Viện / Trường</w:t>
            </w:r>
          </w:p>
        </w:tc>
        <w:tc>
          <w:tcPr>
            <w:tcW w:type="dxa" w:w="53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Liên kết đào tạo &amp; nghiên cứu ứng dụng.</w:t>
            </w:r>
          </w:p>
        </w:tc>
        <w:tc>
          <w:tcPr>
            <w:tcW w:type="dxa" w:w="2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Hành động</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⑥ Doanh nghiệp</w:t>
            </w:r>
          </w:p>
        </w:tc>
        <w:tc>
          <w:tcPr>
            <w:tcW w:type="dxa" w:w="53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“Kết luận chuyên môn không mua được”; minh bạch tài trợ.</w:t>
            </w:r>
          </w:p>
        </w:tc>
        <w:tc>
          <w:tcPr>
            <w:tcW w:type="dxa" w:w="2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Minh bạch</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⑦ Cơ quan chính sách</w:t>
            </w:r>
          </w:p>
        </w:tc>
        <w:tc>
          <w:tcPr>
            <w:tcW w:type="dxa" w:w="53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Ảnh hưởng: đưa tiếng nói chuyên gia vào dự thảo luật.</w:t>
            </w:r>
          </w:p>
        </w:tc>
        <w:tc>
          <w:tcPr>
            <w:tcW w:type="dxa" w:w="2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⑧ Đối tác nền tảng</w:t>
            </w:r>
          </w:p>
        </w:tc>
        <w:tc>
          <w:tcPr>
            <w:tcW w:type="dxa" w:w="53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Hạ tầng công nghệ; tách bạch quyền công bố nội dung.</w:t>
            </w:r>
          </w:p>
        </w:tc>
        <w:tc>
          <w:tcPr>
            <w:tcW w:type="dxa" w:w="2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Hành động</w:t>
            </w:r>
          </w:p>
        </w:tc>
      </w:tr>
    </w:tbl>
    <w:p>
      <w:pPr>
        <w:spacing w:after="120" w:line="276"/>
      </w:pPr>
      <w:r>
        <w:rPr>
          <w:b/>
          <w:bCs/>
          <w:sz w:val="21"/>
          <w:szCs w:val="21"/>
        </w:rPr>
        <w:t xml:space="preserve">Bốn nguồn truy cập thực tế định hình điều hướng: </w:t>
      </w:r>
      <w:r>
        <w:rPr>
          <w:sz w:val="21"/>
          <w:szCs w:val="21"/>
        </w:rPr>
        <w:t xml:space="preserve">Google chiếm hơn 60% (người dùng đáp thẳng vào bài — đòi hỏi breadcrumb và ngữ cảnh tức thời); mạng xã hội 25% (cần tóm tắt cùng tín hiệu xác minh uy tín ngay đầu trang); tuyến bệnh viện/bác sĩ giới thiệu (cần dẫn nhập nhẹ nhàng); và truy cập trực tiếp 15% (nhóm trung thành, mong đợi cá nhân hóa cùng khả năng theo dõi chủ đề).</w:t>
      </w:r>
    </w:p>
    <w:p>
      <w:pPr>
        <w:pBdr>
          <w:bottom w:val="single" w:color="BFD9E0" w:sz="6"/>
        </w:pBdr>
        <w:spacing w:after="120" w:before="80"/>
      </w:pPr>
    </w:p>
    <w:p>
      <w:pPr>
        <w:pStyle w:val="Heading1"/>
        <w:pBdr>
          <w:bottom w:val="single" w:color="037B96" w:sz="10"/>
        </w:pBdr>
        <w:spacing w:after="130" w:before="340"/>
      </w:pPr>
      <w:r>
        <w:rPr>
          <w:b/>
          <w:bCs/>
          <w:color w:val="012932"/>
        </w:rPr>
        <w:t xml:space="preserve">4. Hệ thống Tổ chức (Organization Systems)</w:t>
      </w:r>
    </w:p>
    <w:p>
      <w:pPr>
        <w:pStyle w:val="Heading2"/>
        <w:spacing w:after="100" w:before="240"/>
      </w:pPr>
      <w:r>
        <w:rPr>
          <w:b/>
          <w:bCs/>
          <w:color w:val="037B96"/>
        </w:rPr>
        <w:t xml:space="preserve">4.1. Sơ đồ lai định hướng thẩm quyền — một bộ phân loại, biểu diễn mobile-first</w:t>
      </w:r>
    </w:p>
    <w:p>
      <w:pPr>
        <w:spacing w:after="120" w:line="276"/>
      </w:pPr>
      <w:r>
        <w:rPr>
          <w:sz w:val="21"/>
          <w:szCs w:val="21"/>
        </w:rPr>
        <w:t xml:space="preserve">Sơ đồ tổ chức theo mô hình lai (hybrid), đan bện ba trục: trục chủ đề (Tri thức), trục đối tượng (Báo chí, Hợp tác &amp; Dịch vụ) và trục thẩm quyền – thể chế (Tổng hội &amp; Chính sách, Minh bạch, Về CCHC) — trong đó trục thẩm quyền được trân trọng nâng lên hàng mục cấp một, thay vì khuất lấp nơi chân trang như thông lệ.</w:t>
      </w:r>
    </w:p>
    <w:p>
      <w:pPr>
        <w:spacing w:after="120" w:line="276"/>
      </w:pPr>
      <w:r>
        <w:rPr>
          <w:b/>
          <w:bCs/>
          <w:sz w:val="21"/>
          <w:szCs w:val="21"/>
        </w:rPr>
        <w:t xml:space="preserve">Bảy nhánh là MỘT bộ phân loại nội dung, biểu diễn theo màn hình: </w:t>
      </w:r>
      <w:r>
        <w:rPr>
          <w:sz w:val="21"/>
          <w:szCs w:val="21"/>
        </w:rPr>
        <w:t xml:space="preserve">trên điện thoại (chuẩn gốc) thu về thanh tab đáy 4 nút + tìm kiếm + mục “Xem thêm”; trên desktop mở rộng thành header hai tầng + mega-menu 7 nhánh. Đây là cùng một cấu trúc thông tin, chỉ khác cách biểu diễn — không phải hai IA khác nhau.</w:t>
      </w:r>
    </w:p>
    <w:p>
      <w:pPr>
        <w:pStyle w:val="Heading2"/>
        <w:spacing w:after="100" w:before="240"/>
      </w:pPr>
      <w:r>
        <w:rPr>
          <w:b/>
          <w:bCs/>
          <w:color w:val="037B96"/>
        </w:rPr>
        <w:t xml:space="preserve">4.2. Bốn trụ cột chiến lược — vị trí danh giá nhất trang chủ</w:t>
      </w:r>
    </w:p>
    <w:p>
      <w:pPr>
        <w:spacing w:after="120" w:line="276"/>
      </w:pPr>
      <w:r>
        <w:rPr>
          <w:i/>
          <w:iCs/>
          <w:sz w:val="21"/>
          <w:szCs w:val="21"/>
        </w:rPr>
        <w:t xml:space="preserve">“Bốn trụ cột không phải là bốn tính năng, mà là bốn sứ mệnh thể chế”</w:t>
      </w:r>
      <w:r>
        <w:rPr>
          <w:sz w:val="21"/>
          <w:szCs w:val="21"/>
        </w:rPr>
        <w:t xml:space="preserve"> — được an vị trang trọng trong lưới 2×2 ngay bên dưới banner, nơi ánh nhìn đầu tiên dừng lại trên màn hình điện thoại mà chưa cần cuộn, và bố cục 2×2 vừa khít tầm với của ngón cái: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Trụ cột</w:t>
            </w:r>
          </w:p>
        </w:tc>
        <w:tc>
          <w:tcPr>
            <w:tcW w:type="dxa" w:w="47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Nội dung</w:t>
            </w:r>
          </w:p>
        </w:tc>
        <w:tc>
          <w:tcPr>
            <w:tcW w:type="dxa" w:w="20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Giá trị đầu tư</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Đào tạo Y khoa Liên tục (CME)</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Nền tảng CME chính thức theo NĐ96/2023 — Tổng hội là tổ chức duy nhất đủ vị thế thể chế.</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Dòng doanh thu độc quyền</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Tài liệu dành cho bác sĩ</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Tài liệu y khoa từ 2.000+ chuyên gia toàn cầu, được Tổng hội chọn lọc &amp; chuyển ngữ.</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Kho tài sản trí tuệ</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Người Việt Khỏe</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Chiến dịch sức khỏe cộng đồng (mô hình 人民爱健身) — vận động, dinh dưỡng, phòng bệnh.</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Quy mô cộng đồng</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Chăm sóc Người cao tuổi</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Khoảng trống lớn nhất tại Việt Nam — chưa nền tảng nào làm; dân số già hóa nhanh.</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Định vị độc nhất</w:t>
            </w:r>
          </w:p>
        </w:tc>
      </w:tr>
    </w:tbl>
    <w:p>
      <w:pPr>
        <w:pStyle w:val="Heading2"/>
        <w:spacing w:after="100" w:before="240"/>
      </w:pPr>
      <w:r>
        <w:rPr>
          <w:b/>
          <w:bCs/>
          <w:color w:val="037B96"/>
        </w:rPr>
        <w:t xml:space="preserve">4.3. Mười khối trang chủ (mạch lớp nang)</w:t>
      </w:r>
    </w:p>
    <w:p>
      <w:pPr>
        <w:spacing w:after="120" w:line="276"/>
      </w:pPr>
      <w:r>
        <w:rPr>
          <w:b/>
          <w:bCs/>
          <w:sz w:val="21"/>
          <w:szCs w:val="21"/>
        </w:rPr>
        <w:t xml:space="preserve">Trên điện thoại, mười khối xếp dọc một cột — thứ tự cuộn chính là thứ tự ưu tiên</w:t>
      </w:r>
      <w:r>
        <w:rPr>
          <w:sz w:val="21"/>
          <w:szCs w:val="21"/>
        </w:rPr>
        <w:t xml:space="preserve">; desktop có thể dàn nhiều cột nhưng giữ nguyên trình tự tâm lý bên dưới.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Khối (thứ tự cuộn mobile)</w:t>
            </w:r>
          </w:p>
        </w:tc>
        <w:tc>
          <w:tcPr>
            <w:tcW w:type="dxa" w:w="47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Dụng ý</w:t>
            </w:r>
          </w:p>
        </w:tc>
        <w:tc>
          <w:tcPr>
            <w:tcW w:type="dxa" w:w="20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Lớp nang</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1 · Tìm kiếm &amp; Header</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Đặt Nhân dân là trung tâm; phục vụ nhu cầu cấp thiết ngay.</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Tri thức</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2 · Thông điệp định vị</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Tuyên ngôn sứ mệnh; bản sắc điềm tĩnh, tin cậy.</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3 · Banner Tổng hội Y học VN</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Lớp chính danh cốt lõi; link trực tiếp = bằng chứng tin cậy.</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4 · Logo Wall đối tác</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Khuếch đại niềm tin bên thứ ba — social proof.</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Chính danh</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5 · Hoạt động Tổng hội &amp; hội CK</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Dòng tri thức đầu vào; chứng minh nguồn cấp một.</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Tri thức</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6 · Mạng lưới chuyên gia</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Tài sản trí tuệ; công khai danh tính &amp; COI.</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Hành động</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7 · Tin tức &amp; Sự kiện</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Điểm hội tụ; sự kiện thành “case study” năng lực.</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Tri thức</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8 · Tư vấn &amp; Chuyển giao KHCN</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Lớp dịch vụ; đặt sau vì chỉ thuyết phục khi chính danh đã vững.</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Hành động</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9 · Minh bạch &amp; Trách nhiệm</w:t>
            </w:r>
          </w:p>
        </w:tc>
        <w:tc>
          <w:tcPr>
            <w:tcW w:type="dxa" w:w="4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Chốt niềm tin; quy trình 8 bước &amp; nhật ký đính chính.</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Minh bạch</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10 · Đối tác &amp; Trách nhiệm</w:t>
            </w:r>
          </w:p>
        </w:tc>
        <w:tc>
          <w:tcPr>
            <w:tcW w:type="dxa" w:w="4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Ranh giới quyền lực; bảo vệ độc lập chuyên môn.</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Minh bạch</w:t>
            </w:r>
          </w:p>
        </w:tc>
      </w:tr>
    </w:tbl>
    <w:p>
      <w:pPr>
        <w:pStyle w:val="Heading2"/>
        <w:spacing w:after="100" w:before="240"/>
      </w:pPr>
      <w:r>
        <w:rPr>
          <w:b/>
          <w:bCs/>
          <w:color w:val="037B96"/>
        </w:rPr>
        <w:t xml:space="preserve">4.4. Sơ đồ trang (Blueprint / Sitemap)</w:t>
      </w:r>
    </w:p>
    <w:p>
      <w:pPr>
        <w:pBdr>
          <w:top w:val="single" w:color="BFD9E0" w:sz="4"/>
          <w:bottom w:val="single" w:color="BFD9E0" w:sz="4"/>
          <w:left w:val="single" w:color="BFD9E0" w:sz="4"/>
          <w:right w:val="single" w:color="BFD9E0" w:sz="4"/>
        </w:pBdr>
        <w:shd w:fill="F2FAFC" w:color="auto" w:val="clear"/>
        <w:spacing w:after="120" w:before="60" w:line="250"/>
      </w:pPr>
      <w:r>
        <w:rPr>
          <w:rFonts w:ascii="Consolas" w:cs="Consolas" w:eastAsia="Consolas" w:hAnsi="Consolas"/>
          <w:color w:val="11333A"/>
          <w:sz w:val="18"/>
          <w:szCs w:val="18"/>
        </w:rPr>
        <w:t xml:space="preserve">CCHC (Trang chủ)  ·  [Utility: Bản đồ nội dung · Liên hệ · Tìm kiếm · Đăng nhập · Đăng ký]</w:t>
      </w:r>
      <w:r>
        <w:rPr>
          <w:rFonts w:ascii="Consolas" w:cs="Consolas" w:eastAsia="Consolas" w:hAnsi="Consolas"/>
          <w:color w:val="11333A"/>
          <w:sz w:val="18"/>
          <w:szCs w:val="18"/>
        </w:rPr>
        <w:br/>
        <w:t xml:space="preserve"> </w:t>
      </w:r>
      <w:r>
        <w:rPr>
          <w:rFonts w:ascii="Consolas" w:cs="Consolas" w:eastAsia="Consolas" w:hAnsi="Consolas"/>
          <w:color w:val="11333A"/>
          <w:sz w:val="18"/>
          <w:szCs w:val="18"/>
        </w:rPr>
        <w:br/>
        <w:t xml:space="preserve">1. TRI THỨC ........................ ② Tri thức</w:t>
      </w:r>
      <w:r>
        <w:rPr>
          <w:rFonts w:ascii="Consolas" w:cs="Consolas" w:eastAsia="Consolas" w:hAnsi="Consolas"/>
          <w:color w:val="11333A"/>
          <w:sz w:val="18"/>
          <w:szCs w:val="18"/>
        </w:rPr>
        <w:br/>
        <w:t xml:space="preserve">2. TIN TỨC &amp; SỰ KIỆN .............. ② Tri thức</w:t>
      </w:r>
      <w:r>
        <w:rPr>
          <w:rFonts w:ascii="Consolas" w:cs="Consolas" w:eastAsia="Consolas" w:hAnsi="Consolas"/>
          <w:color w:val="11333A"/>
          <w:sz w:val="18"/>
          <w:szCs w:val="18"/>
        </w:rPr>
        <w:br/>
        <w:t xml:space="preserve">3. TỔNG HỘI &amp; CHÍNH SÁCH  ★ ....... ① Chính danh</w:t>
      </w:r>
      <w:r>
        <w:rPr>
          <w:rFonts w:ascii="Consolas" w:cs="Consolas" w:eastAsia="Consolas" w:hAnsi="Consolas"/>
          <w:color w:val="11333A"/>
          <w:sz w:val="18"/>
          <w:szCs w:val="18"/>
        </w:rPr>
        <w:br/>
        <w:t xml:space="preserve">4. BÁO CHÍ ........................ ① Chính danh</w:t>
      </w:r>
      <w:r>
        <w:rPr>
          <w:rFonts w:ascii="Consolas" w:cs="Consolas" w:eastAsia="Consolas" w:hAnsi="Consolas"/>
          <w:color w:val="11333A"/>
          <w:sz w:val="18"/>
          <w:szCs w:val="18"/>
        </w:rPr>
        <w:br/>
        <w:t xml:space="preserve">5. HỢP TÁC &amp; DỊCH VỤ .............. ③ Hành động</w:t>
      </w:r>
      <w:r>
        <w:rPr>
          <w:rFonts w:ascii="Consolas" w:cs="Consolas" w:eastAsia="Consolas" w:hAnsi="Consolas"/>
          <w:color w:val="11333A"/>
          <w:sz w:val="18"/>
          <w:szCs w:val="18"/>
        </w:rPr>
        <w:br/>
        <w:t xml:space="preserve">6. MINH BẠCH  ★ ................... ④ Minh bạch</w:t>
      </w:r>
      <w:r>
        <w:rPr>
          <w:rFonts w:ascii="Consolas" w:cs="Consolas" w:eastAsia="Consolas" w:hAnsi="Consolas"/>
          <w:color w:val="11333A"/>
          <w:sz w:val="18"/>
          <w:szCs w:val="18"/>
        </w:rPr>
        <w:br/>
        <w:t xml:space="preserve">7. VỀ CCHC  ★ .................... ① Chính danh</w:t>
      </w:r>
      <w:r>
        <w:rPr>
          <w:rFonts w:ascii="Consolas" w:cs="Consolas" w:eastAsia="Consolas" w:hAnsi="Consolas"/>
          <w:color w:val="11333A"/>
          <w:sz w:val="18"/>
          <w:szCs w:val="18"/>
        </w:rPr>
        <w:br/>
        <w:t xml:space="preserve"> </w:t>
      </w:r>
      <w:r>
        <w:rPr>
          <w:rFonts w:ascii="Consolas" w:cs="Consolas" w:eastAsia="Consolas" w:hAnsi="Consolas"/>
          <w:color w:val="11333A"/>
          <w:sz w:val="18"/>
          <w:szCs w:val="18"/>
        </w:rPr>
        <w:br/>
        <w:t xml:space="preserve">★ = nhánh mang tải trọng "quyền lực hậu thuẫn" (3/7 mục cấp 1 — có chủ đích).</w:t>
      </w:r>
    </w:p>
    <w:p>
      <w:pPr>
        <w:pBdr>
          <w:bottom w:val="single" w:color="BFD9E0" w:sz="6"/>
        </w:pBdr>
        <w:spacing w:after="120" w:before="80"/>
      </w:pPr>
    </w:p>
    <w:p>
      <w:pPr>
        <w:pStyle w:val="Heading1"/>
        <w:pBdr>
          <w:bottom w:val="single" w:color="037B96" w:sz="10"/>
        </w:pBdr>
        <w:spacing w:after="130" w:before="340"/>
      </w:pPr>
      <w:r>
        <w:rPr>
          <w:b/>
          <w:bCs/>
          <w:color w:val="012932"/>
        </w:rPr>
        <w:t xml:space="preserve">5. Hệ thống Nhãn (Labeling Systems)</w:t>
      </w:r>
    </w:p>
    <w:p>
      <w:pPr>
        <w:pStyle w:val="Heading2"/>
        <w:spacing w:after="100" w:before="240"/>
      </w:pPr>
      <w:r>
        <w:rPr>
          <w:b/>
          <w:bCs/>
          <w:color w:val="037B96"/>
        </w:rPr>
        <w:t xml:space="preserve">5.1. Quy tắc ngôn ngữ người dùng (Nhân dân-centric)</w:t>
      </w:r>
    </w:p>
    <w:p>
      <w:pPr>
        <w:pStyle w:val="ListParagraph"/>
        <w:numPr>
          <w:ilvl w:val="0"/>
          <w:numId w:val="2"/>
        </w:numPr>
        <w:spacing w:after="60" w:line="270"/>
      </w:pPr>
      <w:r>
        <w:rPr>
          <w:b/>
          <w:bCs/>
          <w:sz w:val="21"/>
          <w:szCs w:val="21"/>
        </w:rPr>
        <w:t xml:space="preserve">Tên bệnh thay tên chuyên khoa: </w:t>
      </w:r>
      <w:r>
        <w:rPr>
          <w:sz w:val="21"/>
          <w:szCs w:val="21"/>
        </w:rPr>
        <w:t xml:space="preserve">nav dùng “Tim &amp; Mạch máu · Đường huyết · Đau đầu &amp; Não · Hô hấp” thay cho “Khoa Tim mạch · Nội tiết · Thần kinh · Hô hấp”. Người lo lắng không tự chẩn đoán được chuyên khoa — bắt họ làm vậy là cách nhanh nhất để đuổi họ đi.</w:t>
      </w:r>
    </w:p>
    <w:p>
      <w:pPr>
        <w:pStyle w:val="ListParagraph"/>
        <w:numPr>
          <w:ilvl w:val="0"/>
          <w:numId w:val="2"/>
        </w:numPr>
        <w:spacing w:after="60" w:line="270"/>
      </w:pPr>
      <w:r>
        <w:rPr>
          <w:b/>
          <w:bCs/>
          <w:sz w:val="21"/>
          <w:szCs w:val="21"/>
        </w:rPr>
        <w:t xml:space="preserve">Loại bỏ thuật ngữ y khoa: </w:t>
      </w:r>
      <w:r>
        <w:rPr>
          <w:sz w:val="21"/>
          <w:szCs w:val="21"/>
        </w:rPr>
        <w:t xml:space="preserve">“Tăng huyết áp nguyên phát” → “Cao huyết áp không rõ nguyên nhân”; “Đái tháo đường type 2” → “Tiểu đường tuổi trưởng thành”. Ngôn ngữ là cầu nối, không phải bộ lọc.</w:t>
      </w:r>
    </w:p>
    <w:p>
      <w:pPr>
        <w:pStyle w:val="ListParagraph"/>
        <w:numPr>
          <w:ilvl w:val="0"/>
          <w:numId w:val="2"/>
        </w:numPr>
        <w:spacing w:after="60" w:line="270"/>
      </w:pPr>
      <w:r>
        <w:rPr>
          <w:b/>
          <w:bCs/>
          <w:sz w:val="21"/>
          <w:szCs w:val="21"/>
        </w:rPr>
        <w:t xml:space="preserve">Nguyên tắc Kim tự tháp (Harvard): </w:t>
      </w:r>
      <w:r>
        <w:rPr>
          <w:sz w:val="21"/>
          <w:szCs w:val="21"/>
        </w:rPr>
        <w:t xml:space="preserve">đặt kết luận/câu trả lời trước, giải thích sau. Tiêu đề trực tiếp (“Huyết áp 140/90 — uống thuốc ngay hay chờ theo dõi?”) thay vì vòng vo.</w:t>
      </w:r>
    </w:p>
    <w:p>
      <w:pPr>
        <w:pStyle w:val="Heading2"/>
        <w:spacing w:after="100" w:before="240"/>
      </w:pPr>
      <w:r>
        <w:rPr>
          <w:b/>
          <w:bCs/>
          <w:color w:val="037B96"/>
        </w:rPr>
        <w:t xml:space="preserve">5.2. Hệ nhãn thẩm quyền &amp; từ vựng có kiểm soát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cantSplit/>
          <w:tblHeader/>
        </w:trPr>
        <w:tc>
          <w:tcPr>
            <w:tcW w:type="dxa" w:w="30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Nhãn / Tín hiệu</w:t>
            </w:r>
          </w:p>
        </w:tc>
        <w:tc>
          <w:tcPr>
            <w:tcW w:type="dxa" w:w="43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Ý nghĩa</w:t>
            </w:r>
          </w:p>
        </w:tc>
        <w:tc>
          <w:tcPr>
            <w:tcW w:type="dxa" w:w="20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Vị trí</w:t>
            </w:r>
          </w:p>
        </w:tc>
      </w:tr>
      <w:tr>
        <w:trPr>
          <w:cantSplit/>
          <w:tblHeader w:val="false"/>
        </w:trPr>
        <w:tc>
          <w:tcPr>
            <w:tcW w:type="dxa" w:w="3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Trust strip</w:t>
            </w:r>
          </w:p>
        </w:tc>
        <w:tc>
          <w:tcPr>
            <w:tcW w:type="dxa" w:w="4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“Nguồn chính thống”</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Trang chủ, đầu bài</w:t>
            </w:r>
          </w:p>
        </w:tc>
      </w:tr>
      <w:tr>
        <w:trPr>
          <w:cantSplit/>
          <w:tblHeader w:val="false"/>
        </w:trPr>
        <w:tc>
          <w:tcPr>
            <w:tcW w:type="dxa" w:w="3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Nhãn M1–M4</w:t>
            </w:r>
          </w:p>
        </w:tc>
        <w:tc>
          <w:tcPr>
            <w:tcW w:type="dxa" w:w="4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Mức bằng chứng (đóng: M1 mạnh → M4 định hướng)</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Thẻ bài, bộ lọc, đầu bài</w:t>
            </w:r>
          </w:p>
        </w:tc>
      </w:tr>
      <w:tr>
        <w:trPr>
          <w:cantSplit/>
          <w:tblHeader w:val="false"/>
        </w:trPr>
        <w:tc>
          <w:tcPr>
            <w:tcW w:type="dxa" w:w="3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Badge “đã thẩm định”</w:t>
            </w:r>
          </w:p>
        </w:tc>
        <w:tc>
          <w:tcPr>
            <w:tcW w:type="dxa" w:w="4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Đã qua hội đồng khoa học</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Thẻ nội dung</w:t>
            </w:r>
          </w:p>
        </w:tc>
      </w:tr>
      <w:tr>
        <w:trPr>
          <w:cantSplit/>
          <w:tblHeader w:val="false"/>
        </w:trPr>
        <w:tc>
          <w:tcPr>
            <w:tcW w:type="dxa" w:w="3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Chuỗi logo hậu thuẫn</w:t>
            </w:r>
          </w:p>
        </w:tc>
        <w:tc>
          <w:tcPr>
            <w:tcW w:type="dxa" w:w="4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Logo Tổng hội &amp; hội chuyên khoa</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Hero (Block 3–4)</w:t>
            </w:r>
          </w:p>
        </w:tc>
      </w:tr>
      <w:tr>
        <w:trPr>
          <w:cantSplit/>
          <w:tblHeader w:val="false"/>
        </w:trPr>
        <w:tc>
          <w:tcPr>
            <w:tcW w:type="dxa" w:w="3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Hộp chính danh ba tầng</w:t>
            </w:r>
          </w:p>
        </w:tc>
        <w:tc>
          <w:tcPr>
            <w:tcW w:type="dxa" w:w="4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Thể chế · Chuyên gia · Biên tập + ngày cập nhật</w:t>
            </w:r>
          </w:p>
        </w:tc>
        <w:tc>
          <w:tcPr>
            <w:tcW w:type="dxa" w:w="20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Đầu mỗi bài</w:t>
            </w:r>
          </w:p>
        </w:tc>
      </w:tr>
      <w:tr>
        <w:trPr>
          <w:cantSplit/>
          <w:tblHeader w:val="false"/>
        </w:trPr>
        <w:tc>
          <w:tcPr>
            <w:tcW w:type="dxa" w:w="3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Nhãn khai báo COI</w:t>
            </w:r>
          </w:p>
        </w:tc>
        <w:tc>
          <w:tcPr>
            <w:tcW w:type="dxa" w:w="4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Công khai xung đột lợi ích</w:t>
            </w:r>
          </w:p>
        </w:tc>
        <w:tc>
          <w:tcPr>
            <w:tcW w:type="dxa" w:w="20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Hồ sơ chuyên gia, bài có tài trợ</w:t>
            </w:r>
          </w:p>
        </w:tc>
      </w:tr>
    </w:tbl>
    <w:p>
      <w:pPr>
        <w:spacing w:after="120" w:line="276"/>
      </w:pPr>
      <w:r>
        <w:rPr>
          <w:b/>
          <w:bCs/>
          <w:sz w:val="21"/>
          <w:szCs w:val="21"/>
        </w:rPr>
        <w:t xml:space="preserve">Nhãn an toàn: </w:t>
      </w:r>
      <w:r>
        <w:rPr>
          <w:sz w:val="21"/>
          <w:szCs w:val="21"/>
        </w:rPr>
        <w:t xml:space="preserve">màu </w:t>
      </w:r>
      <w:r>
        <w:rPr>
          <w:b/>
          <w:bCs/>
          <w:color w:val="C0392B"/>
          <w:sz w:val="21"/>
          <w:szCs w:val="21"/>
        </w:rPr>
        <w:t xml:space="preserve">coral (#C0392B)</w:t>
      </w:r>
      <w:r>
        <w:rPr>
          <w:sz w:val="21"/>
          <w:szCs w:val="21"/>
        </w:rPr>
        <w:t xml:space="preserve"> dành riêng nguy cơ/khẩn cấp — không trang trí. Câu miễn trừ y tế là nhãn văn bản chuẩn.</w:t>
      </w:r>
    </w:p>
    <w:p>
      <w:pPr>
        <w:pBdr>
          <w:bottom w:val="single" w:color="BFD9E0" w:sz="6"/>
        </w:pBdr>
        <w:spacing w:after="120" w:before="80"/>
      </w:pPr>
    </w:p>
    <w:p>
      <w:pPr>
        <w:pStyle w:val="Heading1"/>
        <w:pBdr>
          <w:bottom w:val="single" w:color="037B96" w:sz="10"/>
        </w:pBdr>
        <w:spacing w:after="130" w:before="340"/>
      </w:pPr>
      <w:r>
        <w:rPr>
          <w:b/>
          <w:bCs/>
          <w:color w:val="012932"/>
        </w:rPr>
        <w:t xml:space="preserve">6. Hệ thống Điều hướng (Navigation Systems)</w:t>
      </w:r>
    </w:p>
    <w:p>
      <w:pPr>
        <w:pStyle w:val="Heading2"/>
        <w:spacing w:after="100" w:before="240"/>
      </w:pPr>
      <w:r>
        <w:rPr>
          <w:b/>
          <w:bCs/>
          <w:color w:val="037B96"/>
        </w:rPr>
        <w:t xml:space="preserve">6.1. Điều hướng chính (mobile-first) — thanh tab đáy 4 nút</w:t>
      </w:r>
    </w:p>
    <w:p>
      <w:pPr>
        <w:spacing w:after="120" w:line="276"/>
      </w:pPr>
      <w:r>
        <w:rPr>
          <w:b/>
          <w:bCs/>
          <w:sz w:val="21"/>
          <w:szCs w:val="21"/>
        </w:rPr>
        <w:t xml:space="preserve">Điều hướng gốc là thanh tab cố định ở đáy màn hình điện thoại</w:t>
      </w:r>
      <w:r>
        <w:rPr>
          <w:sz w:val="21"/>
          <w:szCs w:val="21"/>
        </w:rPr>
        <w:t xml:space="preserve">, </w:t>
      </w:r>
      <w:r>
        <w:rPr>
          <w:b/>
          <w:bCs/>
          <w:sz w:val="21"/>
          <w:szCs w:val="21"/>
        </w:rPr>
        <w:t xml:space="preserve">tối đa 4 mục</w:t>
      </w:r>
      <w:r>
        <w:rPr>
          <w:sz w:val="21"/>
          <w:szCs w:val="21"/>
        </w:rPr>
        <w:t xml:space="preserve"> theo Định luật Hick (mỗi mục thêm làm tăng thời gian quyết định theo log₂(N+1)):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Trang chủ</w:t>
            </w:r>
          </w:p>
        </w:tc>
        <w:tc>
          <w:tcPr>
            <w:tcW w:type="dxa" w:w="234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Tra cứu</w:t>
            </w:r>
          </w:p>
        </w:tc>
        <w:tc>
          <w:tcPr>
            <w:tcW w:type="dxa" w:w="234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Hỏi bác sĩ</w:t>
            </w:r>
          </w:p>
        </w:tc>
        <w:tc>
          <w:tcPr>
            <w:tcW w:type="dxa" w:w="234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Hồ sơ</w:t>
            </w:r>
          </w:p>
        </w:tc>
      </w:tr>
      <w:tr>
        <w:trPr>
          <w:cantSplit/>
          <w:tblHeader w:val="false"/>
        </w:trPr>
        <w:tc>
          <w:tcPr>
            <w:tcW w:type="dxa" w:w="23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Feed cá nhân hoá</w:t>
            </w:r>
          </w:p>
        </w:tc>
        <w:tc>
          <w:tcPr>
            <w:tcW w:type="dxa" w:w="23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Tìm bệnh/triệu chứng</w:t>
            </w:r>
          </w:p>
        </w:tc>
        <w:tc>
          <w:tcPr>
            <w:tcW w:type="dxa" w:w="23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Kết nối chuyên gia</w:t>
            </w:r>
          </w:p>
        </w:tc>
        <w:tc>
          <w:tcPr>
            <w:tcW w:type="dxa" w:w="234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Lịch sử, theo dõi sức khỏe</w:t>
            </w:r>
          </w:p>
        </w:tc>
      </w:tr>
    </w:tbl>
    <w:p>
      <w:pPr>
        <w:spacing w:after="120" w:line="276"/>
      </w:pPr>
      <w:r>
        <w:rPr>
          <w:b/>
          <w:bCs/>
          <w:sz w:val="21"/>
          <w:szCs w:val="21"/>
        </w:rPr>
        <w:t xml:space="preserve">Thanh trên cùng (mobile) chỉ giữ tối thiểu: </w:t>
      </w:r>
      <w:r>
        <w:rPr>
          <w:sz w:val="21"/>
          <w:szCs w:val="21"/>
        </w:rPr>
        <w:t xml:space="preserve">logo + nút tìm kiếm + nút khẩn cấp. Toàn bộ 7 nhánh nội dung (bộ phân loại ở Mục 4) nằm sau tab “Tra cứu” và mục “Xem thêm” — không nhồi vào thanh chính.</w:t>
      </w:r>
    </w:p>
    <w:p>
      <w:pPr>
        <w:pStyle w:val="Heading2"/>
        <w:spacing w:after="100" w:before="240"/>
      </w:pPr>
      <w:r>
        <w:rPr>
          <w:b/>
          <w:bCs/>
          <w:color w:val="037B96"/>
        </w:rPr>
        <w:t xml:space="preserve">6.2. Bản mở rộng cho desktop</w:t>
      </w:r>
    </w:p>
    <w:p>
      <w:pPr>
        <w:spacing w:after="120" w:line="276"/>
      </w:pPr>
      <w:r>
        <w:rPr>
          <w:sz w:val="21"/>
          <w:szCs w:val="21"/>
        </w:rPr>
        <w:t xml:space="preserve">Trên màn hình lớn, cùng bộ điều hướng mở rộng thành </w:t>
      </w:r>
      <w:r>
        <w:rPr>
          <w:b/>
          <w:bCs/>
          <w:sz w:val="21"/>
          <w:szCs w:val="21"/>
        </w:rPr>
        <w:t xml:space="preserve">header hai tầng + mega-menu 7 nhánh</w:t>
      </w:r>
      <w:r>
        <w:rPr>
          <w:sz w:val="21"/>
          <w:szCs w:val="21"/>
        </w:rPr>
        <w:t xml:space="preserve">; thanh tab đáy nhường chỗ cho menu ngang. Đây là bản mở rộng của mô hình mobile, không phải cấu trúc riêng — thứ tự ưu tiên và nhãn giữ nguyên.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Thành phần</w:t>
            </w:r>
          </w:p>
        </w:tc>
        <w:tc>
          <w:tcPr>
            <w:tcW w:type="dxa" w:w="312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Mobile (chuẩn gốc)</w:t>
            </w:r>
          </w:p>
        </w:tc>
        <w:tc>
          <w:tcPr>
            <w:tcW w:type="dxa" w:w="312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Desktop (mở rộng)</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Điều hướng chính</w:t>
            </w:r>
          </w:p>
        </w:tc>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Thanh tab đáy 4 nút</w:t>
            </w:r>
          </w:p>
        </w:tc>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Header hai tầng + mega-menu 7 nhánh</w:t>
            </w:r>
          </w:p>
        </w:tc>
      </w:tr>
      <w:tr>
        <w:trPr>
          <w:cantSplit/>
          <w:tblHeader w:val="false"/>
        </w:trPr>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Tìm kiếm</w:t>
            </w:r>
          </w:p>
        </w:tc>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Nút mở overlay toàn màn hình</w:t>
            </w:r>
          </w:p>
        </w:tc>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Ô tìm kiếm hiển thị sẵn</w:t>
            </w:r>
          </w:p>
        </w:tc>
      </w:tr>
      <w:tr>
        <w:trPr>
          <w:cantSplit/>
          <w:tblHeader w:val="false"/>
        </w:trPr>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Nội dung 7 nhánh</w:t>
            </w:r>
          </w:p>
        </w:tc>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Sau tab “Tra cứu” + “Xem thêm”</w:t>
            </w:r>
          </w:p>
        </w:tc>
        <w:tc>
          <w:tcPr>
            <w:tcW w:type="dxa" w:w="312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Mega-menu mô tả từng mục con</w:t>
            </w:r>
          </w:p>
        </w:tc>
      </w:tr>
      <w:tr>
        <w:trPr>
          <w:cantSplit/>
          <w:tblHeader w:val="false"/>
        </w:trPr>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Bố cục trang</w:t>
            </w:r>
          </w:p>
        </w:tc>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Một cột, xếp dọc theo ưu tiên</w:t>
            </w:r>
          </w:p>
        </w:tc>
        <w:tc>
          <w:tcPr>
            <w:tcW w:type="dxa" w:w="312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Nhiều cột, giữ nguyên trình tự</w:t>
            </w:r>
          </w:p>
        </w:tc>
      </w:tr>
    </w:tbl>
    <w:p>
      <w:pPr>
        <w:pStyle w:val="Heading2"/>
        <w:spacing w:after="100" w:before="240"/>
      </w:pPr>
      <w:r>
        <w:rPr>
          <w:b/>
          <w:bCs/>
          <w:color w:val="037B96"/>
        </w:rPr>
        <w:t xml:space="preserve">6.3. Tối ưu ngón cái (thumb zone) &amp; không rào cản</w:t>
      </w:r>
    </w:p>
    <w:p>
      <w:pPr>
        <w:pStyle w:val="ListParagraph"/>
        <w:numPr>
          <w:ilvl w:val="0"/>
          <w:numId w:val="2"/>
        </w:numPr>
        <w:spacing w:after="60" w:line="270"/>
      </w:pPr>
      <w:r>
        <w:rPr>
          <w:b/>
          <w:bCs/>
          <w:sz w:val="21"/>
          <w:szCs w:val="21"/>
        </w:rPr>
        <w:t xml:space="preserve">Tab bar ở đáy màn hình </w:t>
      </w:r>
      <w:r>
        <w:rPr>
          <w:sz w:val="21"/>
          <w:szCs w:val="21"/>
        </w:rPr>
        <w:t xml:space="preserve">— vùng ngón cái thoải mái nhất (75% người dùng thao tác một tay).</w:t>
      </w:r>
    </w:p>
    <w:p>
      <w:pPr>
        <w:pStyle w:val="ListParagraph"/>
        <w:numPr>
          <w:ilvl w:val="0"/>
          <w:numId w:val="2"/>
        </w:numPr>
        <w:spacing w:after="60" w:line="270"/>
      </w:pPr>
      <w:r>
        <w:rPr>
          <w:b/>
          <w:bCs/>
          <w:sz w:val="21"/>
          <w:szCs w:val="21"/>
        </w:rPr>
        <w:t xml:space="preserve">CTA quan trọng không đặt trên cùng; </w:t>
      </w:r>
      <w:r>
        <w:rPr>
          <w:sz w:val="21"/>
          <w:szCs w:val="21"/>
        </w:rPr>
        <w:t xml:space="preserve">menu hamburger góc trên là anti-pattern (khó với nhất); hỗ trợ swipe.</w:t>
      </w:r>
    </w:p>
    <w:p>
      <w:pPr>
        <w:pStyle w:val="ListParagraph"/>
        <w:numPr>
          <w:ilvl w:val="0"/>
          <w:numId w:val="2"/>
        </w:numPr>
        <w:spacing w:after="60" w:line="270"/>
      </w:pPr>
      <w:r>
        <w:rPr>
          <w:b/>
          <w:bCs/>
          <w:sz w:val="21"/>
          <w:szCs w:val="21"/>
        </w:rPr>
        <w:t xml:space="preserve">Không rào cản đăng nhập (Mô hình Fogg): </w:t>
      </w:r>
      <w:r>
        <w:rPr>
          <w:sz w:val="21"/>
          <w:szCs w:val="21"/>
        </w:rPr>
        <w:t xml:space="preserve">nội dung đọc được không cần đăng nhập. Ép cam kết sớm kích hoạt cơ chế phòng vệ → thoát trang ngay.</w:t>
      </w:r>
    </w:p>
    <w:p>
      <w:pPr>
        <w:pStyle w:val="Heading2"/>
        <w:spacing w:after="100" w:before="240"/>
      </w:pPr>
      <w:r>
        <w:rPr>
          <w:b/>
          <w:bCs/>
          <w:color w:val="037B96"/>
        </w:rPr>
        <w:t xml:space="preserve">6.4. Hai chuẩn điều hướng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Traceability — Tính truy xuất</w:t>
            </w:r>
          </w:p>
          <w:p>
            <w:pPr>
              <w:spacing w:after="0" w:line="264"/>
            </w:pPr>
            <w:r>
              <w:rPr>
                <w:sz w:val="21"/>
                <w:szCs w:val="21"/>
              </w:rPr>
              <w:t xml:space="preserve">100% tuyên bố chính danh &amp; tri thức phải có </w:t>
            </w:r>
            <w:r>
              <w:rPr>
                <w:b/>
                <w:bCs/>
                <w:sz w:val="21"/>
                <w:szCs w:val="21"/>
              </w:rPr>
              <w:t xml:space="preserve">Outbound Trust Link</w:t>
            </w:r>
            <w:r>
              <w:rPr>
                <w:sz w:val="21"/>
                <w:szCs w:val="21"/>
              </w:rPr>
              <w:t xml:space="preserve"> trỏ nguồn gốc thật (Bộ Y tế, WHO, PubMed…). Dám dẫn về nguồn là bằng chứng mạnh nhất của thẩm quyền.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No Dead Ends — Không ngõ cụt</w:t>
            </w:r>
          </w:p>
          <w:p>
            <w:pPr>
              <w:spacing w:after="0" w:line="264"/>
            </w:pPr>
            <w:r>
              <w:rPr>
                <w:sz w:val="21"/>
                <w:szCs w:val="21"/>
              </w:rPr>
              <w:t xml:space="preserve">Người dân luôn có lối đi kế tiếp — </w:t>
            </w:r>
            <w:r>
              <w:rPr>
                <w:b/>
                <w:bCs/>
                <w:sz w:val="21"/>
                <w:szCs w:val="21"/>
              </w:rPr>
              <w:t xml:space="preserve">tra cứu lại · xem chuyên gia · đi khám sớm</w:t>
            </w:r>
            <w:r>
              <w:rPr>
                <w:sz w:val="21"/>
                <w:szCs w:val="21"/>
              </w:rPr>
              <w:t xml:space="preserve"> — kể cả khi thông tin không khớp nhu cầu, kể cả ở trạng thái rỗng của tìm kiếm.</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7. Hệ thống Tìm kiếm (Searching Systems)</w:t>
      </w:r>
    </w:p>
    <w:p>
      <w:pPr>
        <w:spacing w:after="120" w:line="276"/>
      </w:pPr>
      <w:r>
        <w:rPr>
          <w:sz w:val="21"/>
          <w:szCs w:val="21"/>
        </w:rPr>
        <w:t xml:space="preserve">Với người dân đang hoang mang, tìm kiếm không phải một phương án dự phòng mà thường chính là “kế hoạch A” — vì thế nó được đặt ở vị trí nổi bật ngay Khối 1, đúng tinh thần “Dân vận đi trước”.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Khía cạnh</w:t>
            </w:r>
          </w:p>
        </w:tc>
        <w:tc>
          <w:tcPr>
            <w:tcW w:type="dxa" w:w="67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Thiết kế</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Điểm vào</w:t>
            </w:r>
          </w:p>
        </w:tc>
        <w:tc>
          <w:tcPr>
            <w:tcW w:type="dxa" w:w="6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Ô tìm ở hero; nút tìm ở 2 tầng header; overlay tìm kiếm mobile.</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Vùng &amp; facet</w:t>
            </w:r>
          </w:p>
        </w:tc>
        <w:tc>
          <w:tcPr>
            <w:tcW w:type="dxa" w:w="6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Ưu tiên Tri thức đã thẩm định; lọc theo chủ đề + M1–M4; chuyên gia lọc theo chuyên khoa.</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Trạng thái rỗng</w:t>
            </w:r>
          </w:p>
        </w:tc>
        <w:tc>
          <w:tcPr>
            <w:tcW w:type="dxa" w:w="6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“Không có bài khớp” + “Xóa bộ lọc” (No Dead Ends).</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Gợi ý truy vấn</w:t>
            </w:r>
          </w:p>
        </w:tc>
        <w:tc>
          <w:tcPr>
            <w:tcW w:type="dxa" w:w="67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Từ khóa dân dã (huyết áp, tiêm chủng) bắc cầu ngôn ngữ ↔ chuyên môn.</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Kết quả có tín hiệu</w:t>
            </w:r>
          </w:p>
        </w:tc>
        <w:tc>
          <w:tcPr>
            <w:tcW w:type="dxa" w:w="67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Badge “đã thẩm định” + tên chuyên gia + nhãn M1–M4.</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8. Siêu dữ liệu &amp; Từ vựng có kiểm soát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blHeader/>
        </w:trPr>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Trường</w:t>
            </w:r>
          </w:p>
        </w:tc>
        <w:tc>
          <w:tcPr>
            <w:tcW w:type="dxa" w:w="2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Loại từ vựng</w:t>
            </w:r>
          </w:p>
        </w:tc>
        <w:tc>
          <w:tcPr>
            <w:tcW w:type="dxa" w:w="41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Ví dụ giá trị</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chu_de</w:t>
            </w:r>
          </w:p>
        </w:tc>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Danh mục có kiểm soát</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Tim &amp; Mạch máu, Đường huyết, Đau đầu &amp; Não…</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muc_bang_chung</w:t>
            </w:r>
          </w:p>
        </w:tc>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Từ vựng đóng</w:t>
            </w:r>
          </w:p>
        </w:tc>
        <w:tc>
          <w:tcPr>
            <w:tcW w:type="dxa" w:w="4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M1 / M2 / M3 / M4</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dinh_dang</w:t>
            </w:r>
          </w:p>
        </w:tc>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Từ vựng đóng</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Bài dài / Video / Infographic / Q&amp;A / Podcast</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chuyen_gia_kiem_dinh</w:t>
            </w:r>
          </w:p>
        </w:tc>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Danh mục (liên kết hồ sơ)</w:t>
            </w:r>
          </w:p>
        </w:tc>
        <w:tc>
          <w:tcPr>
            <w:tcW w:type="dxa" w:w="4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GS.TS Nguyễn Lân Việt …</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outbound_trust_link</w:t>
            </w:r>
          </w:p>
        </w:tc>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URL nguồn gốc</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Bộ Y tế / WHO / PubMed …</w:t>
            </w:r>
          </w:p>
        </w:tc>
      </w:tr>
      <w:tr>
        <w:trPr>
          <w:cantSplit/>
          <w:tblHeader w:val="false"/>
        </w:trPr>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ngay_cap_nhat</w:t>
            </w:r>
          </w:p>
        </w:tc>
        <w:tc>
          <w:tcPr>
            <w:tcW w:type="dxa" w:w="2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Ngày</w:t>
            </w:r>
          </w:p>
        </w:tc>
        <w:tc>
          <w:tcPr>
            <w:tcW w:type="dxa" w:w="4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30/06/2026</w:t>
            </w:r>
          </w:p>
        </w:tc>
      </w:tr>
      <w:tr>
        <w:trPr>
          <w:cantSplit/>
          <w:tblHeader w:val="false"/>
        </w:trPr>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trang_thai_dinh_chinh</w:t>
            </w:r>
          </w:p>
        </w:tc>
        <w:tc>
          <w:tcPr>
            <w:tcW w:type="dxa" w:w="2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Từ vựng đóng (4 trạng thái)</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Nguyên bản / Đã cập nhật / Đã đính chính / Thu hồi</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9. Mobile-first &amp; Hiệu năng</w:t>
      </w:r>
    </w:p>
    <w:p>
      <w:pPr>
        <w:spacing w:after="120" w:line="276"/>
      </w:pPr>
      <w:r>
        <w:rPr>
          <w:b/>
          <w:bCs/>
          <w:sz w:val="21"/>
          <w:szCs w:val="21"/>
        </w:rPr>
        <w:t xml:space="preserve">Điện thoại là chuẩn mực gốc, máy tính chỉ là bản mở rộng</w:t>
      </w:r>
      <w:r>
        <w:rPr>
          <w:sz w:val="21"/>
          <w:szCs w:val="21"/>
        </w:rPr>
        <w:t xml:space="preserve"> — chứ không phải thiết kế cho màn hình lớn rồi co ép xuống. Định hướng này bắt nguồn từ một thực tế không thể chối cãi: 97,2% người Việt tra cứu thông tin y tế qua điện thoại.</w:t>
      </w:r>
    </w:p>
    <w:p>
      <w:pPr>
        <w:pStyle w:val="Heading2"/>
        <w:spacing w:after="100" w:before="240"/>
      </w:pPr>
      <w:r>
        <w:rPr>
          <w:b/>
          <w:bCs/>
          <w:color w:val="037B96"/>
        </w:rPr>
        <w:t xml:space="preserve">9.1. Chuẩn chạm &amp; cỡ chữ tối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cantSplit/>
          <w:tblHeader/>
        </w:trPr>
        <w:tc>
          <w:tcPr>
            <w:tcW w:type="dxa" w:w="24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Thông số</w:t>
            </w:r>
          </w:p>
        </w:tc>
        <w:tc>
          <w:tcPr>
            <w:tcW w:type="dxa" w:w="1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Giá trị</w:t>
            </w:r>
          </w:p>
        </w:tc>
        <w:tc>
          <w:tcPr>
            <w:tcW w:type="dxa" w:w="53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Lý do</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Cỡ chữ thân bài</w:t>
            </w:r>
          </w:p>
        </w:tc>
        <w:tc>
          <w:tcPr>
            <w:tcW w:type="dxa" w:w="1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 18dp</w:t>
            </w:r>
          </w:p>
        </w:tc>
        <w:tc>
          <w:tcPr>
            <w:tcW w:type="dxa" w:w="5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Đọc được không cần phóng to</w:t>
            </w:r>
          </w:p>
        </w:tc>
      </w:tr>
      <w:tr>
        <w:trPr>
          <w:cantSplit/>
          <w:tblHeader w:val="false"/>
        </w:trPr>
        <w:tc>
          <w:tcPr>
            <w:tcW w:type="dxa" w:w="2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Vùng chạm</w:t>
            </w:r>
          </w:p>
        </w:tc>
        <w:tc>
          <w:tcPr>
            <w:tcW w:type="dxa" w:w="1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 44×44dp</w:t>
            </w:r>
          </w:p>
        </w:tc>
        <w:tc>
          <w:tcPr>
            <w:tcW w:type="dxa" w:w="5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Ngón trỏ ~10mm, tránh nhấn nhầm</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Khoảng cách phần tử</w:t>
            </w:r>
          </w:p>
        </w:tc>
        <w:tc>
          <w:tcPr>
            <w:tcW w:type="dxa" w:w="1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 8dp</w:t>
            </w:r>
          </w:p>
        </w:tc>
        <w:tc>
          <w:tcPr>
            <w:tcW w:type="dxa" w:w="5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Ngăn nhấn nhầm</w:t>
            </w:r>
          </w:p>
        </w:tc>
      </w:tr>
      <w:tr>
        <w:trPr>
          <w:cantSplit/>
          <w:tblHeader w:val="false"/>
        </w:trPr>
        <w:tc>
          <w:tcPr>
            <w:tcW w:type="dxa" w:w="2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Zoom</w:t>
            </w:r>
          </w:p>
        </w:tc>
        <w:tc>
          <w:tcPr>
            <w:tcW w:type="dxa" w:w="1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Tắt hoàn toàn</w:t>
            </w:r>
          </w:p>
        </w:tc>
        <w:tc>
          <w:tcPr>
            <w:tcW w:type="dxa" w:w="5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Buộc thiết kế đủ lớn ngay từ đầu; phục vụ vô điều kiện</w:t>
            </w:r>
          </w:p>
        </w:tc>
      </w:tr>
    </w:tbl>
    <w:p>
      <w:pPr>
        <w:spacing w:after="120" w:line="276"/>
      </w:pPr>
      <w:r>
        <w:rPr>
          <w:b/>
          <w:bCs/>
          <w:sz w:val="21"/>
          <w:szCs w:val="21"/>
        </w:rPr>
        <w:t xml:space="preserve">Thiết kế có trách nhiệm: </w:t>
      </w:r>
      <w:r>
        <w:rPr>
          <w:sz w:val="21"/>
          <w:szCs w:val="21"/>
        </w:rPr>
        <w:t xml:space="preserve">ít hơn là nhiều hơn · thiết kế cho 80% trường hợp phổ biến · người dùng bình thường ≠ chuyên gia · ưu tiên utility thực tế.</w:t>
      </w:r>
    </w:p>
    <w:p>
      <w:pPr>
        <w:pStyle w:val="Heading2"/>
        <w:spacing w:after="100" w:before="240"/>
      </w:pPr>
      <w:r>
        <w:rPr>
          <w:b/>
          <w:bCs/>
          <w:color w:val="037B96"/>
        </w:rPr>
        <w:t xml:space="preserve">9.2. Tối ưu hiệu năng mạng (40% người dùng nông thôn 3G/2G)</w:t>
      </w:r>
    </w:p>
    <w:p>
      <w:pPr>
        <w:pStyle w:val="ListParagraph"/>
        <w:numPr>
          <w:ilvl w:val="0"/>
          <w:numId w:val="2"/>
        </w:numPr>
        <w:spacing w:after="60" w:line="270"/>
      </w:pPr>
      <w:r>
        <w:rPr>
          <w:b/>
          <w:bCs/>
          <w:sz w:val="21"/>
          <w:szCs w:val="21"/>
        </w:rPr>
        <w:t xml:space="preserve">Tải trang &lt; 2 giây </w:t>
      </w:r>
      <w:r>
        <w:rPr>
          <w:sz w:val="21"/>
          <w:szCs w:val="21"/>
        </w:rPr>
        <w:t xml:space="preserve">— mỗi giây trễ làm tăng tỷ lệ thoát 7–12%.</w:t>
      </w:r>
    </w:p>
    <w:p>
      <w:pPr>
        <w:pStyle w:val="ListParagraph"/>
        <w:numPr>
          <w:ilvl w:val="0"/>
          <w:numId w:val="2"/>
        </w:numPr>
        <w:spacing w:after="60" w:line="270"/>
      </w:pPr>
      <w:r>
        <w:rPr>
          <w:b/>
          <w:bCs/>
          <w:sz w:val="21"/>
          <w:szCs w:val="21"/>
        </w:rPr>
        <w:t xml:space="preserve">Hình ảnh: </w:t>
      </w:r>
      <w:r>
        <w:rPr>
          <w:sz w:val="21"/>
          <w:szCs w:val="21"/>
        </w:rPr>
        <w:t xml:space="preserve">WebP thay PNG/JPEG (giảm 30–50% dung lượng) + lazy loading.</w:t>
      </w:r>
    </w:p>
    <w:p>
      <w:pPr>
        <w:pStyle w:val="ListParagraph"/>
        <w:numPr>
          <w:ilvl w:val="0"/>
          <w:numId w:val="2"/>
        </w:numPr>
        <w:spacing w:after="60" w:line="270"/>
      </w:pPr>
      <w:r>
        <w:rPr>
          <w:b/>
          <w:bCs/>
          <w:sz w:val="21"/>
          <w:szCs w:val="21"/>
        </w:rPr>
        <w:t xml:space="preserve">Critical path CSS: </w:t>
      </w:r>
      <w:r>
        <w:rPr>
          <w:sz w:val="21"/>
          <w:szCs w:val="21"/>
        </w:rPr>
        <w:t xml:space="preserve">văn bản &amp; tiêu đề hiện trước, hình ảnh/widget tải sau.</w:t>
      </w:r>
    </w:p>
    <w:p>
      <w:pPr>
        <w:pStyle w:val="ListParagraph"/>
        <w:numPr>
          <w:ilvl w:val="0"/>
          <w:numId w:val="2"/>
        </w:numPr>
        <w:spacing w:after="60" w:line="270"/>
      </w:pPr>
      <w:r>
        <w:rPr>
          <w:b/>
          <w:bCs/>
          <w:sz w:val="21"/>
          <w:szCs w:val="21"/>
        </w:rPr>
        <w:t xml:space="preserve">Offline cache (Service Worker): </w:t>
      </w:r>
      <w:r>
        <w:rPr>
          <w:sz w:val="21"/>
          <w:szCs w:val="21"/>
        </w:rPr>
        <w:t xml:space="preserve">đọc lại bài đã xem khi mất kết nối tạm thời trong bệnh viện.</w:t>
      </w:r>
    </w:p>
    <w:p>
      <w:pPr>
        <w:pBdr>
          <w:bottom w:val="single" w:color="BFD9E0" w:sz="6"/>
        </w:pBdr>
        <w:spacing w:after="120" w:before="80"/>
      </w:pPr>
    </w:p>
    <w:p>
      <w:pPr>
        <w:pStyle w:val="Heading1"/>
        <w:pBdr>
          <w:bottom w:val="single" w:color="037B96" w:sz="10"/>
        </w:pBdr>
        <w:spacing w:after="130" w:before="340"/>
      </w:pPr>
      <w:r>
        <w:rPr>
          <w:b/>
          <w:bCs/>
          <w:color w:val="012932"/>
        </w:rPr>
        <w:t xml:space="preserve">10. Phơi bày “Quyền lực hậu thuẫn” — Mục trọng tâm</w:t>
      </w:r>
    </w:p>
    <w:p>
      <w:pPr>
        <w:spacing w:after="120" w:line="276"/>
      </w:pPr>
      <w:r>
        <w:rPr>
          <w:sz w:val="21"/>
          <w:szCs w:val="21"/>
        </w:rPr>
        <w:t xml:space="preserve">Bốn tầng bảo chứng không nằm rải rác đơn lẻ, mà được cả bốn hệ thống IA đồng loạt phơi bày và cộng hưởng với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80"/>
        <w:gridCol w:w="1580"/>
      </w:tblGrid>
      <w:tr>
        <w:trPr>
          <w:cantSplit/>
          <w:tblHeader/>
        </w:trPr>
        <w:tc>
          <w:tcPr>
            <w:tcW w:type="dxa" w:w="22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Tầng hậu thuẫn</w:t>
            </w:r>
          </w:p>
        </w:tc>
        <w:tc>
          <w:tcPr>
            <w:tcW w:type="dxa" w:w="19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Tổ chức</w:t>
            </w:r>
          </w:p>
        </w:tc>
        <w:tc>
          <w:tcPr>
            <w:tcW w:type="dxa" w:w="19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Nhãn</w:t>
            </w:r>
          </w:p>
        </w:tc>
        <w:tc>
          <w:tcPr>
            <w:tcW w:type="dxa" w:w="17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Điều hướng</w:t>
            </w:r>
          </w:p>
        </w:tc>
        <w:tc>
          <w:tcPr>
            <w:tcW w:type="dxa" w:w="15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Tìm kiếm</w:t>
            </w:r>
          </w:p>
        </w:tc>
      </w:tr>
      <w:tr>
        <w:trPr>
          <w:cantSplit/>
          <w:tblHeader w:val="false"/>
        </w:trPr>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① Tổng hội Y học VN</w:t>
            </w:r>
          </w:p>
        </w:tc>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Nhánh Tổng hội &amp; Chính sách</w:t>
            </w:r>
          </w:p>
        </w:tc>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Banner + logo hero</w:t>
            </w:r>
          </w:p>
        </w:tc>
        <w:tc>
          <w:tcPr>
            <w:tcW w:type="dxa" w:w="17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Breadcrumb, footer</w:t>
            </w:r>
          </w:p>
        </w:tc>
        <w:tc>
          <w:tcPr>
            <w:tcW w:type="dxa" w:w="15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Best bet “Tổng hội”</w:t>
            </w:r>
          </w:p>
        </w:tc>
      </w:tr>
      <w:tr>
        <w:trPr>
          <w:cantSplit/>
          <w:tblHeader w:val="false"/>
        </w:trPr>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② Hội chuyên khoa</w:t>
            </w:r>
          </w:p>
        </w:tc>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Mục Hội chuyên khoa</w:t>
            </w:r>
          </w:p>
        </w:tc>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Tên hội gắn mỗi bài</w:t>
            </w:r>
          </w:p>
        </w:tc>
        <w:tc>
          <w:tcPr>
            <w:tcW w:type="dxa" w:w="17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Cầu nối bài → hội</w:t>
            </w:r>
          </w:p>
        </w:tc>
        <w:tc>
          <w:tcPr>
            <w:tcW w:type="dxa" w:w="15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Facet chuyên khoa</w:t>
            </w:r>
          </w:p>
        </w:tc>
      </w:tr>
      <w:tr>
        <w:trPr>
          <w:cantSplit/>
          <w:tblHeader w:val="false"/>
        </w:trPr>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③ Hội đồng khoa học</w:t>
            </w:r>
          </w:p>
        </w:tc>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Trong Về CCHC</w:t>
            </w:r>
          </w:p>
        </w:tc>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Badge “đã thẩm định”</w:t>
            </w:r>
          </w:p>
        </w:tc>
        <w:tc>
          <w:tcPr>
            <w:tcW w:type="dxa" w:w="17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Link bài → quy trình</w:t>
            </w:r>
          </w:p>
        </w:tc>
        <w:tc>
          <w:tcPr>
            <w:tcW w:type="dxa" w:w="15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Gắn nhãn kết quả</w:t>
            </w:r>
          </w:p>
        </w:tc>
      </w:tr>
      <w:tr>
        <w:trPr>
          <w:cantSplit/>
          <w:tblHeader w:val="false"/>
        </w:trPr>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④ Chuyên gia (tên thật)</w:t>
            </w:r>
          </w:p>
        </w:tc>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Mạng lưới chuyên gia</w:t>
            </w:r>
          </w:p>
        </w:tc>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Ghi tên + COI</w:t>
            </w:r>
          </w:p>
        </w:tc>
        <w:tc>
          <w:tcPr>
            <w:tcW w:type="dxa" w:w="17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Hồ sơ chuyên gia</w:t>
            </w:r>
          </w:p>
        </w:tc>
        <w:tc>
          <w:tcPr>
            <w:tcW w:type="dxa" w:w="15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Thư viện có lọc</w:t>
            </w:r>
          </w:p>
        </w:tc>
      </w:tr>
    </w:tbl>
    <w:p>
      <w:pPr>
        <w:pStyle w:val="Heading2"/>
        <w:spacing w:after="100" w:before="240"/>
      </w:pPr>
      <w:r>
        <w:rPr>
          <w:b/>
          <w:bCs/>
          <w:color w:val="037B96"/>
        </w:rPr>
        <w:t xml:space="preserve">10.1. Hộp chính danh ba tầng trên mỗi bài (Visible Agent Effect +89%)</w:t>
      </w:r>
    </w:p>
    <w:p>
      <w:pPr>
        <w:spacing w:after="120" w:line="276"/>
      </w:pPr>
      <w:r>
        <w:rPr>
          <w:sz w:val="21"/>
          <w:szCs w:val="21"/>
        </w:rPr>
        <w:t xml:space="preserve">Trong một môi trường mà 73% người Việt không thể phân biệt thông tin y tế đúng hay sai (UNICEF 2021), việc hiển thị chính danh một cách minh nhiên giúp gia tăng sức thuyết phục tới 89% (d = 0,89). Bởi vậy, mỗi bài viết đều được khởi đầu bằng một hộp chính danh ba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cantSplit/>
          <w:tblHeader/>
        </w:trPr>
        <w:tc>
          <w:tcPr>
            <w:tcW w:type="dxa" w:w="19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Tầng</w:t>
            </w:r>
          </w:p>
        </w:tc>
        <w:tc>
          <w:tcPr>
            <w:tcW w:type="dxa" w:w="32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Nội dung</w:t>
            </w:r>
          </w:p>
        </w:tc>
        <w:tc>
          <w:tcPr>
            <w:tcW w:type="dxa" w:w="42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Vì sao</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1 · Thể chế</w:t>
            </w:r>
          </w:p>
        </w:tc>
        <w:tc>
          <w:tcPr>
            <w:tcW w:type="dxa" w:w="3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Đơn vị chỉ đạo: Tổng hội Y học Việt Nam</w:t>
            </w:r>
          </w:p>
        </w:tc>
        <w:tc>
          <w:tcPr>
            <w:tcW w:type="dxa" w:w="42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Uy tín tổ chức bảo lãnh — không thể làm giả/sao chép</w:t>
            </w:r>
          </w:p>
        </w:tc>
      </w:tr>
      <w:tr>
        <w:trPr>
          <w:cantSplit/>
          <w:tblHeader w:val="false"/>
        </w:trPr>
        <w:tc>
          <w:tcPr>
            <w:tcW w:type="dxa" w:w="19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2 · Chuyên gia cụ thể</w:t>
            </w:r>
          </w:p>
        </w:tc>
        <w:tc>
          <w:tcPr>
            <w:tcW w:type="dxa" w:w="3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GS.TS Nguyễn Lân Việt — Viện Tim mạch QG (tên, học hàm/vị, cơ sở)</w:t>
            </w:r>
          </w:p>
        </w:tc>
        <w:tc>
          <w:tcPr>
            <w:tcW w:type="dxa" w:w="42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Người đọc tra cứu &amp; xác minh độc lập; không ẩn danh</w:t>
            </w:r>
          </w:p>
        </w:tc>
      </w:tr>
      <w:tr>
        <w:trPr>
          <w:cantSplit/>
          <w:tblHeader w:val="false"/>
        </w:trPr>
        <w:tc>
          <w:tcPr>
            <w:tcW w:type="dxa" w:w="19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3 · Minh bạch biên tập</w:t>
            </w:r>
          </w:p>
        </w:tc>
        <w:tc>
          <w:tcPr>
            <w:tcW w:type="dxa" w:w="3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Biên tập: CCHC · Cập nhật: 30/06/2026</w:t>
            </w:r>
          </w:p>
        </w:tc>
        <w:tc>
          <w:tcPr>
            <w:tcW w:type="dxa" w:w="42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Người đọc biết nội dung còn hiện hành → tin dài hạn</w:t>
            </w:r>
          </w:p>
        </w:tc>
      </w:tr>
    </w:tbl>
    <w:p>
      <w:pPr>
        <w:spacing w:after="120" w:line="276"/>
      </w:pPr>
      <w:r>
        <w:rPr>
          <w:b/>
          <w:bCs/>
          <w:sz w:val="21"/>
          <w:szCs w:val="21"/>
        </w:rPr>
        <w:t xml:space="preserve">Thế cân bằng giữa quyền lực và trách nhiệm: </w:t>
      </w:r>
      <w:r>
        <w:rPr>
          <w:sz w:val="21"/>
          <w:szCs w:val="21"/>
        </w:rPr>
        <w:t xml:space="preserve">lớp Chính danh luôn được đặt song hành cùng lớp Minh bạch (COI, AI có kiểm soát, nhật ký đính chính). Bởi thẩm quyền mà thiếu vắng minh bạch tất yếu sẽ bị người đọc hoài nghi khước từ.</w:t>
      </w:r>
    </w:p>
    <w:p>
      <w:pPr>
        <w:pBdr>
          <w:bottom w:val="single" w:color="BFD9E0" w:sz="6"/>
        </w:pBdr>
        <w:spacing w:after="120" w:before="80"/>
      </w:pPr>
    </w:p>
    <w:p>
      <w:pPr>
        <w:pStyle w:val="Heading1"/>
        <w:pBdr>
          <w:bottom w:val="single" w:color="037B96" w:sz="10"/>
        </w:pBdr>
        <w:spacing w:after="130" w:before="340"/>
      </w:pPr>
      <w:r>
        <w:rPr>
          <w:b/>
          <w:bCs/>
          <w:color w:val="012932"/>
        </w:rPr>
        <w:t xml:space="preserve">11. Quy tắc thiết kế trang bài viết (Attention Economy — 3 giây)</w:t>
      </w:r>
    </w:p>
    <w:p>
      <w:pPr>
        <w:pStyle w:val="Heading3"/>
        <w:spacing w:after="80" w:before="180"/>
      </w:pPr>
      <w:r>
        <w:rPr>
          <w:b/>
          <w:bCs/>
          <w:color w:val="012932"/>
        </w:rPr>
        <w:t xml:space="preserve">11.1. Ba câu hỏi bố cục</w:t>
      </w:r>
    </w:p>
    <w:p>
      <w:pPr>
        <w:pStyle w:val="ListParagraph"/>
        <w:numPr>
          <w:ilvl w:val="0"/>
          <w:numId w:val="3"/>
        </w:numPr>
        <w:spacing w:after="60" w:line="270"/>
      </w:pPr>
      <w:r>
        <w:rPr>
          <w:b/>
          <w:bCs/>
          <w:sz w:val="21"/>
          <w:szCs w:val="21"/>
        </w:rPr>
        <w:t xml:space="preserve">Cái gì ưu tiên ở đâu? </w:t>
      </w:r>
      <w:r>
        <w:rPr>
          <w:sz w:val="21"/>
          <w:szCs w:val="21"/>
        </w:rPr>
        <w:t xml:space="preserve">Thứ tự tín hiệu 3 giây đầu: (1) bài nói về gì → (2) có đáng tin không → (3) đọc tiếp hay thoát.</w:t>
      </w:r>
    </w:p>
    <w:p>
      <w:pPr>
        <w:pStyle w:val="ListParagraph"/>
        <w:numPr>
          <w:ilvl w:val="0"/>
          <w:numId w:val="3"/>
        </w:numPr>
        <w:spacing w:after="60" w:line="270"/>
      </w:pPr>
      <w:r>
        <w:rPr>
          <w:b/>
          <w:bCs/>
          <w:sz w:val="21"/>
          <w:szCs w:val="21"/>
        </w:rPr>
        <w:t xml:space="preserve">Bố cục thế nào? </w:t>
      </w:r>
      <w:r>
        <w:rPr>
          <w:sz w:val="21"/>
          <w:szCs w:val="21"/>
        </w:rPr>
        <w:t xml:space="preserve">Trên = ưu tiên 1, giữa = 2, dưới = 3. Mobile chỉ ~6 dòng đầu là “đất vàng”.</w:t>
      </w:r>
    </w:p>
    <w:p>
      <w:pPr>
        <w:pStyle w:val="ListParagraph"/>
        <w:numPr>
          <w:ilvl w:val="0"/>
          <w:numId w:val="3"/>
        </w:numPr>
        <w:spacing w:after="60" w:line="270"/>
      </w:pPr>
      <w:r>
        <w:rPr>
          <w:b/>
          <w:bCs/>
          <w:sz w:val="21"/>
          <w:szCs w:val="21"/>
        </w:rPr>
        <w:t xml:space="preserve">Thành phần ở mỗi vùng? </w:t>
      </w:r>
      <w:r>
        <w:rPr>
          <w:sz w:val="21"/>
          <w:szCs w:val="21"/>
        </w:rPr>
        <w:t xml:space="preserve">Xác định vùng trước, rồi mới đặt bảo chứng/nhãn — tránh chèn tín hiệu tin cậy ngẫu nhiên.</w:t>
      </w:r>
    </w:p>
    <w:p>
      <w:pPr>
        <w:pStyle w:val="Heading3"/>
        <w:spacing w:after="80" w:before="180"/>
      </w:pPr>
      <w:r>
        <w:rPr>
          <w:b/>
          <w:bCs/>
          <w:color w:val="012932"/>
        </w:rPr>
        <w:t xml:space="preserve">11.2. Ánh xạ Vùng → Ưu tiên → Thành phần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blHeader/>
        </w:trPr>
        <w:tc>
          <w:tcPr>
            <w:tcW w:type="dxa" w:w="24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Vùng màn hình</w:t>
            </w:r>
          </w:p>
        </w:tc>
        <w:tc>
          <w:tcPr>
            <w:tcW w:type="dxa" w:w="28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Ưu tiên nhận thức</w:t>
            </w:r>
          </w:p>
        </w:tc>
        <w:tc>
          <w:tcPr>
            <w:tcW w:type="dxa" w:w="41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Thành phần UI</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Trên cùng (~6 dòng đầu, mobile)</w:t>
            </w:r>
          </w:p>
        </w:tc>
        <w:tc>
          <w:tcPr>
            <w:tcW w:type="dxa" w:w="28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Bài nói về gì? Có đáng tin không?</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Tiêu đề trực tiếp · Nhãn M1–M4 · Ảnh + tên + chức danh chuyên gia · Badge “Trực thuộc Tổng hội Y học VN”</w:t>
            </w:r>
          </w:p>
        </w:tc>
      </w:tr>
      <w:tr>
        <w:trPr>
          <w:cantSplit/>
          <w:tblHeader w:val="false"/>
        </w:trPr>
        <w:tc>
          <w:tcPr>
            <w:tcW w:type="dxa" w:w="2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Vùng giữa</w:t>
            </w:r>
          </w:p>
        </w:tc>
        <w:tc>
          <w:tcPr>
            <w:tcW w:type="dxa" w:w="28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Nội dung chính; đọc tiếp hay thoát?</w:t>
            </w:r>
          </w:p>
        </w:tc>
        <w:tc>
          <w:tcPr>
            <w:tcW w:type="dxa" w:w="41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Tóm tắt/key takeaways đầu bài · Nội dung chi tiết · Outbound Trust Link (Bộ Y tế, WHO, PubMed…)</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Vùng dưới</w:t>
            </w:r>
          </w:p>
        </w:tc>
        <w:tc>
          <w:tcPr>
            <w:tcW w:type="dxa" w:w="28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Hành động tiếp theo?</w:t>
            </w:r>
          </w:p>
        </w:tc>
        <w:tc>
          <w:tcPr>
            <w:tcW w:type="dxa" w:w="41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Nguồn tham khảo đầy đủ · Nút chia sẻ · Bài liên quan · CTA (đăng ký / hỏi chuyên gia / phản hồi sai sót)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Chuẩn bắt buộc trên toàn hệ thống</w:t>
            </w:r>
          </w:p>
          <w:p>
            <w:pPr>
              <w:spacing w:after="0" w:line="264"/>
            </w:pPr>
            <w:r>
              <w:rPr>
                <w:sz w:val="21"/>
                <w:szCs w:val="21"/>
              </w:rPr>
              <w:t xml:space="preserve">Bất kể thuộc chuyên mục nào, mọi bài viết đều phải tuân thủ nghiêm ngặt trật tự ưu tiên này ngay trong </w:t>
            </w:r>
            <w:r>
              <w:rPr>
                <w:b/>
                <w:bCs/>
                <w:sz w:val="21"/>
                <w:szCs w:val="21"/>
              </w:rPr>
              <w:t xml:space="preserve">6 dòng đầu tiên trên màn hình di động</w:t>
            </w:r>
            <w:r>
              <w:rPr>
                <w:sz w:val="21"/>
                <w:szCs w:val="21"/>
              </w:rPr>
              <w:t xml:space="preserve"> — đó chính là khoảnh khắc lớp Chính danh (badge Tổng hội) và lớp Tri thức (nhãn M1–M4) phải hiện diện sớm nhất, trước khi người đọc kịp lướt qua.</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12. Nhân bội nội dung &amp; Giữ chân người dùng</w:t>
      </w:r>
    </w:p>
    <w:p>
      <w:pPr>
        <w:pStyle w:val="Heading2"/>
        <w:spacing w:after="100" w:before="240"/>
      </w:pPr>
      <w:r>
        <w:rPr>
          <w:b/>
          <w:bCs/>
          <w:color w:val="037B96"/>
        </w:rPr>
        <w:t xml:space="preserve">12.1. Một nội dung, đa trải nghiệm — “Produce once, publish everywhere”</w:t>
      </w:r>
    </w:p>
    <w:p>
      <w:pPr>
        <w:spacing w:after="120" w:line="276"/>
      </w:pPr>
      <w:r>
        <w:rPr>
          <w:sz w:val="21"/>
          <w:szCs w:val="21"/>
        </w:rPr>
        <w:t xml:space="preserve">Từ một bài viết gốc do GS/PGS kiểm định, cùng một nội dung được nhân bội thành nhiều định dạng, mỗi định dạng lại được tinh chỉnh cho một ngữ cảnh tiêu thụ riêng (sáng sớm · lúc chờ đợi · buổi tối · khi khẩn cấp):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cantSplit/>
          <w:tblHeader/>
        </w:trPr>
        <w:tc>
          <w:tcPr>
            <w:tcW w:type="dxa" w:w="22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Định dạng</w:t>
            </w:r>
          </w:p>
        </w:tc>
        <w:tc>
          <w:tcPr>
            <w:tcW w:type="dxa" w:w="49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Dùng khi</w:t>
            </w:r>
          </w:p>
        </w:tc>
        <w:tc>
          <w:tcPr>
            <w:tcW w:type="dxa" w:w="22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Độ dài</w:t>
            </w:r>
          </w:p>
        </w:tc>
      </w:tr>
      <w:tr>
        <w:trPr>
          <w:cantSplit/>
          <w:tblHeader w:val="false"/>
        </w:trPr>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Bài dài</w:t>
            </w:r>
          </w:p>
        </w:tc>
        <w:tc>
          <w:tcPr>
            <w:tcW w:type="dxa" w:w="49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Phân tích chuyên sâu, hướng dẫn đầy đủ</w:t>
            </w:r>
          </w:p>
        </w:tc>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 800 từ</w:t>
            </w:r>
          </w:p>
        </w:tc>
      </w:tr>
      <w:tr>
        <w:trPr>
          <w:cantSplit/>
          <w:tblHeader w:val="false"/>
        </w:trPr>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Video ngắn</w:t>
            </w:r>
          </w:p>
        </w:tc>
        <w:tc>
          <w:tcPr>
            <w:tcW w:type="dxa" w:w="49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Thủ thuật, quy trình, demo — dễ chia sẻ</w:t>
            </w:r>
          </w:p>
        </w:tc>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1–3 phút</w:t>
            </w:r>
          </w:p>
        </w:tc>
      </w:tr>
      <w:tr>
        <w:trPr>
          <w:cantSplit/>
          <w:tblHeader w:val="false"/>
        </w:trPr>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Infographic</w:t>
            </w:r>
          </w:p>
        </w:tc>
        <w:tc>
          <w:tcPr>
            <w:tcW w:type="dxa" w:w="49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So sánh, số liệu — nhìn là hiểu ngay</w:t>
            </w:r>
          </w:p>
        </w:tc>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1 scroll</w:t>
            </w:r>
          </w:p>
        </w:tc>
      </w:tr>
      <w:tr>
        <w:trPr>
          <w:cantSplit/>
          <w:tblHeader w:val="false"/>
        </w:trPr>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Q&amp;A Card</w:t>
            </w:r>
          </w:p>
        </w:tc>
        <w:tc>
          <w:tcPr>
            <w:tcW w:type="dxa" w:w="49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1 câu hỏi, 1 đáp án ngắn gọn</w:t>
            </w:r>
          </w:p>
        </w:tc>
        <w:tc>
          <w:tcPr>
            <w:tcW w:type="dxa" w:w="22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 150 từ</w:t>
            </w:r>
          </w:p>
        </w:tc>
      </w:tr>
      <w:tr>
        <w:trPr>
          <w:cantSplit/>
          <w:tblHeader w:val="false"/>
        </w:trPr>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Podcast</w:t>
            </w:r>
          </w:p>
        </w:tc>
        <w:tc>
          <w:tcPr>
            <w:tcW w:type="dxa" w:w="49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Nghe khi di chuyển, tập thể dục</w:t>
            </w:r>
          </w:p>
        </w:tc>
        <w:tc>
          <w:tcPr>
            <w:tcW w:type="dxa" w:w="22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10–20 phút</w:t>
            </w:r>
          </w:p>
        </w:tc>
      </w:tr>
    </w:tbl>
    <w:p>
      <w:pPr>
        <w:pStyle w:val="Heading2"/>
        <w:spacing w:after="100" w:before="240"/>
      </w:pPr>
      <w:r>
        <w:rPr>
          <w:b/>
          <w:bCs/>
          <w:color w:val="037B96"/>
        </w:rPr>
        <w:t xml:space="preserve">12.2. Ba nguyên tắc giữ chân người dùng</w:t>
      </w:r>
    </w:p>
    <w:p>
      <w:pPr>
        <w:pStyle w:val="ListParagraph"/>
        <w:numPr>
          <w:ilvl w:val="0"/>
          <w:numId w:val="2"/>
        </w:numPr>
        <w:spacing w:after="60" w:line="270"/>
      </w:pPr>
      <w:r>
        <w:rPr>
          <w:b/>
          <w:bCs/>
          <w:sz w:val="21"/>
          <w:szCs w:val="21"/>
        </w:rPr>
        <w:t xml:space="preserve">Utility khẩn cấp: </w:t>
      </w:r>
      <w:r>
        <w:rPr>
          <w:sz w:val="21"/>
          <w:szCs w:val="21"/>
        </w:rPr>
        <w:t xml:space="preserve">công cụ người dùng quay lại vì thực sự cần — tra cứu triệu chứng, nhắc uống thuốc, kiểm tra tương tác thuốc, lịch tái khám. DAU cao nhất khi người dùng lo lắng sức khỏe.</w:t>
      </w:r>
    </w:p>
    <w:p>
      <w:pPr>
        <w:pStyle w:val="ListParagraph"/>
        <w:numPr>
          <w:ilvl w:val="0"/>
          <w:numId w:val="2"/>
        </w:numPr>
        <w:spacing w:after="60" w:line="270"/>
      </w:pPr>
      <w:r>
        <w:rPr>
          <w:b/>
          <w:bCs/>
          <w:sz w:val="21"/>
          <w:szCs w:val="21"/>
        </w:rPr>
        <w:t xml:space="preserve">Progress &amp; Continuity: </w:t>
      </w:r>
      <w:r>
        <w:rPr>
          <w:sz w:val="21"/>
          <w:szCs w:val="21"/>
        </w:rPr>
        <w:t xml:space="preserve">lưu lịch sử đọc, theo dõi chủ đề, nhắc lịch tái khám — cá nhân hóa là chìa khóa retention dài hạn.</w:t>
      </w:r>
    </w:p>
    <w:p>
      <w:pPr>
        <w:pStyle w:val="ListParagraph"/>
        <w:numPr>
          <w:ilvl w:val="0"/>
          <w:numId w:val="2"/>
        </w:numPr>
        <w:spacing w:after="60" w:line="270"/>
      </w:pPr>
      <w:r>
        <w:rPr>
          <w:b/>
          <w:bCs/>
          <w:sz w:val="21"/>
          <w:szCs w:val="21"/>
        </w:rPr>
        <w:t xml:space="preserve">Community: </w:t>
      </w:r>
      <w:r>
        <w:rPr>
          <w:sz w:val="21"/>
          <w:szCs w:val="21"/>
        </w:rPr>
        <w:t xml:space="preserve">hỏi bác sĩ trực tiếp, cộng đồng bệnh nhân, câu chuyện người thật — nguồn tin đáng tin thứ hai sau bác sĩ.</w:t>
      </w:r>
    </w:p>
    <w:p>
      <w:pPr>
        <w:pStyle w:val="Heading2"/>
        <w:spacing w:after="100" w:before="240"/>
      </w:pPr>
      <w:r>
        <w:rPr>
          <w:b/>
          <w:bCs/>
          <w:color w:val="037B96"/>
        </w:rPr>
        <w:t xml:space="preserve">12.3. Trang chuyên gia — tài sản chuyên môn số</w:t>
      </w:r>
    </w:p>
    <w:p>
      <w:pPr>
        <w:spacing w:after="120" w:line="276"/>
      </w:pPr>
      <w:r>
        <w:rPr>
          <w:sz w:val="21"/>
          <w:szCs w:val="21"/>
        </w:rPr>
        <w:t xml:space="preserve">Mỗi GS/PGS có trang riêng (bài đã kiểm định, lượt đọc, người theo dõi). Ba lý do bác sĩ tự nguyện xuất bản: tên hiển thị rõ được ghi nhận (uy tín cá nhân gắn uy tín thể chế); kiểm duyệt nhanh; bằng chứng tác động cụ thể. Đây là động cơ nuôi vòng lặp giá trị Chuyên gia → Tri thức → Cộng đồng.</w:t>
      </w:r>
    </w:p>
    <w:p>
      <w:pPr>
        <w:pBdr>
          <w:bottom w:val="single" w:color="BFD9E0" w:sz="6"/>
        </w:pBdr>
        <w:spacing w:after="120" w:before="80"/>
      </w:pPr>
    </w:p>
    <w:p>
      <w:pPr>
        <w:pStyle w:val="Heading1"/>
        <w:pBdr>
          <w:bottom w:val="single" w:color="037B96" w:sz="10"/>
        </w:pBdr>
        <w:spacing w:after="130" w:before="340"/>
      </w:pPr>
      <w:r>
        <w:rPr>
          <w:b/>
          <w:bCs/>
          <w:color w:val="012932"/>
        </w:rPr>
        <w:t xml:space="preserve">13. Hệ thống Thị giác &amp; Lằn ranh đạo đức</w:t>
      </w:r>
    </w:p>
    <w:p>
      <w:pPr>
        <w:pStyle w:val="Heading2"/>
        <w:spacing w:after="100" w:before="240"/>
      </w:pPr>
      <w:r>
        <w:rPr>
          <w:b/>
          <w:bCs/>
          <w:color w:val="037B96"/>
        </w:rPr>
        <w:t xml:space="preserve">13.1. Xanh dương — màu của ngành y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D9E0" w:sz="2"/>
              <w:left w:val="single" w:color="037B96" w:sz="24"/>
              <w:bottom w:val="single" w:color="BFD9E0" w:sz="2"/>
              <w:right w:val="single" w:color="BFD9E0" w:sz="2"/>
            </w:tcBorders>
            <w:shd w:fill="F2FAFC" w:color="auto" w:val="clear"/>
            <w:tcMar>
              <w:top w:type="dxa" w:w="120"/>
              <w:left w:type="dxa" w:w="160"/>
              <w:bottom w:type="dxa" w:w="120"/>
              <w:right w:type="dxa" w:w="160"/>
            </w:tcMar>
          </w:tcPr>
          <w:p>
            <w:pPr>
              <w:spacing w:after="40"/>
            </w:pPr>
            <w:r>
              <w:rPr>
                <w:b/>
                <w:bCs/>
                <w:color w:val="012932"/>
                <w:sz w:val="20"/>
                <w:szCs w:val="20"/>
              </w:rPr>
              <w:t xml:space="preserve">Vì sao chọn xanh dương?</w:t>
            </w:r>
          </w:p>
          <w:p>
            <w:pPr>
              <w:spacing w:after="0" w:line="264"/>
            </w:pPr>
            <w:r>
              <w:rPr>
                <w:b/>
                <w:bCs/>
                <w:sz w:val="21"/>
                <w:szCs w:val="21"/>
              </w:rPr>
              <w:t xml:space="preserve">Xanh dương là màu quy ước của ngành y tế</w:t>
            </w:r>
            <w:r>
              <w:rPr>
                <w:sz w:val="21"/>
                <w:szCs w:val="21"/>
              </w:rPr>
              <w:t xml:space="preserve"> — biểu trưng cho sự tin cậy, tinh khiết, điềm tĩnh và tính chuyên môn (chiếc blouse trắng-xanh, biểu tượng bệnh viện cùng các tổ chức y khoa đều chọn sắc xanh). CCHC lấy xanh làm gam màu thương hiệu chủ đạo và </w:t>
            </w:r>
            <w:r>
              <w:rPr>
                <w:b/>
                <w:bCs/>
                <w:sz w:val="21"/>
                <w:szCs w:val="21"/>
              </w:rPr>
              <w:t xml:space="preserve">đồng bộ xuyên suốt</w:t>
            </w:r>
            <w:r>
              <w:rPr>
                <w:sz w:val="21"/>
                <w:szCs w:val="21"/>
              </w:rPr>
              <w:t xml:space="preserve"> — từ những icon tròn nền xanh đậm nơi bốn trụ cột, đến tiêu đề và mọi nút hành động — để mỗi màn hình lập tức phát đi tín hiệu: “đây là nội dung y tế chính thống, đáng tin cậy”. Ở đây, màu sắc là một tầng nhãn thẩm quyền, tuyệt nhiên không phải sự trang trí.</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cantSplit/>
          <w:tblHeader/>
        </w:trPr>
        <w:tc>
          <w:tcPr>
            <w:tcW w:type="dxa" w:w="24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Token</w:t>
            </w:r>
          </w:p>
        </w:tc>
        <w:tc>
          <w:tcPr>
            <w:tcW w:type="dxa" w:w="160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Mã</w:t>
            </w:r>
          </w:p>
        </w:tc>
        <w:tc>
          <w:tcPr>
            <w:tcW w:type="dxa" w:w="536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Vai trò ngữ nghĩa</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Navy (xanh y tế đậm)</w:t>
            </w:r>
          </w:p>
        </w:tc>
        <w:tc>
          <w:tcPr>
            <w:tcW w:type="dxa" w:w="1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#012932</w:t>
            </w:r>
          </w:p>
        </w:tc>
        <w:tc>
          <w:tcPr>
            <w:tcW w:type="dxa" w:w="5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Thẩm quyền — hero, footer, panel Minh bạch, icon 4 trụ cột</w:t>
            </w:r>
          </w:p>
        </w:tc>
      </w:tr>
      <w:tr>
        <w:trPr>
          <w:cantSplit/>
          <w:tblHeader w:val="false"/>
        </w:trPr>
        <w:tc>
          <w:tcPr>
            <w:tcW w:type="dxa" w:w="2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Cobalt (xanh y tế)</w:t>
            </w:r>
          </w:p>
        </w:tc>
        <w:tc>
          <w:tcPr>
            <w:tcW w:type="dxa" w:w="1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#037B96</w:t>
            </w:r>
          </w:p>
        </w:tc>
        <w:tc>
          <w:tcPr>
            <w:tcW w:type="dxa" w:w="5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Hành động — CTA, link, tiêu đề tô màu</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Xanh nhạt</w:t>
            </w:r>
          </w:p>
        </w:tc>
        <w:tc>
          <w:tcPr>
            <w:tcW w:type="dxa" w:w="1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#82E6FD</w:t>
            </w:r>
          </w:p>
        </w:tc>
        <w:tc>
          <w:tcPr>
            <w:tcW w:type="dxa" w:w="5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Nền tint, trust strip, chip “đã kiểm chứng”</w:t>
            </w:r>
          </w:p>
        </w:tc>
      </w:tr>
      <w:tr>
        <w:trPr>
          <w:cantSplit/>
          <w:tblHeader w:val="false"/>
        </w:trPr>
        <w:tc>
          <w:tcPr>
            <w:tcW w:type="dxa" w:w="24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Coral</w:t>
            </w:r>
          </w:p>
        </w:tc>
        <w:tc>
          <w:tcPr>
            <w:tcW w:type="dxa" w:w="160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#C0392B</w:t>
            </w:r>
          </w:p>
        </w:tc>
        <w:tc>
          <w:tcPr>
            <w:tcW w:type="dxa" w:w="536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CHỈ nguy cơ/khẩn cấp — không trang trí</w:t>
            </w:r>
          </w:p>
        </w:tc>
      </w:tr>
      <w:tr>
        <w:trPr>
          <w:cantSplit/>
          <w:tblHeader w:val="false"/>
        </w:trPr>
        <w:tc>
          <w:tcPr>
            <w:tcW w:type="dxa" w:w="24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Amber</w:t>
            </w:r>
          </w:p>
        </w:tc>
        <w:tc>
          <w:tcPr>
            <w:tcW w:type="dxa" w:w="160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#995100</w:t>
            </w:r>
          </w:p>
        </w:tc>
        <w:tc>
          <w:tcPr>
            <w:tcW w:type="dxa" w:w="536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Nhãn “demo”, chú ý nhẹ</w:t>
            </w:r>
          </w:p>
        </w:tc>
      </w:tr>
    </w:tbl>
    <w:p>
      <w:pPr>
        <w:spacing w:after="120" w:line="276"/>
      </w:pPr>
      <w:r>
        <w:rPr>
          <w:b/>
          <w:bCs/>
          <w:sz w:val="21"/>
          <w:szCs w:val="21"/>
        </w:rPr>
        <w:t xml:space="preserve">Nguyên tắc: </w:t>
      </w:r>
      <w:r>
        <w:rPr>
          <w:sz w:val="21"/>
          <w:szCs w:val="21"/>
        </w:rPr>
        <w:t xml:space="preserve">xanh tượng trưng cho y tế và thẩm quyền (nơi CCHC lên tiếng với tư cách một cơ quan chính danh); đỏ báo hiệu điểm dừng và sự nguy hiểm. Sự nhất quán về màu sắc chính là một dạng nhãn thị giác âm thầm bồi đắp niềm tin.</w:t>
      </w:r>
    </w:p>
    <w:p>
      <w:pPr>
        <w:pStyle w:val="Heading2"/>
        <w:spacing w:after="100" w:before="240"/>
      </w:pPr>
      <w:r>
        <w:rPr>
          <w:b/>
          <w:bCs/>
          <w:color w:val="037B96"/>
        </w:rPr>
        <w:t xml:space="preserve">13.2. Bốn lằn ranh đạo đức bắt buộc (chuẩn CCHC)</w:t>
      </w:r>
    </w:p>
    <w:p>
      <w:pPr>
        <w:pStyle w:val="ListParagraph"/>
        <w:numPr>
          <w:ilvl w:val="0"/>
          <w:numId w:val="2"/>
        </w:numPr>
        <w:spacing w:after="60" w:line="270"/>
      </w:pPr>
      <w:r>
        <w:rPr>
          <w:b/>
          <w:bCs/>
          <w:sz w:val="21"/>
          <w:szCs w:val="21"/>
        </w:rPr>
        <w:t xml:space="preserve">Traceability: </w:t>
      </w:r>
      <w:r>
        <w:rPr>
          <w:sz w:val="21"/>
          <w:szCs w:val="21"/>
        </w:rPr>
        <w:t xml:space="preserve">100% tuyên bố có Outbound Trust Link về nguồn gốc thật.</w:t>
      </w:r>
    </w:p>
    <w:p>
      <w:pPr>
        <w:pStyle w:val="ListParagraph"/>
        <w:numPr>
          <w:ilvl w:val="0"/>
          <w:numId w:val="2"/>
        </w:numPr>
        <w:spacing w:after="60" w:line="270"/>
      </w:pPr>
      <w:r>
        <w:rPr>
          <w:b/>
          <w:bCs/>
          <w:sz w:val="21"/>
          <w:szCs w:val="21"/>
        </w:rPr>
        <w:t xml:space="preserve">No Dead Ends: </w:t>
      </w:r>
      <w:r>
        <w:rPr>
          <w:sz w:val="21"/>
          <w:szCs w:val="21"/>
        </w:rPr>
        <w:t xml:space="preserve">luôn có lối đi kế tiếp an toàn cho người dân.</w:t>
      </w:r>
    </w:p>
    <w:p>
      <w:pPr>
        <w:pStyle w:val="ListParagraph"/>
        <w:numPr>
          <w:ilvl w:val="0"/>
          <w:numId w:val="2"/>
        </w:numPr>
        <w:spacing w:after="60" w:line="270"/>
      </w:pPr>
      <w:r>
        <w:rPr>
          <w:b/>
          <w:bCs/>
          <w:sz w:val="21"/>
          <w:szCs w:val="21"/>
        </w:rPr>
        <w:t xml:space="preserve">Kiểm soát AI: </w:t>
      </w:r>
      <w:r>
        <w:rPr>
          <w:sz w:val="21"/>
          <w:szCs w:val="21"/>
        </w:rPr>
        <w:t xml:space="preserve">AI chỉ hỗ trợ soạn thảo; Ban biên tập &amp; Hội đồng khoa học giữ quyền phê duyệt cuối trên CMS.</w:t>
      </w:r>
    </w:p>
    <w:p>
      <w:pPr>
        <w:pStyle w:val="ListParagraph"/>
        <w:numPr>
          <w:ilvl w:val="0"/>
          <w:numId w:val="2"/>
        </w:numPr>
        <w:spacing w:after="60" w:line="270"/>
      </w:pPr>
      <w:r>
        <w:rPr>
          <w:b/>
          <w:bCs/>
          <w:sz w:val="21"/>
          <w:szCs w:val="21"/>
        </w:rPr>
        <w:t xml:space="preserve">Tách bạch UI: </w:t>
      </w:r>
      <w:r>
        <w:rPr>
          <w:sz w:val="21"/>
          <w:szCs w:val="21"/>
        </w:rPr>
        <w:t xml:space="preserve">phân biệt rõ bằng màu sắc/layout giữa bài đã thẩm định (M1–M4) và nội dung dịch vụ/tài trợ — tránh quảng cáo trá hình.</w:t>
      </w:r>
    </w:p>
    <w:p>
      <w:pPr>
        <w:pBdr>
          <w:bottom w:val="single" w:color="BFD9E0" w:sz="6"/>
        </w:pBdr>
        <w:spacing w:after="120" w:before="80"/>
      </w:pPr>
    </w:p>
    <w:p>
      <w:pPr>
        <w:pStyle w:val="Heading1"/>
        <w:pBdr>
          <w:bottom w:val="single" w:color="037B96" w:sz="10"/>
        </w:pBdr>
        <w:spacing w:after="130" w:before="340"/>
      </w:pPr>
      <w:r>
        <w:rPr>
          <w:b/>
          <w:bCs/>
          <w:color w:val="012932"/>
        </w:rPr>
        <w:t xml:space="preserve">14. Nguyên tắc &amp; Chỉ số thành công</w:t>
      </w:r>
    </w:p>
    <w:p>
      <w:pPr>
        <w:pStyle w:val="Heading3"/>
        <w:spacing w:after="80" w:before="180"/>
      </w:pPr>
      <w:r>
        <w:rPr>
          <w:b/>
          <w:bCs/>
          <w:color w:val="012932"/>
        </w:rPr>
        <w:t xml:space="preserve">14.1. Nguyên tắc thiết kế</w:t>
      </w:r>
    </w:p>
    <w:p>
      <w:pPr>
        <w:pStyle w:val="ListParagraph"/>
        <w:numPr>
          <w:ilvl w:val="0"/>
          <w:numId w:val="3"/>
        </w:numPr>
        <w:spacing w:after="60" w:line="270"/>
      </w:pPr>
      <w:r>
        <w:rPr>
          <w:b/>
          <w:bCs/>
          <w:sz w:val="21"/>
          <w:szCs w:val="21"/>
        </w:rPr>
        <w:t xml:space="preserve">Mobile-first mặc định: </w:t>
      </w:r>
      <w:r>
        <w:rPr>
          <w:sz w:val="21"/>
          <w:szCs w:val="21"/>
        </w:rPr>
        <w:t xml:space="preserve">điện thoại là chuẩn gốc (18/44/8dp, thanh tab đáy tối đa 4 nút, một tay, mạng yếu); desktop chỉ là bản mở rộng của cùng kiến trúc.</w:t>
      </w:r>
    </w:p>
    <w:p>
      <w:pPr>
        <w:pStyle w:val="ListParagraph"/>
        <w:numPr>
          <w:ilvl w:val="0"/>
          <w:numId w:val="3"/>
        </w:numPr>
        <w:spacing w:after="60" w:line="270"/>
      </w:pPr>
      <w:r>
        <w:rPr>
          <w:sz w:val="21"/>
          <w:szCs w:val="21"/>
        </w:rPr>
        <w:t xml:space="preserve">Thẩm quyền (Chính danh) là bề mặt thường trực, không phải một trang riêng.</w:t>
      </w:r>
    </w:p>
    <w:p>
      <w:pPr>
        <w:pStyle w:val="ListParagraph"/>
        <w:numPr>
          <w:ilvl w:val="0"/>
          <w:numId w:val="3"/>
        </w:numPr>
        <w:spacing w:after="60" w:line="270"/>
      </w:pPr>
      <w:r>
        <w:rPr>
          <w:sz w:val="21"/>
          <w:szCs w:val="21"/>
        </w:rPr>
        <w:t xml:space="preserve">Mọi khẳng định truy nguyên được về gốc thể chế trong ≤1 cú chạm; có Outbound Trust Link.</w:t>
      </w:r>
    </w:p>
    <w:p>
      <w:pPr>
        <w:pStyle w:val="ListParagraph"/>
        <w:numPr>
          <w:ilvl w:val="0"/>
          <w:numId w:val="3"/>
        </w:numPr>
        <w:spacing w:after="60" w:line="270"/>
      </w:pPr>
      <w:r>
        <w:rPr>
          <w:sz w:val="21"/>
          <w:szCs w:val="21"/>
        </w:rPr>
        <w:t xml:space="preserve">Dân vận đi trước: bề mặt phục vụ người dân (3 giây, ngôn ngữ đại chúng, không rào cản).</w:t>
      </w:r>
    </w:p>
    <w:p>
      <w:pPr>
        <w:pStyle w:val="ListParagraph"/>
        <w:numPr>
          <w:ilvl w:val="0"/>
          <w:numId w:val="3"/>
        </w:numPr>
        <w:spacing w:after="60" w:line="270"/>
      </w:pPr>
      <w:r>
        <w:rPr>
          <w:sz w:val="21"/>
          <w:szCs w:val="21"/>
        </w:rPr>
        <w:t xml:space="preserve">Quyền lực đi kèm giới hạn quyền lực — Minh bạch luôn cạnh Chính danh.</w:t>
      </w:r>
    </w:p>
    <w:p>
      <w:pPr>
        <w:pStyle w:val="ListParagraph"/>
        <w:numPr>
          <w:ilvl w:val="0"/>
          <w:numId w:val="3"/>
        </w:numPr>
        <w:spacing w:after="60" w:line="270"/>
      </w:pPr>
      <w:r>
        <w:rPr>
          <w:sz w:val="21"/>
          <w:szCs w:val="21"/>
        </w:rPr>
        <w:t xml:space="preserve">Chính danh ba tầng trong 6 dòng đầu mỗi bài (mobile).</w:t>
      </w:r>
    </w:p>
    <w:p>
      <w:pPr>
        <w:pStyle w:val="Heading3"/>
        <w:spacing w:after="80" w:before="180"/>
      </w:pPr>
      <w:r>
        <w:rPr>
          <w:b/>
          <w:bCs/>
          <w:color w:val="012932"/>
        </w:rPr>
        <w:t xml:space="preserve">14.2. Chỉ số đo lường (KPIs) cho nhà đầu tư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Chỉ số</w:t>
            </w:r>
          </w:p>
        </w:tc>
        <w:tc>
          <w:tcPr>
            <w:tcW w:type="dxa" w:w="4680"/>
            <w:tcBorders>
              <w:top w:val="single" w:color="BFD9E0" w:sz="2"/>
              <w:left w:val="single" w:color="BFD9E0" w:sz="2"/>
              <w:bottom w:val="single" w:color="BFD9E0" w:sz="2"/>
              <w:right w:val="single" w:color="BFD9E0" w:sz="2"/>
            </w:tcBorders>
            <w:shd w:fill="012932" w:color="auto" w:val="clear"/>
            <w:tcMar>
              <w:top w:type="dxa" w:w="60"/>
              <w:left w:type="dxa" w:w="90"/>
              <w:bottom w:type="dxa" w:w="60"/>
              <w:right w:type="dxa" w:w="90"/>
            </w:tcMar>
          </w:tcPr>
          <w:p>
            <w:pPr>
              <w:spacing w:after="20" w:line="250"/>
            </w:pPr>
            <w:r>
              <w:rPr>
                <w:b/>
                <w:bCs/>
                <w:color w:val="FFFFFF"/>
                <w:sz w:val="19"/>
                <w:szCs w:val="19"/>
              </w:rPr>
              <w:t xml:space="preserve">Vì sao quan trọng</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Tỷ lệ thoát trong 3 giây đầu; tốc độ tải (mục tiêu &lt; 2s)</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Quyết định sống còn của quy tắc 3 giây</w:t>
            </w:r>
          </w:p>
        </w:tc>
      </w:tr>
      <w:tr>
        <w:trPr>
          <w:cantSplit/>
          <w:tblHeader w:val="false"/>
        </w:trPr>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Tỷ lệ truy nguyên thẩm quyền (xem hộp chính danh)</w:t>
            </w:r>
          </w:p>
        </w:tc>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Đo hiệu lực của Visible Agent Effect</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Độ sâu tới bằng chứng (nội dung → nguồn, mục tiêu ≤1)</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Chất lượng con hào niềm tin</w:t>
            </w:r>
          </w:p>
        </w:tc>
      </w:tr>
      <w:tr>
        <w:trPr>
          <w:cantSplit/>
          <w:tblHeader w:val="false"/>
        </w:trPr>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DAU khi người dùng lo lắng; retention theo chủ đề theo dõi</w:t>
            </w:r>
          </w:p>
        </w:tc>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Sức khỏe utility khẩn cấp &amp; continuity</w:t>
            </w:r>
          </w:p>
        </w:tc>
      </w:tr>
      <w:tr>
        <w:trPr>
          <w:cantSplit/>
          <w:tblHeader w:val="false"/>
        </w:trPr>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Số chuyên gia mới; bài thẩm định/tháng; lượt phục vụ cộng đồng</w:t>
            </w:r>
          </w:p>
        </w:tc>
        <w:tc>
          <w:tcPr>
            <w:tcW w:type="dxa" w:w="4680"/>
            <w:tcBorders>
              <w:top w:val="single" w:color="BFD9E0" w:sz="2"/>
              <w:left w:val="single" w:color="BFD9E0" w:sz="2"/>
              <w:bottom w:val="single" w:color="BFD9E0" w:sz="2"/>
              <w:right w:val="single" w:color="BFD9E0" w:sz="2"/>
            </w:tcBorders>
            <w:tcMar>
              <w:top w:type="dxa" w:w="60"/>
              <w:left w:type="dxa" w:w="90"/>
              <w:bottom w:type="dxa" w:w="60"/>
              <w:right w:type="dxa" w:w="90"/>
            </w:tcMar>
          </w:tcPr>
          <w:p>
            <w:pPr>
              <w:spacing w:after="20" w:line="250"/>
            </w:pPr>
            <w:r>
              <w:rPr>
                <w:b w:val="false"/>
                <w:bCs w:val="false"/>
                <w:color w:val="1A1A1A"/>
                <w:sz w:val="19"/>
                <w:szCs w:val="19"/>
              </w:rPr>
              <w:t xml:space="preserve">Sức khỏe vòng lặp giá trị</w:t>
            </w:r>
          </w:p>
        </w:tc>
      </w:tr>
      <w:tr>
        <w:trPr>
          <w:cantSplit/>
          <w:tblHeader w:val="false"/>
        </w:trPr>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Lượt tải media kit; số yêu cầu hợp tác/tư vấn/đăng ký CME</w:t>
            </w:r>
          </w:p>
        </w:tc>
        <w:tc>
          <w:tcPr>
            <w:tcW w:type="dxa" w:w="4680"/>
            <w:tcBorders>
              <w:top w:val="single" w:color="BFD9E0" w:sz="2"/>
              <w:left w:val="single" w:color="BFD9E0" w:sz="2"/>
              <w:bottom w:val="single" w:color="BFD9E0" w:sz="2"/>
              <w:right w:val="single" w:color="BFD9E0" w:sz="2"/>
            </w:tcBorders>
            <w:shd w:fill="E8F7FC" w:color="auto" w:val="clear"/>
            <w:tcMar>
              <w:top w:type="dxa" w:w="60"/>
              <w:left w:type="dxa" w:w="90"/>
              <w:bottom w:type="dxa" w:w="60"/>
              <w:right w:type="dxa" w:w="90"/>
            </w:tcMar>
          </w:tcPr>
          <w:p>
            <w:pPr>
              <w:spacing w:after="20" w:line="250"/>
            </w:pPr>
            <w:r>
              <w:rPr>
                <w:b w:val="false"/>
                <w:bCs w:val="false"/>
                <w:color w:val="1A1A1A"/>
                <w:sz w:val="19"/>
                <w:szCs w:val="19"/>
              </w:rPr>
              <w:t xml:space="preserve">Chuyển đổi uy tín → doanh thu</w:t>
            </w:r>
          </w:p>
        </w:tc>
      </w:tr>
    </w:tbl>
    <w:p>
      <w:pPr>
        <w:pBdr>
          <w:bottom w:val="single" w:color="BFD9E0" w:sz="6"/>
        </w:pBdr>
        <w:spacing w:after="120" w:before="80"/>
      </w:pPr>
    </w:p>
    <w:p>
      <w:pPr>
        <w:pStyle w:val="Heading1"/>
        <w:pBdr>
          <w:bottom w:val="single" w:color="037B96" w:sz="10"/>
        </w:pBdr>
        <w:spacing w:after="130" w:before="340"/>
      </w:pPr>
      <w:r>
        <w:rPr>
          <w:b/>
          <w:bCs/>
          <w:color w:val="012932"/>
        </w:rPr>
        <w:t xml:space="preserve">15. Tài liệu hóa &amp; Bước tiếp theo</w:t>
      </w:r>
    </w:p>
    <w:p>
      <w:pPr>
        <w:pStyle w:val="ListParagraph"/>
        <w:numPr>
          <w:ilvl w:val="0"/>
          <w:numId w:val="2"/>
        </w:numPr>
        <w:spacing w:after="60" w:line="270"/>
      </w:pPr>
      <w:r>
        <w:rPr>
          <w:b/>
          <w:bCs/>
          <w:sz w:val="21"/>
          <w:szCs w:val="21"/>
        </w:rPr>
        <w:t xml:space="preserve">Blueprint, 4 trụ cột &amp; 10 khối trang chủ: </w:t>
      </w:r>
      <w:r>
        <w:rPr>
          <w:sz w:val="21"/>
          <w:szCs w:val="21"/>
        </w:rPr>
        <w:t xml:space="preserve">Mục 4.</w:t>
      </w:r>
    </w:p>
    <w:p>
      <w:pPr>
        <w:pStyle w:val="ListParagraph"/>
        <w:numPr>
          <w:ilvl w:val="0"/>
          <w:numId w:val="2"/>
        </w:numPr>
        <w:spacing w:after="60" w:line="270"/>
      </w:pPr>
      <w:r>
        <w:rPr>
          <w:b/>
          <w:bCs/>
          <w:sz w:val="21"/>
          <w:szCs w:val="21"/>
        </w:rPr>
        <w:t xml:space="preserve">Wireframe cần bổ sung: </w:t>
      </w:r>
      <w:r>
        <w:rPr>
          <w:sz w:val="21"/>
          <w:szCs w:val="21"/>
        </w:rPr>
        <w:t xml:space="preserve">(a) tab bar 4 nút; (b) grid 2×2 bốn trụ cột dưới banner; (c) template bài viết theo quy tắc 3 giây + hộp chính danh ba tầng; (d) trang chuyên gia; (e) kết quả tìm kiếm gắn nhãn M1–M4.</w:t>
      </w:r>
    </w:p>
    <w:p>
      <w:pPr>
        <w:pStyle w:val="ListParagraph"/>
        <w:numPr>
          <w:ilvl w:val="0"/>
          <w:numId w:val="2"/>
        </w:numPr>
        <w:spacing w:after="60" w:line="270"/>
      </w:pPr>
      <w:r>
        <w:rPr>
          <w:b/>
          <w:bCs/>
          <w:sz w:val="21"/>
          <w:szCs w:val="21"/>
        </w:rPr>
        <w:t xml:space="preserve">Content model: </w:t>
      </w:r>
      <w:r>
        <w:rPr>
          <w:sz w:val="21"/>
          <w:szCs w:val="21"/>
        </w:rPr>
        <w:t xml:space="preserve">chuẩn hóa “Đơn vị nội dung có thẩm quyền” (Mục 8) + đường ống nhân bội 5 định dạng (Mục 12).</w:t>
      </w:r>
    </w:p>
    <w:p>
      <w:pPr>
        <w:pStyle w:val="ListParagraph"/>
        <w:numPr>
          <w:ilvl w:val="0"/>
          <w:numId w:val="2"/>
        </w:numPr>
        <w:spacing w:after="60" w:line="270"/>
      </w:pPr>
      <w:r>
        <w:rPr>
          <w:b/>
          <w:bCs/>
          <w:sz w:val="21"/>
          <w:szCs w:val="21"/>
        </w:rPr>
        <w:t xml:space="preserve">Kiểm thử: </w:t>
      </w:r>
      <w:r>
        <w:rPr>
          <w:sz w:val="21"/>
          <w:szCs w:val="21"/>
        </w:rPr>
        <w:t xml:space="preserve">test 3 giây / 5-second test &amp; first-click trên mobile; đo tải trên 3G; card/tree testing nhãn thẩm quyền; test tiếp cận người cao tuổi.</w:t>
      </w:r>
    </w:p>
    <w:p>
      <w:pPr>
        <w:pStyle w:val="ListParagraph"/>
        <w:numPr>
          <w:ilvl w:val="0"/>
          <w:numId w:val="2"/>
        </w:numPr>
        <w:spacing w:after="60" w:line="270"/>
      </w:pPr>
      <w:r>
        <w:rPr>
          <w:b/>
          <w:bCs/>
          <w:sz w:val="21"/>
          <w:szCs w:val="21"/>
        </w:rPr>
        <w:t xml:space="preserve">Quản trị: </w:t>
      </w:r>
      <w:r>
        <w:rPr>
          <w:sz w:val="21"/>
          <w:szCs w:val="21"/>
        </w:rPr>
        <w:t xml:space="preserve">duy trì từ vựng có kiểm soát (M1–M4, danh mục theo tên bệnh) &amp; nhật ký đính chính 4 trạng thái; quy chế kiểm soát AI trên CMS.</w:t>
      </w:r>
    </w:p>
    <w:p>
      <w:pPr>
        <w:spacing w:after="60"/>
      </w:pPr>
    </w:p>
    <w:p>
      <w:pPr>
        <w:spacing w:before="200"/>
      </w:pPr>
      <w:r>
        <w:rPr>
          <w:i/>
          <w:iCs/>
          <w:color w:val="666666"/>
          <w:sz w:val="18"/>
          <w:szCs w:val="18"/>
        </w:rPr>
        <w:t xml:space="preserve">Tài liệu áp dụng khung Information Architecture (Rosenfeld, Morville &amp; Arango); tích hợp “Kiến trúc Lớp nang &amp; Quy tắc thiết kế trang bài viết” và “Hồ sơ Thiết kế Trải nghiệm Người dùng Nền tảng CCHC (2026)”. Các số liệu trích từ tài liệu nguồn của CCHC. Nội dung minh hoạ trên bản demo định hướng giao diện — không phải thiết kế cuối cùng.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CCHC · Tài liệu Thiết kế UI/UX · Mobile-first · IA O’Reilly + 4 Lớp nang · Trang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012932"/>
      <w:sz w:val="30"/>
      <w:szCs w:val="30"/>
    </w:rPr>
  </w:style>
  <w:style w:type="paragraph" w:styleId="Heading2">
    <w:name w:val="Heading 2"/>
    <w:basedOn w:val="Normal"/>
    <w:next w:val="Normal"/>
    <w:qFormat/>
    <w:pPr>
      <w:spacing w:after="100" w:before="240"/>
    </w:pPr>
    <w:rPr>
      <w:rFonts w:ascii="Calibri" w:cs="Calibri" w:eastAsia="Calibri" w:hAnsi="Calibri"/>
      <w:b/>
      <w:bCs/>
      <w:color w:val="037B96"/>
      <w:sz w:val="25"/>
      <w:szCs w:val="25"/>
    </w:rPr>
  </w:style>
  <w:style w:type="paragraph" w:styleId="Heading3">
    <w:name w:val="Heading 3"/>
    <w:basedOn w:val="Normal"/>
    <w:next w:val="Normal"/>
    <w:qFormat/>
    <w:pPr>
      <w:spacing w:after="70" w:before="160"/>
    </w:pPr>
    <w:rPr>
      <w:rFonts w:ascii="Calibri" w:cs="Calibri" w:eastAsia="Calibri" w:hAnsi="Calibri"/>
      <w:b/>
      <w:bCs/>
      <w:color w:val="0129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UI/UX — CCHC (dành cho Nhà đầu tư)</dc:title>
  <dc:creator>CCHC</dc:creator>
  <cp:lastModifiedBy>Un-named</cp:lastModifiedBy>
  <cp:revision>1</cp:revision>
  <dcterms:created xsi:type="dcterms:W3CDTF">2026-07-29T03:13:05.609Z</dcterms:created>
  <dcterms:modified xsi:type="dcterms:W3CDTF">2026-07-29T03:13:05.610Z</dcterms:modified>
</cp:coreProperties>
</file>

<file path=docProps/custom.xml><?xml version="1.0" encoding="utf-8"?>
<Properties xmlns="http://schemas.openxmlformats.org/officeDocument/2006/custom-properties" xmlns:vt="http://schemas.openxmlformats.org/officeDocument/2006/docPropsVTypes"/>
</file>