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27310894"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1"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w:t>
      </w:r>
      <w:r w:rsidR="00D073E8">
        <w:t xml:space="preserve">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2"/>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lastRenderedPageBreak/>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lastRenderedPageBreak/>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lastRenderedPageBreak/>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lastRenderedPageBreak/>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DAD4990"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a default system acceleration for all particles.</w:t>
      </w:r>
    </w:p>
    <w:p w14:paraId="4B870D5F" w14:textId="26AE1A0B" w:rsidR="00B14B1D" w:rsidRDefault="00B14B1D" w:rsidP="00092B24">
      <w:pPr>
        <w:pStyle w:val="BodyTextCont"/>
        <w:rPr>
          <w:rFonts w:hint="eastAsia"/>
        </w:rPr>
      </w:pPr>
      <w:r>
        <w:lastRenderedPageBreak/>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xml:space="preserve">, to allow game developer access to the newly </w:t>
      </w:r>
      <w:r>
        <w:t>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3" w:name="_Hlk76984508"/>
      <w:r>
        <w:t xml:space="preserve">Particles are lightweight game objects </w:t>
      </w:r>
      <w:bookmarkEnd w:id="3"/>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lastRenderedPageBreak/>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lastRenderedPageBreak/>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lastRenderedPageBreak/>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4" w:name="_Hlk74150496"/>
      <w:r w:rsidRPr="00DB3E83">
        <w:t>Testing the Particle System</w:t>
      </w:r>
    </w:p>
    <w:bookmarkEnd w:id="4"/>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B02C6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w:t>
      </w:r>
      <w:r w:rsidRPr="00DB3E83">
        <w:t>similar particles</w:t>
      </w:r>
      <w:r w:rsidR="00FC1F6A">
        <w:t xml:space="preserve"> with slight </w:t>
      </w:r>
      <w:r w:rsidR="00FC1F6A">
        <w:t>differences</w:t>
      </w:r>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w:t>
      </w:r>
      <w:r w:rsidRPr="00DB3E83">
        <w:lastRenderedPageBreak/>
        <w:t xml:space="preserve">of the particle to be between </w:t>
      </w:r>
      <w:r w:rsidRPr="00DB3E83">
        <w:t>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w:t>
      </w:r>
      <w:r w:rsidRPr="00DB3E83">
        <w:t>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w:t>
      </w:r>
      <w:r w:rsidR="004E03C5">
        <w:t xml:space="preserve">a green-X marking the position of each of the generated particles. </w:t>
      </w:r>
    </w:p>
    <w:p w14:paraId="0CB531E3" w14:textId="1586C709"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6CF6607"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 delta</w:t>
      </w:r>
      <w:r w:rsidR="00FC1F6A">
        <w:t xml:space="preserve"> </w:t>
      </w:r>
      <w:r>
        <w:t>to a value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5" w:name="_Hlk74147685"/>
      <w:r w:rsidRPr="00AD3E7A">
        <w:t xml:space="preserve">Particle </w:t>
      </w:r>
      <w:r>
        <w:t>Collision</w:t>
      </w:r>
      <w:bookmarkEnd w:id="5"/>
      <w:r w:rsidR="00C14933">
        <w:t>s</w:t>
      </w:r>
    </w:p>
    <w:p w14:paraId="065398F4" w14:textId="71207D62"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w:t>
      </w:r>
      <w:r>
        <w:lastRenderedPageBreak/>
        <w:t xml:space="preserve">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lastRenderedPageBreak/>
        <w:t xml:space="preserve">The controls of the project are </w:t>
      </w:r>
      <w:r>
        <w:t>identical to the previous project</w:t>
      </w:r>
      <w:r w:rsidR="00C5703B">
        <w:t xml:space="preserve"> and supports all of the rigid </w:t>
      </w:r>
      <w:r w:rsidR="00C5703B">
        <w:t xml:space="preserve">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lastRenderedPageBreak/>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lastRenderedPageBreak/>
        <w:t xml:space="preserve">Implement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o allow convenient invocation by client game developers</w:t>
      </w:r>
      <w:r w:rsidR="00BD5E01">
        <w:t>. These functions</w:t>
      </w:r>
      <w:r w:rsidR="00BD5E01">
        <w:t xml:space="preserve"> </w:t>
      </w:r>
      <w:r w:rsidRPr="00092B24">
        <w:rPr>
          <w:rFonts w:hint="eastAsia"/>
        </w:rPr>
        <w:t>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lastRenderedPageBreak/>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w:t>
      </w:r>
      <w:r>
        <w:t xml:space="preserve">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6"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419E9A7"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must be 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lastRenderedPageBreak/>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6"/>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1C656748"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6D37D447"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w:t>
      </w:r>
      <w:r w:rsidR="002F29F7">
        <w:t xml:space="preserve">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6A9330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bookmarkStart w:id="7" w:name="_GoBack"/>
      <w:bookmarkEnd w:id="7"/>
    </w:p>
    <w:p w14:paraId="0697726F" w14:textId="54187D4C"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lastRenderedPageBreak/>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6F9DDAC7"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B480A" w16cex:dateUtc="2021-07-16T06: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D4766" w14:textId="77777777" w:rsidR="009D1C0E" w:rsidRDefault="009D1C0E" w:rsidP="000C758C">
      <w:pPr>
        <w:spacing w:after="0" w:line="240" w:lineRule="auto"/>
      </w:pPr>
      <w:r>
        <w:separator/>
      </w:r>
    </w:p>
  </w:endnote>
  <w:endnote w:type="continuationSeparator" w:id="0">
    <w:p w14:paraId="0B7870CD" w14:textId="77777777" w:rsidR="009D1C0E" w:rsidRDefault="009D1C0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314B72" w:rsidRPr="00222F70" w:rsidRDefault="00314B72">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314B72" w:rsidRPr="00222F70" w:rsidRDefault="00314B72"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314B72" w:rsidRDefault="00314B72"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3B689" w14:textId="77777777" w:rsidR="009D1C0E" w:rsidRDefault="009D1C0E" w:rsidP="000C758C">
      <w:pPr>
        <w:spacing w:after="0" w:line="240" w:lineRule="auto"/>
      </w:pPr>
      <w:r>
        <w:separator/>
      </w:r>
    </w:p>
  </w:footnote>
  <w:footnote w:type="continuationSeparator" w:id="0">
    <w:p w14:paraId="64955AB9" w14:textId="77777777" w:rsidR="009D1C0E" w:rsidRDefault="009D1C0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314B72" w:rsidRPr="003C7D0E" w:rsidRDefault="00314B72"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314B72" w:rsidRPr="002A45BE" w:rsidRDefault="00314B72"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314B72" w:rsidRDefault="00314B72"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950C4B"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314B72" w:rsidRPr="00B44665" w:rsidRDefault="00314B72"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508"/>
    <w:rsid w:val="00695D4C"/>
    <w:rsid w:val="006B15B6"/>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D12F9"/>
    <w:rsid w:val="008E2F18"/>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D1C0E"/>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5E01"/>
    <w:rsid w:val="00BE17C8"/>
    <w:rsid w:val="00BE30E1"/>
    <w:rsid w:val="00BF1870"/>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27C1"/>
    <w:rsid w:val="00DA75C5"/>
    <w:rsid w:val="00DA7946"/>
    <w:rsid w:val="00DB24AC"/>
    <w:rsid w:val="00DB3B05"/>
    <w:rsid w:val="00DB3E83"/>
    <w:rsid w:val="00DC1A3F"/>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27</Pages>
  <Words>6544</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13</cp:revision>
  <dcterms:created xsi:type="dcterms:W3CDTF">2021-07-12T16:33:00Z</dcterms:created>
  <dcterms:modified xsi:type="dcterms:W3CDTF">2021-07-17T22:39:00Z</dcterms:modified>
</cp:coreProperties>
</file>