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organize the GUI to read from the top left to bottom right [4], [6]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use tabbed interfaces where applicable [4]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make a single detail panel that dynamically updates itself [5], [Unreal Engine observations]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provide visible lists for user-created items [Unity observations]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make the GUI overall as simple as possible to promote understanding [5], [6]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reduce the time needed to complete an action (running time, number of operations, etc.) [1], [5]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group together items, panels, etc. by structure, meaning, etc. (such as in menus); how they are grouped together matters as well [2], [6]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give a message or cue (and be consistent with it) if switching to a task that the user may not notice (e.g. the panel glows, etc.) [3]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provide hover text if there are many potentially confusing controls [Unreal Engine observations]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make functions consistent with functions from other applications, as well as function consistently [2]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Images and Color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use text over icons unless the icon is well known (e.g. “save” icon), or even use BOTH icons and text [4], [Unreal Engine observations]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put images on the left and text on the right [6]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give an item a distinct feature to attract attention (e.g. a darker tab to show the opened one) [3]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use small font sizes (e.g. lots of text) [4]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use color combinations that would impact color-blind users (e.g. red and green) [2]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use different foreground colors unless the items are different [6]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use bright colors or high-contrasting colors; instead use soft ones [6]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 addition to ideas pulled from Unity/Unreal Engine: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</w:t>
      </w:r>
      <w:r w:rsidDel="00000000" w:rsidR="00000000" w:rsidRPr="00000000">
        <w:rPr>
          <w:rtl w:val="0"/>
        </w:rPr>
        <w:t xml:space="preserve">Agah, A., and K. Tanie. "Intelligent Graphical User Interface Design Utilizing Multiple Fuzzy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Agents." Interacting with Computers 12.5 (2000): 529-42. Oxford Journals [Oxford UP].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Web. 14 Feb. 2016.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[2] Chalmers, Patricia A. "The Role of Cognitive Theory in Human–computer Interface."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Computers in Human Behavior 19.5 (2003): 593-607. ScienceDirect. Web. 4 Mar. 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[3] Hillstrom, Anne P., and Yu-Chin Chai. "Factors That Guide or Disrupt Attentive Visual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Processing." Computers in Human Behavior 22.4 (2006): 648-56. ScienceDirect. Web. 4 Mar. 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[4] Stupak, Noah, Nicholas Difonzo, Andrew J. Younge, and Christopher Homan.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"SOCIALSENSE: Graphical User Interface Design Considerations for Social Network Experiment Software." Computers in Human Behavior 26.3 (2010): 365-70. Elsevier ScienceDirect. Web. 15 Feb. 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[5] Pangalos, George J. "Designing the User Interface." Computers in Industry 22.2 (1993):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193-200. ScienceDirect. Web. 12 Mar. 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[6] Yee, Chee Kit, et al. "GUI Design Based on Cognitive Psychology: Theoretical, Empirical and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Practical Approaches." Computing Technology and Information Management 2 (2012):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836-41. IEEE. Web. 10 Mar. 2016.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