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913f8e" w14:textId="3a913f8e">
      <w:pPr>
        <w15:collapsed w:val="false"/>
      </w:pPr>
    </w:p>
    <w:p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͂</w:t>
      </w:r>
      <w:r>
        <w:rPr/>
        <w:t xml:space="preserve">i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6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</w:p>
    <w:p/>
    <w:p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‧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‧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</w:p>
    <w:p/>
    <w:p/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t xml:space="preserve"> </w:t>
      </w:r>
    </w:p>
    <w:p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strike w:val="true"/>
        </w:rPr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</w:p>
    <w:p/>
    <w:p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/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ʒ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</w:p>
    <w:p/>
    <w:p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</w:p>
    <w:p/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‧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t xml:space="preserve"> </w:t>
      </w:r>
    </w:p>
    <w:p/>
    <w:p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/>
    <w:p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p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r</w:t>
      </w:r>
      <w:r>
        <w:rPr>
          <w:strike w:val="true"/>
        </w:rPr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l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>
          <w:strike w:val="true"/>
        </w:rPr>
        <w:t xml:space="preserve">i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d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̄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̃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>
          <w:strike w:val="true"/>
        </w:rPr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</w:p>
    <w:p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</w:p>
    <w:p/>
    <w:p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</w:p>
    <w:p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‧</w:t>
      </w:r>
      <w:r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‧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>
          <w:strike w:val="true"/>
        </w:rPr>
        <w:t xml:space="preserve">m</w:t>
      </w:r>
      <w:r>
        <w:t xml:space="preserve"> </w:t>
      </w:r>
    </w:p>
    <w:p/>
    <w:p/>
    <w:p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‧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v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>
          <w:strike w:val="true"/>
        </w:rPr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ꝑ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t xml:space="preserve"> </w:t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6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</w:p>
    <w:p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</w:p>
    <w:p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>
          <w:vertAlign w:val="superscript"/>
        </w:rPr>
        <w:t xml:space="preserve">v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t xml:space="preserve"> </w:t>
      </w:r>
    </w:p>
    <w:p/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</w:p>
    <w:p/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>
          <w:vertAlign w:val="superscript"/>
        </w:rPr>
        <w:t xml:space="preserve">n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/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v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	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>
          <w:vertAlign w:val="superscript"/>
        </w:rPr>
        <w:t xml:space="preserve">u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</w:p>
    <w:p/>
    <w:p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</w:p>
    <w:p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6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</w:p>
    <w:p/>
    <w:p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m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/>
    <w:p/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</w:p>
    <w:p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ꝛ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</w:p>
    <w:p/>
    <w:p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>
          <w:vertAlign w:val="superscript"/>
        </w:rPr>
        <w:t xml:space="preserve">u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u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</w:p>
    <w:p/>
    <w:p/>
    <w:p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o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c</w:t>
      </w:r>
      <w:r>
        <w:rPr>
          <w:strike w:val="true"/>
        </w:rPr>
        <w:t xml:space="preserve">o</w:t>
      </w:r>
      <w:r>
        <w:rPr>
          <w:strike w:val="true"/>
        </w:rPr>
        <w:t xml:space="preserve">̄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</w:p>
    <w:p/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‧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