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exeyvo6aikl" w:id="0"/>
      <w:bookmarkEnd w:id="0"/>
      <w:r w:rsidDel="00000000" w:rsidR="00000000" w:rsidRPr="00000000">
        <w:rPr>
          <w:rtl w:val="0"/>
        </w:rPr>
        <w:t xml:space="preserve">Asset Management</w:t>
      </w:r>
      <w:r w:rsidDel="00000000" w:rsidR="00000000" w:rsidRPr="00000000">
        <w:rPr>
          <w:rtl w:val="0"/>
        </w:rPr>
        <w:t xml:space="preserve"> Policy Control Implementation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4">
      <w:pPr>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10"/>
        <w:gridCol w:w="2175"/>
        <w:gridCol w:w="2775"/>
        <w:gridCol w:w="1125"/>
        <w:gridCol w:w="2400"/>
        <w:tblGridChange w:id="0">
          <w:tblGrid>
            <w:gridCol w:w="1890"/>
            <w:gridCol w:w="3510"/>
            <w:gridCol w:w="2175"/>
            <w:gridCol w:w="2775"/>
            <w:gridCol w:w="1125"/>
            <w:gridCol w:w="24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Asset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Ensure all staff sign the Asset Management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During 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Asset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Track and maintain assets. Ensure they are updated with the latest Antivirus, OS and patches.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Updated asset list / Monitor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Asset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secure configurations of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b w:val="1"/>
                <w:sz w:val="20"/>
                <w:szCs w:val="20"/>
                <w:rtl w:val="0"/>
              </w:rPr>
              <w:t xml:space="preserve">Asset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Ensure asset logs are included in SIEM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As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86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b w:val="1"/>
                <w:sz w:val="20"/>
                <w:szCs w:val="20"/>
                <w:rtl w:val="0"/>
              </w:rPr>
              <w:t xml:space="preserve">Asset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all data is sanitised and devices are secured during offboarding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b w:val="1"/>
                <w:sz w:val="20"/>
                <w:szCs w:val="20"/>
                <w:rtl w:val="0"/>
              </w:rPr>
              <w:t xml:space="preserve">Asset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Revoke access to digital assets during offboarding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