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grzw91hr6xd" w:id="0"/>
      <w:bookmarkEnd w:id="0"/>
      <w:r w:rsidDel="00000000" w:rsidR="00000000" w:rsidRPr="00000000">
        <w:rPr>
          <w:rtl w:val="0"/>
        </w:rPr>
        <w:t xml:space="preserve">Risk Assessment - MindMend</w:t>
      </w:r>
    </w:p>
    <w:p w:rsidR="00000000" w:rsidDel="00000000" w:rsidP="00000000" w:rsidRDefault="00000000" w:rsidRPr="00000000" w14:paraId="00000002">
      <w:pPr>
        <w:pStyle w:val="Heading2"/>
        <w:rPr>
          <w:b w:val="1"/>
        </w:rPr>
      </w:pPr>
      <w:bookmarkStart w:colFirst="0" w:colLast="0" w:name="_pd38byc6opgw" w:id="1"/>
      <w:bookmarkEnd w:id="1"/>
      <w:r w:rsidDel="00000000" w:rsidR="00000000" w:rsidRPr="00000000">
        <w:rPr>
          <w:b w:val="1"/>
          <w:rtl w:val="0"/>
        </w:rPr>
        <w:t xml:space="preserve">Threat Landscape</w:t>
      </w:r>
    </w:p>
    <w:p w:rsidR="00000000" w:rsidDel="00000000" w:rsidP="00000000" w:rsidRDefault="00000000" w:rsidRPr="00000000" w14:paraId="00000003">
      <w:pPr>
        <w:rPr>
          <w:b w:val="1"/>
          <w:sz w:val="26"/>
          <w:szCs w:val="26"/>
        </w:rPr>
      </w:pPr>
      <w:r w:rsidDel="00000000" w:rsidR="00000000" w:rsidRPr="00000000">
        <w:rPr>
          <w:b w:val="1"/>
          <w:rtl w:val="0"/>
        </w:rPr>
        <w:t xml:space="preserve">MindMend operates within a threat landscape defined by its fully virtual, cloud-native architecture. As a digital health provider, its proprietary SaaS platform integrates AI and data analytics capabilities, processing and storing Personal Health Information (PHI) and Personally Identifiable Information (PII), making it an attractive target for cyber threats</w:t>
      </w:r>
      <w:r w:rsidDel="00000000" w:rsidR="00000000" w:rsidRPr="00000000">
        <w:rPr>
          <w:b w:val="1"/>
          <w:sz w:val="26"/>
          <w:szCs w:val="26"/>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External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Cyber criminal groups interested in Personal Health Information (PHI):</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Ransomware &amp; Malware: A healthcare platform storing sensitive PHI is a lucrative target for ransomware gangs seeking high payouts to unlock patient or operational data.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State-sponsored actors targeting innovative AI-driven medical technologies for economic or strategic advantage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Phishing and Social Engineering: Employees are more susceptible to phishing attacks when a fully remote team is involved.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Exfiltration of Intellectual Property by competitors: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AI databases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AI Models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Matching algorithms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Analytics tools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API Exploitation: AI-powered therapy matching and telehealth are likely to expose API’s linked to data extraction or service disruption.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DDoS Attacks: Competitors or Hacktivist groups might try to disrupt services to push customers to their platform.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b w:val="1"/>
          <w:sz w:val="26"/>
          <w:szCs w:val="26"/>
          <w:rtl w:val="0"/>
        </w:rPr>
        <w:t xml:space="preserve">Internal</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Source code repositories: Poorly secured GitHub repositories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Cloud Misconfigurations: Unsecured S3 buckets, overprivileged IAM roles and poorly designed WAF rules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Endpoint Compromise: Insecure BYOD configurations, insecure home WiFi configurations and watering hole attacks.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Collaboration Tool Compromise: Slack, Google Drive and Confluence can become compromised.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Network Traffic: Lack of outbound filtering and traffic monitoring can allow data exfiltration via HTTP or DNS Tunnelling.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Third Party Risk: Integration with analytics and compliance vendors could introduce vulnerabilities if not held to high security standards.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Emerging Threats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AI Manipulation: AI Prompt injection can subvert customer outputs or exfiltrate customer data.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Deepfakes and Identity fraud: Cloning voices and creating fake videos to impersonate customers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8lsddzq0ck6c" w:id="2"/>
      <w:bookmarkEnd w:id="2"/>
      <w:r w:rsidDel="00000000" w:rsidR="00000000" w:rsidRPr="00000000">
        <w:rPr>
          <w:b w:val="1"/>
          <w:rtl w:val="0"/>
        </w:rPr>
        <w:t xml:space="preserve">Key Risk Areas</w:t>
      </w:r>
    </w:p>
    <w:p w:rsidR="00000000" w:rsidDel="00000000" w:rsidP="00000000" w:rsidRDefault="00000000" w:rsidRPr="00000000" w14:paraId="0000001F">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Client Risks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Patients becoming reliant on or misinterpreting AI-generated therapy recommendations.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Inaccurate or incomplete patient disclosures may lead to suboptimal AI recommendations, posing clinical and reputational risks.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Service availability in emergency situations could cause medical problems with customers and tarnish MindMend</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Misuse of platform features or misunderstanding of AI outputs without proper disclaimers and clinician oversight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Contractual Obligations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Failure to meet ISO 27001 milestones could affect customer contracts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Discrepancies with data flow in relation to medical laws in different jurisdictions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Inaccurate AI-driven therapy matching could be construed as a failure to deliver contracted service levels, affecting liability and trust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Data Risks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Exfiltration of proprietary AI models, training data, and business logic</w:t>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Unauthorised access or leakage of PHI, in violation of the Privacy Act 1988</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Exposure of stored or transmitted payment data, violating PCI DSS requirements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Software Risks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Insufficient security controls in CI/CD pipelines or container orchestration (e.g., Kubernetes misconfigurations)</w:t>
      </w: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Vulnerabilities in the AI model could leak data</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Insecure and unpatched database servers</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Risk of third-party libraries or open-source component vulnerabilities (GitHub repositories)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Vendor Risks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Vendors with low security policies could expose MindMend's shared data</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Dependence on a single vendor could disrupt the platform if the vendor becomes compromised in any way</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Insecure vendor APIs could expose MindMend’s data</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Inadequate third-party due diligence or ongoing vendor monitoring can introduce persistent vulnerabilities into the environment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Staff Risks</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Lack of security training will result in a lack of security awareness</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Lack of proper onboarding of staff could result in platform exposure</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Overprivileged user accounts or insufficient access revocation post-employment increase insider threat potential</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Shadow IT by remote staff using unauthorised tools or services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spacing w:after="0" w:before="0" w:lineRule="auto"/>
        <w:rPr>
          <w:b w:val="1"/>
          <w:color w:val="000000"/>
          <w:sz w:val="26"/>
          <w:szCs w:val="26"/>
        </w:rPr>
      </w:pPr>
      <w:bookmarkStart w:colFirst="0" w:colLast="0" w:name="_5uk22j3op01t" w:id="3"/>
      <w:bookmarkEnd w:id="3"/>
      <w:r w:rsidDel="00000000" w:rsidR="00000000" w:rsidRPr="00000000">
        <w:rPr>
          <w:b w:val="1"/>
          <w:color w:val="000000"/>
          <w:sz w:val="26"/>
          <w:szCs w:val="26"/>
          <w:rtl w:val="0"/>
        </w:rPr>
        <w:t xml:space="preserve">Operational Risks</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Poor security posture could result in inadequate incident response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Insufficient system and control documentation impedes audits, onboarding, and incident investigation.</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Lack of formal business continuity and disaster recovery planning for cloud-based architecture</w:t>
      </w:r>
      <w:r w:rsidDel="00000000" w:rsidR="00000000" w:rsidRPr="00000000">
        <w:rPr>
          <w:rtl w:val="0"/>
        </w:rPr>
      </w:r>
    </w:p>
    <w:p w:rsidR="00000000" w:rsidDel="00000000" w:rsidP="00000000" w:rsidRDefault="00000000" w:rsidRPr="00000000" w14:paraId="00000045">
      <w:pPr>
        <w:pStyle w:val="Heading3"/>
        <w:rPr/>
      </w:pPr>
      <w:bookmarkStart w:colFirst="0" w:colLast="0" w:name="_k0looinxyff3" w:id="4"/>
      <w:bookmarkEnd w:id="4"/>
      <w:r w:rsidDel="00000000" w:rsidR="00000000" w:rsidRPr="00000000">
        <w:rPr>
          <w:rtl w:val="0"/>
        </w:rPr>
        <w:t xml:space="preserve">Control Gaps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0" w:before="0" w:lineRule="auto"/>
        <w:rPr/>
      </w:pPr>
      <w:bookmarkStart w:colFirst="0" w:colLast="0" w:name="_4zape4ibq74u" w:id="5"/>
      <w:bookmarkEnd w:id="5"/>
      <w:r w:rsidDel="00000000" w:rsidR="00000000" w:rsidRPr="00000000">
        <w:rPr>
          <w:rtl w:val="0"/>
        </w:rPr>
        <w:t xml:space="preserve">Risk Register</w:t>
      </w:r>
    </w:p>
    <w:p w:rsidR="00000000" w:rsidDel="00000000" w:rsidP="00000000" w:rsidRDefault="00000000" w:rsidRPr="00000000" w14:paraId="00000048">
      <w:pPr>
        <w:rPr>
          <w:sz w:val="10"/>
          <w:szCs w:val="10"/>
        </w:rPr>
      </w:pPr>
      <w:r w:rsidDel="00000000" w:rsidR="00000000" w:rsidRPr="00000000">
        <w:rPr>
          <w:rtl w:val="0"/>
        </w:rPr>
      </w:r>
    </w:p>
    <w:tbl>
      <w:tblPr>
        <w:tblStyle w:val="Table1"/>
        <w:tblpPr w:leftFromText="180" w:rightFromText="180" w:topFromText="180" w:bottomFromText="180" w:vertAnchor="text" w:horzAnchor="text" w:tblpX="0" w:tblpY="0"/>
        <w:tblW w:w="9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660"/>
        <w:gridCol w:w="3315"/>
        <w:gridCol w:w="1200"/>
        <w:gridCol w:w="1275"/>
        <w:gridCol w:w="975"/>
        <w:gridCol w:w="1190.0000000000005"/>
        <w:tblGridChange w:id="0">
          <w:tblGrid>
            <w:gridCol w:w="780"/>
            <w:gridCol w:w="660"/>
            <w:gridCol w:w="3315"/>
            <w:gridCol w:w="1200"/>
            <w:gridCol w:w="1275"/>
            <w:gridCol w:w="975"/>
            <w:gridCol w:w="1190.0000000000005"/>
          </w:tblGrid>
        </w:tblGridChange>
      </w:tblGrid>
      <w:tr>
        <w:trPr>
          <w:cantSplit w:val="0"/>
          <w:tblHeader w:val="0"/>
        </w:trPr>
        <w:tc>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Tier</w:t>
            </w:r>
          </w:p>
        </w:tc>
        <w:tc>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Risk</w:t>
            </w:r>
          </w:p>
        </w:tc>
        <w:tc>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Desc</w:t>
            </w:r>
          </w:p>
        </w:tc>
        <w:tc>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Owner</w:t>
            </w:r>
          </w:p>
        </w:tc>
        <w:tc>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Likelihood</w:t>
            </w:r>
          </w:p>
        </w:tc>
        <w:tc>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Impact</w:t>
            </w:r>
          </w:p>
        </w:tc>
        <w:tc>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Treatment</w:t>
            </w:r>
          </w:p>
        </w:tc>
      </w:tr>
      <w:tr>
        <w:trPr>
          <w:cantSplit w:val="0"/>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0">
            <w:pPr>
              <w:widowControl w:val="0"/>
              <w:spacing w:line="240" w:lineRule="auto"/>
              <w:rPr>
                <w:b w:val="1"/>
                <w:sz w:val="18"/>
                <w:szCs w:val="18"/>
              </w:rPr>
            </w:pPr>
            <w:r w:rsidDel="00000000" w:rsidR="00000000" w:rsidRPr="00000000">
              <w:rPr>
                <w:b w:val="1"/>
                <w:sz w:val="18"/>
                <w:szCs w:val="18"/>
                <w:rtl w:val="0"/>
              </w:rPr>
              <w:t xml:space="preserve">    Client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3</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4</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12</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7">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9">
            <w:pPr>
              <w:rPr>
                <w:sz w:val="8"/>
                <w:szCs w:val="8"/>
              </w:rPr>
            </w:pPr>
            <w:r w:rsidDel="00000000" w:rsidR="00000000" w:rsidRPr="00000000">
              <w:rPr>
                <w:sz w:val="12"/>
                <w:szCs w:val="12"/>
                <w:rtl w:val="0"/>
              </w:rPr>
              <w:t xml:space="preserve">Patients becoming reliant on or misinterpreting AI-generated therapy recommendations. </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A">
            <w:pPr>
              <w:rPr>
                <w:sz w:val="16"/>
                <w:szCs w:val="16"/>
              </w:rPr>
            </w:pPr>
            <w:r w:rsidDel="00000000" w:rsidR="00000000" w:rsidRPr="00000000">
              <w:rPr>
                <w:sz w:val="16"/>
                <w:szCs w:val="16"/>
                <w:rtl w:val="0"/>
              </w:rPr>
              <w:t xml:space="preserve">Dr. Nina Hayes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B">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C">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D">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0">
            <w:pPr>
              <w:rPr>
                <w:sz w:val="2"/>
                <w:szCs w:val="2"/>
              </w:rPr>
            </w:pPr>
            <w:r w:rsidDel="00000000" w:rsidR="00000000" w:rsidRPr="00000000">
              <w:rPr>
                <w:sz w:val="12"/>
                <w:szCs w:val="12"/>
                <w:rtl w:val="0"/>
              </w:rPr>
              <w:t xml:space="preserve">Inaccurate or incomplete patient disclosures may lead to suboptimal AI recommendations, posing clinical and reputational risks.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1">
            <w:pPr>
              <w:rPr>
                <w:sz w:val="16"/>
                <w:szCs w:val="16"/>
              </w:rPr>
            </w:pPr>
            <w:r w:rsidDel="00000000" w:rsidR="00000000" w:rsidRPr="00000000">
              <w:rPr>
                <w:sz w:val="16"/>
                <w:szCs w:val="16"/>
                <w:rtl w:val="0"/>
              </w:rPr>
              <w:t xml:space="preserve">Olivia Mercer Dr. Nina Hayes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3">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7">
            <w:pPr>
              <w:rPr>
                <w:sz w:val="12"/>
                <w:szCs w:val="12"/>
              </w:rPr>
            </w:pPr>
            <w:r w:rsidDel="00000000" w:rsidR="00000000" w:rsidRPr="00000000">
              <w:rPr>
                <w:sz w:val="12"/>
                <w:szCs w:val="12"/>
                <w:rtl w:val="0"/>
              </w:rPr>
              <w:t xml:space="preserve">Service availability in emergency situations could cause medical problems with customers and tarnish MindMend</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Priya Desai</w:t>
            </w:r>
          </w:p>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Daniel Kim</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sz w:val="16"/>
                <w:szCs w:val="16"/>
                <w:rtl w:val="0"/>
              </w:rPr>
              <w:t xml:space="preserve">5</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F">
            <w:pPr>
              <w:rPr>
                <w:sz w:val="12"/>
                <w:szCs w:val="12"/>
              </w:rPr>
            </w:pPr>
            <w:r w:rsidDel="00000000" w:rsidR="00000000" w:rsidRPr="00000000">
              <w:rPr>
                <w:sz w:val="12"/>
                <w:szCs w:val="12"/>
                <w:rtl w:val="0"/>
              </w:rPr>
              <w:t xml:space="preserve">Misuse of platform features or misunderstanding of AI outputs without proper disclaimers and clinician oversight</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0">
            <w:pPr>
              <w:rPr>
                <w:sz w:val="16"/>
                <w:szCs w:val="16"/>
              </w:rPr>
            </w:pPr>
            <w:r w:rsidDel="00000000" w:rsidR="00000000" w:rsidRPr="00000000">
              <w:rPr>
                <w:sz w:val="16"/>
                <w:szCs w:val="16"/>
                <w:rtl w:val="0"/>
              </w:rPr>
              <w:t xml:space="preserve">Olivia Mercer</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1">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2">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3">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4">
            <w:pPr>
              <w:widowControl w:val="0"/>
              <w:spacing w:line="240" w:lineRule="auto"/>
              <w:rPr>
                <w:b w:val="1"/>
                <w:sz w:val="18"/>
                <w:szCs w:val="18"/>
              </w:rPr>
            </w:pPr>
            <w:r w:rsidDel="00000000" w:rsidR="00000000" w:rsidRPr="00000000">
              <w:rPr>
                <w:b w:val="1"/>
                <w:sz w:val="18"/>
                <w:szCs w:val="18"/>
                <w:rtl w:val="0"/>
              </w:rPr>
              <w:t xml:space="preserve">    Contractual Obligations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7">
            <w:pPr>
              <w:widowControl w:val="0"/>
              <w:spacing w:line="240" w:lineRule="auto"/>
              <w:rPr>
                <w:sz w:val="16"/>
                <w:szCs w:val="16"/>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8">
            <w:pPr>
              <w:widowControl w:val="0"/>
              <w:spacing w:line="240" w:lineRule="auto"/>
              <w:jc w:val="center"/>
              <w:rPr>
                <w:sz w:val="16"/>
                <w:szCs w:val="16"/>
              </w:rPr>
            </w:pPr>
            <w:r w:rsidDel="00000000" w:rsidR="00000000" w:rsidRPr="00000000">
              <w:rPr>
                <w:sz w:val="16"/>
                <w:szCs w:val="16"/>
                <w:rtl w:val="0"/>
              </w:rPr>
              <w:t xml:space="preserve">2.66</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9">
            <w:pPr>
              <w:widowControl w:val="0"/>
              <w:spacing w:line="240" w:lineRule="auto"/>
              <w:jc w:val="center"/>
              <w:rPr>
                <w:sz w:val="16"/>
                <w:szCs w:val="16"/>
              </w:rPr>
            </w:pPr>
            <w:r w:rsidDel="00000000" w:rsidR="00000000" w:rsidRPr="00000000">
              <w:rPr>
                <w:sz w:val="16"/>
                <w:szCs w:val="16"/>
                <w:rtl w:val="0"/>
              </w:rPr>
              <w:t xml:space="preserve">4</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A">
            <w:pPr>
              <w:widowControl w:val="0"/>
              <w:spacing w:line="240" w:lineRule="auto"/>
              <w:jc w:val="center"/>
              <w:rPr>
                <w:sz w:val="16"/>
                <w:szCs w:val="16"/>
              </w:rPr>
            </w:pPr>
            <w:r w:rsidDel="00000000" w:rsidR="00000000" w:rsidRPr="00000000">
              <w:rPr>
                <w:sz w:val="16"/>
                <w:szCs w:val="16"/>
                <w:rtl w:val="0"/>
              </w:rPr>
              <w:t xml:space="preserve">10.4</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B">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D">
            <w:pPr>
              <w:rPr>
                <w:b w:val="1"/>
                <w:sz w:val="12"/>
                <w:szCs w:val="12"/>
              </w:rPr>
            </w:pPr>
            <w:r w:rsidDel="00000000" w:rsidR="00000000" w:rsidRPr="00000000">
              <w:rPr>
                <w:sz w:val="12"/>
                <w:szCs w:val="12"/>
                <w:rtl w:val="0"/>
              </w:rPr>
              <w:t xml:space="preserve">Failure to meet ISO 27001 milestones could affect customer contracts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Olivia Mercer</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F">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0">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1">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2">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4">
            <w:pPr>
              <w:rPr>
                <w:b w:val="1"/>
                <w:sz w:val="12"/>
                <w:szCs w:val="12"/>
              </w:rPr>
            </w:pPr>
            <w:r w:rsidDel="00000000" w:rsidR="00000000" w:rsidRPr="00000000">
              <w:rPr>
                <w:sz w:val="12"/>
                <w:szCs w:val="12"/>
                <w:rtl w:val="0"/>
              </w:rPr>
              <w:t xml:space="preserve">Discrepancies with data flow in relation to medical laws in different jurisdictions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Olivia Mercer</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6">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7">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8">
            <w:pPr>
              <w:widowControl w:val="0"/>
              <w:spacing w:line="240" w:lineRule="auto"/>
              <w:jc w:val="center"/>
              <w:rPr>
                <w:sz w:val="16"/>
                <w:szCs w:val="16"/>
              </w:rPr>
            </w:pPr>
            <w:r w:rsidDel="00000000" w:rsidR="00000000" w:rsidRPr="00000000">
              <w:rPr>
                <w:sz w:val="16"/>
                <w:szCs w:val="16"/>
                <w:rtl w:val="0"/>
              </w:rPr>
              <w:t xml:space="preserve">Monitor</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9">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B">
            <w:pPr>
              <w:rPr>
                <w:b w:val="1"/>
                <w:sz w:val="12"/>
                <w:szCs w:val="12"/>
              </w:rPr>
            </w:pPr>
            <w:r w:rsidDel="00000000" w:rsidR="00000000" w:rsidRPr="00000000">
              <w:rPr>
                <w:sz w:val="12"/>
                <w:szCs w:val="12"/>
                <w:rtl w:val="0"/>
              </w:rPr>
              <w:t xml:space="preserve">Inaccurate AI-driven therapy matching could be construed as a failure to deliver contracted service levels, affecting liability and trust</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C">
            <w:pPr>
              <w:rPr>
                <w:sz w:val="16"/>
                <w:szCs w:val="16"/>
              </w:rPr>
            </w:pPr>
            <w:r w:rsidDel="00000000" w:rsidR="00000000" w:rsidRPr="00000000">
              <w:rPr>
                <w:sz w:val="16"/>
                <w:szCs w:val="16"/>
                <w:rtl w:val="0"/>
              </w:rPr>
              <w:t xml:space="preserve">Dr. Nina Hayes/Olivia Mercer</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D">
            <w:pPr>
              <w:widowControl w:val="0"/>
              <w:spacing w:line="240" w:lineRule="auto"/>
              <w:jc w:val="center"/>
              <w:rPr>
                <w:sz w:val="16"/>
                <w:szCs w:val="16"/>
              </w:rPr>
            </w:pPr>
            <w:r w:rsidDel="00000000" w:rsidR="00000000" w:rsidRPr="00000000">
              <w:rPr>
                <w:sz w:val="16"/>
                <w:szCs w:val="16"/>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E">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F">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0">
            <w:pPr>
              <w:widowControl w:val="0"/>
              <w:spacing w:line="240" w:lineRule="auto"/>
              <w:rPr>
                <w:b w:val="1"/>
                <w:sz w:val="18"/>
                <w:szCs w:val="18"/>
              </w:rPr>
            </w:pPr>
            <w:r w:rsidDel="00000000" w:rsidR="00000000" w:rsidRPr="00000000">
              <w:rPr>
                <w:b w:val="1"/>
                <w:sz w:val="18"/>
                <w:szCs w:val="18"/>
                <w:rtl w:val="0"/>
              </w:rPr>
              <w:t xml:space="preserve">    Data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3">
            <w:pPr>
              <w:widowControl w:val="0"/>
              <w:spacing w:line="240" w:lineRule="auto"/>
              <w:rPr>
                <w:sz w:val="16"/>
                <w:szCs w:val="16"/>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4">
            <w:pPr>
              <w:widowControl w:val="0"/>
              <w:spacing w:line="240" w:lineRule="auto"/>
              <w:jc w:val="center"/>
              <w:rPr>
                <w:sz w:val="16"/>
                <w:szCs w:val="16"/>
              </w:rPr>
            </w:pPr>
            <w:r w:rsidDel="00000000" w:rsidR="00000000" w:rsidRPr="00000000">
              <w:rPr>
                <w:sz w:val="16"/>
                <w:szCs w:val="16"/>
                <w:rtl w:val="0"/>
              </w:rPr>
              <w:t xml:space="preserve">3.33</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5">
            <w:pPr>
              <w:widowControl w:val="0"/>
              <w:spacing w:line="240" w:lineRule="auto"/>
              <w:jc w:val="center"/>
              <w:rPr>
                <w:sz w:val="16"/>
                <w:szCs w:val="16"/>
              </w:rPr>
            </w:pPr>
            <w:r w:rsidDel="00000000" w:rsidR="00000000" w:rsidRPr="00000000">
              <w:rPr>
                <w:sz w:val="16"/>
                <w:szCs w:val="16"/>
                <w:rtl w:val="0"/>
              </w:rPr>
              <w:t xml:space="preserve">4.33</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6">
            <w:pPr>
              <w:widowControl w:val="0"/>
              <w:spacing w:line="240" w:lineRule="auto"/>
              <w:jc w:val="center"/>
              <w:rPr>
                <w:sz w:val="16"/>
                <w:szCs w:val="16"/>
              </w:rPr>
            </w:pPr>
            <w:r w:rsidDel="00000000" w:rsidR="00000000" w:rsidRPr="00000000">
              <w:rPr>
                <w:sz w:val="16"/>
                <w:szCs w:val="16"/>
                <w:rtl w:val="0"/>
              </w:rPr>
              <w:t xml:space="preserve">14.3</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7">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9">
            <w:pPr>
              <w:rPr>
                <w:b w:val="1"/>
                <w:sz w:val="12"/>
                <w:szCs w:val="12"/>
              </w:rPr>
            </w:pPr>
            <w:r w:rsidDel="00000000" w:rsidR="00000000" w:rsidRPr="00000000">
              <w:rPr>
                <w:sz w:val="12"/>
                <w:szCs w:val="12"/>
                <w:rtl w:val="0"/>
              </w:rPr>
              <w:t xml:space="preserve">Exfiltration of proprietary AI models, training data, and business logic</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B">
            <w:pPr>
              <w:widowControl w:val="0"/>
              <w:spacing w:line="240" w:lineRule="auto"/>
              <w:jc w:val="center"/>
              <w:rPr>
                <w:sz w:val="16"/>
                <w:szCs w:val="16"/>
              </w:rPr>
            </w:pPr>
            <w:r w:rsidDel="00000000" w:rsidR="00000000" w:rsidRPr="00000000">
              <w:rPr>
                <w:sz w:val="16"/>
                <w:szCs w:val="16"/>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D">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E">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F">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0">
            <w:pPr>
              <w:rPr>
                <w:b w:val="1"/>
                <w:sz w:val="12"/>
                <w:szCs w:val="12"/>
              </w:rPr>
            </w:pPr>
            <w:r w:rsidDel="00000000" w:rsidR="00000000" w:rsidRPr="00000000">
              <w:rPr>
                <w:sz w:val="12"/>
                <w:szCs w:val="12"/>
                <w:rtl w:val="0"/>
              </w:rPr>
              <w:t xml:space="preserve">Unauthorised access or leakage of PHI, in violation of the Privacy Act 1988</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1">
            <w:pPr>
              <w:widowControl w:val="0"/>
              <w:spacing w:line="240" w:lineRule="auto"/>
              <w:rPr>
                <w:sz w:val="16"/>
                <w:szCs w:val="16"/>
              </w:rPr>
            </w:pPr>
            <w:r w:rsidDel="00000000" w:rsidR="00000000" w:rsidRPr="00000000">
              <w:rPr>
                <w:sz w:val="16"/>
                <w:szCs w:val="16"/>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2">
            <w:pPr>
              <w:widowControl w:val="0"/>
              <w:spacing w:line="240" w:lineRule="auto"/>
              <w:jc w:val="center"/>
              <w:rPr>
                <w:sz w:val="16"/>
                <w:szCs w:val="16"/>
              </w:rPr>
            </w:pPr>
            <w:r w:rsidDel="00000000" w:rsidR="00000000" w:rsidRPr="00000000">
              <w:rPr>
                <w:sz w:val="16"/>
                <w:szCs w:val="16"/>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3">
            <w:pPr>
              <w:widowControl w:val="0"/>
              <w:spacing w:line="240" w:lineRule="auto"/>
              <w:jc w:val="center"/>
              <w:rPr>
                <w:sz w:val="16"/>
                <w:szCs w:val="16"/>
              </w:rPr>
            </w:pPr>
            <w:r w:rsidDel="00000000" w:rsidR="00000000" w:rsidRPr="00000000">
              <w:rPr>
                <w:sz w:val="16"/>
                <w:szCs w:val="16"/>
                <w:rtl w:val="0"/>
              </w:rPr>
              <w:t xml:space="preserve">5</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4">
            <w:pPr>
              <w:widowControl w:val="0"/>
              <w:spacing w:line="240" w:lineRule="auto"/>
              <w:jc w:val="center"/>
              <w:rPr>
                <w:sz w:val="16"/>
                <w:szCs w:val="16"/>
              </w:rPr>
            </w:pPr>
            <w:r w:rsidDel="00000000" w:rsidR="00000000" w:rsidRPr="00000000">
              <w:rPr>
                <w:sz w:val="16"/>
                <w:szCs w:val="16"/>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5">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7">
            <w:pPr>
              <w:rPr>
                <w:b w:val="1"/>
                <w:sz w:val="12"/>
                <w:szCs w:val="12"/>
              </w:rPr>
            </w:pPr>
            <w:r w:rsidDel="00000000" w:rsidR="00000000" w:rsidRPr="00000000">
              <w:rPr>
                <w:sz w:val="12"/>
                <w:szCs w:val="12"/>
                <w:rtl w:val="0"/>
              </w:rPr>
              <w:t xml:space="preserve">Exposure of stored or transmitted payment data, violating PCI DSS requirements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9">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A">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B">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C">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D">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E">
            <w:pPr>
              <w:rPr>
                <w:sz w:val="12"/>
                <w:szCs w:val="12"/>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F">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rtl w:val="0"/>
              </w:rPr>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3">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5">
            <w:pPr>
              <w:rPr>
                <w:sz w:val="12"/>
                <w:szCs w:val="12"/>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6">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rtl w:val="0"/>
              </w:rPr>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A">
            <w:pPr>
              <w:widowControl w:val="0"/>
              <w:spacing w:line="240" w:lineRule="auto"/>
              <w:rPr>
                <w:b w:val="1"/>
                <w:sz w:val="18"/>
                <w:szCs w:val="18"/>
              </w:rPr>
            </w:pPr>
            <w:r w:rsidDel="00000000" w:rsidR="00000000" w:rsidRPr="00000000">
              <w:rPr>
                <w:b w:val="1"/>
                <w:sz w:val="18"/>
                <w:szCs w:val="18"/>
                <w:rtl w:val="0"/>
              </w:rPr>
              <w:t xml:space="preserve">  Software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D">
            <w:pPr>
              <w:widowControl w:val="0"/>
              <w:spacing w:line="240" w:lineRule="auto"/>
              <w:rPr>
                <w:sz w:val="16"/>
                <w:szCs w:val="16"/>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E">
            <w:pPr>
              <w:widowControl w:val="0"/>
              <w:spacing w:line="240" w:lineRule="auto"/>
              <w:jc w:val="center"/>
              <w:rPr>
                <w:sz w:val="16"/>
                <w:szCs w:val="16"/>
              </w:rPr>
            </w:pPr>
            <w:r w:rsidDel="00000000" w:rsidR="00000000" w:rsidRPr="00000000">
              <w:rPr>
                <w:sz w:val="16"/>
                <w:szCs w:val="16"/>
                <w:rtl w:val="0"/>
              </w:rPr>
              <w:t xml:space="preserve">3</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F">
            <w:pPr>
              <w:widowControl w:val="0"/>
              <w:spacing w:line="240" w:lineRule="auto"/>
              <w:jc w:val="center"/>
              <w:rPr>
                <w:sz w:val="16"/>
                <w:szCs w:val="16"/>
              </w:rPr>
            </w:pPr>
            <w:r w:rsidDel="00000000" w:rsidR="00000000" w:rsidRPr="00000000">
              <w:rPr>
                <w:sz w:val="16"/>
                <w:szCs w:val="16"/>
                <w:rtl w:val="0"/>
              </w:rPr>
              <w:t xml:space="preserve">3.75</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0">
            <w:pPr>
              <w:widowControl w:val="0"/>
              <w:spacing w:line="240" w:lineRule="auto"/>
              <w:jc w:val="center"/>
              <w:rPr>
                <w:sz w:val="16"/>
                <w:szCs w:val="16"/>
              </w:rPr>
            </w:pPr>
            <w:r w:rsidDel="00000000" w:rsidR="00000000" w:rsidRPr="00000000">
              <w:rPr>
                <w:sz w:val="16"/>
                <w:szCs w:val="16"/>
                <w:rtl w:val="0"/>
              </w:rPr>
              <w:t xml:space="preserve">11.25</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1">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C2">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3">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4">
            <w:pPr>
              <w:rPr>
                <w:b w:val="1"/>
                <w:sz w:val="12"/>
                <w:szCs w:val="12"/>
              </w:rPr>
            </w:pPr>
            <w:r w:rsidDel="00000000" w:rsidR="00000000" w:rsidRPr="00000000">
              <w:rPr>
                <w:sz w:val="12"/>
                <w:szCs w:val="12"/>
                <w:rtl w:val="0"/>
              </w:rPr>
              <w:t xml:space="preserve">Insufficient security controls in CI/CD pipelines or container orchestration (e.g., Kubernetes misconfigurations)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9">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B">
            <w:pPr>
              <w:rPr>
                <w:b w:val="1"/>
                <w:sz w:val="12"/>
                <w:szCs w:val="12"/>
              </w:rPr>
            </w:pPr>
            <w:r w:rsidDel="00000000" w:rsidR="00000000" w:rsidRPr="00000000">
              <w:rPr>
                <w:sz w:val="12"/>
                <w:szCs w:val="12"/>
                <w:rtl w:val="0"/>
              </w:rPr>
              <w:t xml:space="preserve">Vulnerabilities in the AI model could leak data</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E">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0">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2">
            <w:pPr>
              <w:rPr>
                <w:b w:val="1"/>
                <w:sz w:val="12"/>
                <w:szCs w:val="12"/>
              </w:rPr>
            </w:pPr>
            <w:r w:rsidDel="00000000" w:rsidR="00000000" w:rsidRPr="00000000">
              <w:rPr>
                <w:sz w:val="12"/>
                <w:szCs w:val="12"/>
                <w:rtl w:val="0"/>
              </w:rPr>
              <w:t xml:space="preserve">Insecure and unpatched database servers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4">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5">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6">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7">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8">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9">
            <w:pPr>
              <w:rPr>
                <w:b w:val="1"/>
                <w:sz w:val="12"/>
                <w:szCs w:val="12"/>
              </w:rPr>
            </w:pPr>
            <w:r w:rsidDel="00000000" w:rsidR="00000000" w:rsidRPr="00000000">
              <w:rPr>
                <w:sz w:val="12"/>
                <w:szCs w:val="12"/>
                <w:rtl w:val="0"/>
              </w:rPr>
              <w:t xml:space="preserve">Risk of third-party libraries or open-source component vulnerabilities (GitHub repositories)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B">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C">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E">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F">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0">
            <w:pPr>
              <w:rPr>
                <w:sz w:val="12"/>
                <w:szCs w:val="12"/>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1">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2">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3">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4">
            <w:pPr>
              <w:widowControl w:val="0"/>
              <w:spacing w:line="240" w:lineRule="auto"/>
              <w:jc w:val="center"/>
              <w:rPr>
                <w:sz w:val="18"/>
                <w:szCs w:val="18"/>
              </w:rPr>
            </w:pPr>
            <w:r w:rsidDel="00000000" w:rsidR="00000000" w:rsidRPr="00000000">
              <w:rPr>
                <w:rtl w:val="0"/>
              </w:rPr>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5">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8">
            <w:pPr>
              <w:widowControl w:val="0"/>
              <w:spacing w:line="240" w:lineRule="auto"/>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A">
            <w:pPr>
              <w:widowControl w:val="0"/>
              <w:spacing w:line="240" w:lineRule="auto"/>
              <w:jc w:val="center"/>
              <w:rPr>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B">
            <w:pPr>
              <w:widowControl w:val="0"/>
              <w:spacing w:line="240" w:lineRule="auto"/>
              <w:jc w:val="center"/>
              <w:rPr>
                <w:sz w:val="18"/>
                <w:szCs w:val="18"/>
              </w:rPr>
            </w:pPr>
            <w:r w:rsidDel="00000000" w:rsidR="00000000" w:rsidRPr="00000000">
              <w:rPr>
                <w:rtl w:val="0"/>
              </w:rPr>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C">
            <w:pPr>
              <w:widowControl w:val="0"/>
              <w:spacing w:line="240" w:lineRule="auto"/>
              <w:rPr>
                <w:b w:val="1"/>
                <w:sz w:val="18"/>
                <w:szCs w:val="18"/>
              </w:rPr>
            </w:pPr>
            <w:r w:rsidDel="00000000" w:rsidR="00000000" w:rsidRPr="00000000">
              <w:rPr>
                <w:b w:val="1"/>
                <w:sz w:val="18"/>
                <w:szCs w:val="18"/>
                <w:rtl w:val="0"/>
              </w:rPr>
              <w:t xml:space="preserve"> Vendor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0">
            <w:pPr>
              <w:widowControl w:val="0"/>
              <w:spacing w:line="240" w:lineRule="auto"/>
              <w:jc w:val="center"/>
              <w:rPr>
                <w:sz w:val="18"/>
                <w:szCs w:val="18"/>
              </w:rPr>
            </w:pPr>
            <w:r w:rsidDel="00000000" w:rsidR="00000000" w:rsidRPr="00000000">
              <w:rPr>
                <w:sz w:val="18"/>
                <w:szCs w:val="18"/>
                <w:rtl w:val="0"/>
              </w:rPr>
              <w:t xml:space="preserve">3.5</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1">
            <w:pPr>
              <w:widowControl w:val="0"/>
              <w:spacing w:line="240" w:lineRule="auto"/>
              <w:jc w:val="center"/>
              <w:rPr>
                <w:sz w:val="18"/>
                <w:szCs w:val="18"/>
              </w:rPr>
            </w:pPr>
            <w:r w:rsidDel="00000000" w:rsidR="00000000" w:rsidRPr="00000000">
              <w:rPr>
                <w:sz w:val="18"/>
                <w:szCs w:val="18"/>
                <w:rtl w:val="0"/>
              </w:rPr>
              <w:t xml:space="preserve">3.75</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2">
            <w:pPr>
              <w:widowControl w:val="0"/>
              <w:spacing w:line="240" w:lineRule="auto"/>
              <w:jc w:val="center"/>
              <w:rPr>
                <w:sz w:val="18"/>
                <w:szCs w:val="18"/>
              </w:rPr>
            </w:pPr>
            <w:r w:rsidDel="00000000" w:rsidR="00000000" w:rsidRPr="00000000">
              <w:rPr>
                <w:sz w:val="18"/>
                <w:szCs w:val="18"/>
                <w:rtl w:val="0"/>
              </w:rPr>
              <w:t xml:space="preserve">13.12</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3">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5">
            <w:pPr>
              <w:rPr>
                <w:b w:val="1"/>
                <w:sz w:val="12"/>
                <w:szCs w:val="12"/>
              </w:rPr>
            </w:pPr>
            <w:r w:rsidDel="00000000" w:rsidR="00000000" w:rsidRPr="00000000">
              <w:rPr>
                <w:sz w:val="12"/>
                <w:szCs w:val="12"/>
                <w:rtl w:val="0"/>
              </w:rPr>
              <w:t xml:space="preserve">Vendors with low security policies could expose MindMend's shared data</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7">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9">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A">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C">
            <w:pPr>
              <w:rPr>
                <w:b w:val="1"/>
                <w:sz w:val="12"/>
                <w:szCs w:val="12"/>
              </w:rPr>
            </w:pPr>
            <w:r w:rsidDel="00000000" w:rsidR="00000000" w:rsidRPr="00000000">
              <w:rPr>
                <w:sz w:val="12"/>
                <w:szCs w:val="12"/>
                <w:rtl w:val="0"/>
              </w:rPr>
              <w:t xml:space="preserve">Dependence on a single vendor could disrupt the platform if the vendor becomes compromised in any way</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Daniel Kim</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rHeight w:val="414.873046875" w:hRule="atLeast"/>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1">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2">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3">
            <w:pPr>
              <w:rPr>
                <w:b w:val="1"/>
                <w:sz w:val="12"/>
                <w:szCs w:val="12"/>
              </w:rPr>
            </w:pPr>
            <w:r w:rsidDel="00000000" w:rsidR="00000000" w:rsidRPr="00000000">
              <w:rPr>
                <w:sz w:val="12"/>
                <w:szCs w:val="12"/>
                <w:rtl w:val="0"/>
              </w:rPr>
              <w:t xml:space="preserve">Insecure vendor APIs could expose MindMend’s data</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Priya Desai</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6">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7">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8">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9">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A">
            <w:pPr>
              <w:rPr>
                <w:b w:val="1"/>
                <w:sz w:val="18"/>
                <w:szCs w:val="18"/>
              </w:rPr>
            </w:pPr>
            <w:r w:rsidDel="00000000" w:rsidR="00000000" w:rsidRPr="00000000">
              <w:rPr>
                <w:sz w:val="12"/>
                <w:szCs w:val="12"/>
                <w:rtl w:val="0"/>
              </w:rPr>
              <w:t xml:space="preserve">Inadequate third-party due diligence or ongoing vendor monitoring can introduce persistent vulnerabilities into the environment</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Olivia Mercer</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F">
            <w:pPr>
              <w:widowControl w:val="0"/>
              <w:spacing w:line="240" w:lineRule="auto"/>
              <w:rPr>
                <w:b w:val="1"/>
                <w:sz w:val="18"/>
                <w:szCs w:val="18"/>
              </w:rPr>
            </w:pPr>
            <w:r w:rsidDel="00000000" w:rsidR="00000000" w:rsidRPr="00000000">
              <w:rPr>
                <w:b w:val="1"/>
                <w:sz w:val="18"/>
                <w:szCs w:val="18"/>
                <w:rtl w:val="0"/>
              </w:rPr>
              <w:t xml:space="preserve">    Staff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2">
            <w:pPr>
              <w:widowControl w:val="0"/>
              <w:spacing w:line="240" w:lineRule="auto"/>
              <w:rPr>
                <w:sz w:val="18"/>
                <w:szCs w:val="18"/>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3.5</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4">
            <w:pPr>
              <w:widowControl w:val="0"/>
              <w:spacing w:line="240" w:lineRule="auto"/>
              <w:jc w:val="center"/>
              <w:rPr>
                <w:sz w:val="18"/>
                <w:szCs w:val="18"/>
              </w:rPr>
            </w:pPr>
            <w:r w:rsidDel="00000000" w:rsidR="00000000" w:rsidRPr="00000000">
              <w:rPr>
                <w:sz w:val="18"/>
                <w:szCs w:val="18"/>
                <w:rtl w:val="0"/>
              </w:rPr>
              <w:t xml:space="preserve">3.5</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12.25</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6">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8">
            <w:pPr>
              <w:rPr>
                <w:b w:val="1"/>
                <w:sz w:val="12"/>
                <w:szCs w:val="12"/>
              </w:rPr>
            </w:pPr>
            <w:r w:rsidDel="00000000" w:rsidR="00000000" w:rsidRPr="00000000">
              <w:rPr>
                <w:sz w:val="12"/>
                <w:szCs w:val="12"/>
                <w:rtl w:val="0"/>
              </w:rPr>
              <w:t xml:space="preserve">Lack of security training will result in a lack of security awareness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Laura Simmons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A">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B">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C">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D">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E">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F">
            <w:pPr>
              <w:rPr>
                <w:b w:val="1"/>
                <w:sz w:val="12"/>
                <w:szCs w:val="12"/>
              </w:rPr>
            </w:pPr>
            <w:r w:rsidDel="00000000" w:rsidR="00000000" w:rsidRPr="00000000">
              <w:rPr>
                <w:sz w:val="12"/>
                <w:szCs w:val="12"/>
                <w:rtl w:val="0"/>
              </w:rPr>
              <w:t xml:space="preserve">Lack of proper onboarding of staff could result in platform exposure</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Laura Simmons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1">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2">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3">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4">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5">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6">
            <w:pPr>
              <w:rPr>
                <w:b w:val="1"/>
                <w:sz w:val="12"/>
                <w:szCs w:val="12"/>
              </w:rPr>
            </w:pPr>
            <w:r w:rsidDel="00000000" w:rsidR="00000000" w:rsidRPr="00000000">
              <w:rPr>
                <w:sz w:val="12"/>
                <w:szCs w:val="12"/>
                <w:rtl w:val="0"/>
              </w:rPr>
              <w:t xml:space="preserve">Overprivileged user accounts or insufficient access revocation post-employment increase insider threat potential</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Laura Simmons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8">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9">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A">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B">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C">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D">
            <w:pPr>
              <w:rPr>
                <w:b w:val="1"/>
                <w:sz w:val="12"/>
                <w:szCs w:val="12"/>
              </w:rPr>
            </w:pPr>
            <w:r w:rsidDel="00000000" w:rsidR="00000000" w:rsidRPr="00000000">
              <w:rPr>
                <w:sz w:val="12"/>
                <w:szCs w:val="12"/>
                <w:rtl w:val="0"/>
              </w:rPr>
              <w:t xml:space="preserve">Shadow IT by remote staff using unauthorised tools or services</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Laura Simmons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F">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0">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1">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rHeight w:val="266.1732283464567" w:hRule="atLeast"/>
          <w:tblHeader w:val="0"/>
        </w:trPr>
        <w:tc>
          <w:tcPr>
            <w:gridSpan w:val="3"/>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2">
            <w:pPr>
              <w:widowControl w:val="0"/>
              <w:spacing w:line="240" w:lineRule="auto"/>
              <w:rPr>
                <w:b w:val="1"/>
                <w:sz w:val="18"/>
                <w:szCs w:val="18"/>
              </w:rPr>
            </w:pPr>
            <w:r w:rsidDel="00000000" w:rsidR="00000000" w:rsidRPr="00000000">
              <w:rPr>
                <w:b w:val="1"/>
                <w:sz w:val="18"/>
                <w:szCs w:val="18"/>
                <w:rtl w:val="0"/>
              </w:rPr>
              <w:t xml:space="preserve">    Operational Risks</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5">
            <w:pPr>
              <w:widowControl w:val="0"/>
              <w:spacing w:line="240" w:lineRule="auto"/>
              <w:rPr>
                <w:sz w:val="18"/>
                <w:szCs w:val="18"/>
              </w:rPr>
            </w:pPr>
            <w:r w:rsidDel="00000000" w:rsidR="00000000" w:rsidRPr="00000000">
              <w:rPr>
                <w:rtl w:val="0"/>
              </w:rPr>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6">
            <w:pPr>
              <w:widowControl w:val="0"/>
              <w:spacing w:line="240" w:lineRule="auto"/>
              <w:jc w:val="center"/>
              <w:rPr>
                <w:sz w:val="18"/>
                <w:szCs w:val="18"/>
              </w:rPr>
            </w:pPr>
            <w:r w:rsidDel="00000000" w:rsidR="00000000" w:rsidRPr="00000000">
              <w:rPr>
                <w:sz w:val="18"/>
                <w:szCs w:val="18"/>
                <w:rtl w:val="0"/>
              </w:rPr>
              <w:t xml:space="preserve">3.33</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7">
            <w:pPr>
              <w:widowControl w:val="0"/>
              <w:spacing w:line="240" w:lineRule="auto"/>
              <w:jc w:val="center"/>
              <w:rPr>
                <w:sz w:val="18"/>
                <w:szCs w:val="18"/>
              </w:rPr>
            </w:pPr>
            <w:r w:rsidDel="00000000" w:rsidR="00000000" w:rsidRPr="00000000">
              <w:rPr>
                <w:sz w:val="18"/>
                <w:szCs w:val="18"/>
                <w:rtl w:val="0"/>
              </w:rPr>
              <w:t xml:space="preserve">4.33</w:t>
            </w:r>
          </w:p>
        </w:tc>
        <w:tc>
          <w:tcPr>
            <w:shd w:fill="ffff00"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8">
            <w:pPr>
              <w:widowControl w:val="0"/>
              <w:spacing w:line="240" w:lineRule="auto"/>
              <w:jc w:val="center"/>
              <w:rPr>
                <w:sz w:val="18"/>
                <w:szCs w:val="18"/>
              </w:rPr>
            </w:pPr>
            <w:r w:rsidDel="00000000" w:rsidR="00000000" w:rsidRPr="00000000">
              <w:rPr>
                <w:sz w:val="18"/>
                <w:szCs w:val="18"/>
                <w:rtl w:val="0"/>
              </w:rPr>
              <w:t xml:space="preserve">14.41</w:t>
            </w:r>
          </w:p>
        </w:tc>
      </w:tr>
      <w:tr>
        <w:trPr>
          <w:cantSplit w:val="0"/>
          <w:trHeight w:val="304.482421875" w:hRule="atLeast"/>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9">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A">
            <w:pPr>
              <w:widowControl w:val="0"/>
              <w:spacing w:line="240" w:lineRule="auto"/>
              <w:jc w:val="center"/>
              <w:rPr>
                <w:sz w:val="18"/>
                <w:szCs w:val="18"/>
              </w:rPr>
            </w:pPr>
            <w:r w:rsidDel="00000000" w:rsidR="00000000" w:rsidRPr="00000000">
              <w:rPr>
                <w:sz w:val="18"/>
                <w:szCs w:val="18"/>
                <w:rtl w:val="0"/>
              </w:rPr>
              <w:t xml:space="preserve">1</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B">
            <w:pPr>
              <w:rPr>
                <w:b w:val="1"/>
                <w:sz w:val="12"/>
                <w:szCs w:val="12"/>
              </w:rPr>
            </w:pPr>
            <w:r w:rsidDel="00000000" w:rsidR="00000000" w:rsidRPr="00000000">
              <w:rPr>
                <w:sz w:val="12"/>
                <w:szCs w:val="12"/>
                <w:rtl w:val="0"/>
              </w:rPr>
              <w:t xml:space="preserve">Poor security posture could result in inadequate incident response</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Daniel Kim</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D">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E">
            <w:pPr>
              <w:widowControl w:val="0"/>
              <w:spacing w:line="240" w:lineRule="auto"/>
              <w:jc w:val="center"/>
              <w:rPr>
                <w:sz w:val="18"/>
                <w:szCs w:val="18"/>
              </w:rPr>
            </w:pPr>
            <w:r w:rsidDel="00000000" w:rsidR="00000000" w:rsidRPr="00000000">
              <w:rPr>
                <w:sz w:val="18"/>
                <w:szCs w:val="18"/>
                <w:rtl w:val="0"/>
              </w:rPr>
              <w:t xml:space="preserve">5</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F">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0">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1">
            <w:pPr>
              <w:widowControl w:val="0"/>
              <w:spacing w:line="240" w:lineRule="auto"/>
              <w:jc w:val="center"/>
              <w:rPr>
                <w:sz w:val="18"/>
                <w:szCs w:val="18"/>
              </w:rPr>
            </w:pPr>
            <w:r w:rsidDel="00000000" w:rsidR="00000000" w:rsidRPr="00000000">
              <w:rPr>
                <w:sz w:val="18"/>
                <w:szCs w:val="18"/>
                <w:rtl w:val="0"/>
              </w:rPr>
              <w:t xml:space="preserve">2</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2">
            <w:pPr>
              <w:rPr>
                <w:b w:val="1"/>
                <w:sz w:val="12"/>
                <w:szCs w:val="12"/>
              </w:rPr>
            </w:pPr>
            <w:r w:rsidDel="00000000" w:rsidR="00000000" w:rsidRPr="00000000">
              <w:rPr>
                <w:sz w:val="12"/>
                <w:szCs w:val="12"/>
                <w:rtl w:val="0"/>
              </w:rPr>
              <w:t xml:space="preserve">Insufficient system and control documentation impedes audits, onboarding, and incident investigation.</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Daniel Kim</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4">
            <w:pPr>
              <w:widowControl w:val="0"/>
              <w:spacing w:line="240" w:lineRule="auto"/>
              <w:jc w:val="center"/>
              <w:rPr>
                <w:sz w:val="18"/>
                <w:szCs w:val="18"/>
              </w:rPr>
            </w:pPr>
            <w:r w:rsidDel="00000000" w:rsidR="00000000" w:rsidRPr="00000000">
              <w:rPr>
                <w:sz w:val="18"/>
                <w:szCs w:val="18"/>
                <w:rtl w:val="0"/>
              </w:rPr>
              <w:t xml:space="preserve">4</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5">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6">
            <w:pPr>
              <w:widowControl w:val="0"/>
              <w:spacing w:line="240" w:lineRule="auto"/>
              <w:jc w:val="center"/>
              <w:rPr>
                <w:sz w:val="18"/>
                <w:szCs w:val="18"/>
              </w:rPr>
            </w:pPr>
            <w:r w:rsidDel="00000000" w:rsidR="00000000" w:rsidRPr="00000000">
              <w:rPr>
                <w:sz w:val="18"/>
                <w:szCs w:val="18"/>
                <w:rtl w:val="0"/>
              </w:rPr>
              <w:t xml:space="preserve">Mitigate</w:t>
            </w:r>
          </w:p>
        </w:tc>
      </w:tr>
      <w:tr>
        <w:trPr>
          <w:cantSplit w:val="0"/>
          <w:tblHeader w:val="0"/>
        </w:trPr>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7">
            <w:pPr>
              <w:widowControl w:val="0"/>
              <w:spacing w:line="240" w:lineRule="auto"/>
              <w:rPr>
                <w:b w:val="1"/>
                <w:sz w:val="18"/>
                <w:szCs w:val="18"/>
              </w:rPr>
            </w:pP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8">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9">
            <w:pPr>
              <w:rPr>
                <w:b w:val="1"/>
                <w:sz w:val="12"/>
                <w:szCs w:val="12"/>
              </w:rPr>
            </w:pPr>
            <w:r w:rsidDel="00000000" w:rsidR="00000000" w:rsidRPr="00000000">
              <w:rPr>
                <w:sz w:val="12"/>
                <w:szCs w:val="12"/>
                <w:rtl w:val="0"/>
              </w:rPr>
              <w:t xml:space="preserve">Lack of formal business continuity and disaster recovery planning for cloud-based architecture</w:t>
            </w:r>
            <w:r w:rsidDel="00000000" w:rsidR="00000000" w:rsidRPr="00000000">
              <w:rPr>
                <w:rtl w:val="0"/>
              </w:rPr>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Daniel Kim</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B">
            <w:pPr>
              <w:widowControl w:val="0"/>
              <w:spacing w:line="240" w:lineRule="auto"/>
              <w:jc w:val="center"/>
              <w:rPr>
                <w:sz w:val="18"/>
                <w:szCs w:val="18"/>
              </w:rPr>
            </w:pPr>
            <w:r w:rsidDel="00000000" w:rsidR="00000000" w:rsidRPr="00000000">
              <w:rPr>
                <w:sz w:val="18"/>
                <w:szCs w:val="18"/>
                <w:rtl w:val="0"/>
              </w:rPr>
              <w:t xml:space="preserve">3</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C">
            <w:pPr>
              <w:widowControl w:val="0"/>
              <w:spacing w:line="240" w:lineRule="auto"/>
              <w:jc w:val="center"/>
              <w:rPr>
                <w:sz w:val="18"/>
                <w:szCs w:val="18"/>
              </w:rPr>
            </w:pPr>
            <w:r w:rsidDel="00000000" w:rsidR="00000000" w:rsidRPr="00000000">
              <w:rPr>
                <w:sz w:val="18"/>
                <w:szCs w:val="18"/>
                <w:rtl w:val="0"/>
              </w:rPr>
              <w:t xml:space="preserve">5</w:t>
            </w:r>
          </w:p>
        </w:tc>
        <w:tc>
          <w:tcP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D">
            <w:pPr>
              <w:widowControl w:val="0"/>
              <w:spacing w:line="240" w:lineRule="auto"/>
              <w:jc w:val="center"/>
              <w:rPr>
                <w:sz w:val="18"/>
                <w:szCs w:val="18"/>
              </w:rPr>
            </w:pPr>
            <w:r w:rsidDel="00000000" w:rsidR="00000000" w:rsidRPr="00000000">
              <w:rPr>
                <w:sz w:val="18"/>
                <w:szCs w:val="18"/>
                <w:rtl w:val="0"/>
              </w:rPr>
              <w:t xml:space="preserve">Mitigate</w:t>
            </w:r>
          </w:p>
        </w:tc>
      </w:tr>
    </w:tbl>
    <w:p w:rsidR="00000000" w:rsidDel="00000000" w:rsidP="00000000" w:rsidRDefault="00000000" w:rsidRPr="00000000" w14:paraId="0000014E">
      <w:pPr>
        <w:pStyle w:val="Heading1"/>
        <w:rPr/>
      </w:pPr>
      <w:bookmarkStart w:colFirst="0" w:colLast="0" w:name="_1xg2wauzcjji" w:id="6"/>
      <w:bookmarkEnd w:id="6"/>
      <w:r w:rsidDel="00000000" w:rsidR="00000000" w:rsidRPr="00000000">
        <w:rPr/>
        <w:drawing>
          <wp:anchor allowOverlap="1" behindDoc="0" distB="114300" distT="114300" distL="114300" distR="114300" hidden="0" layoutInCell="1" locked="0" relativeHeight="0" simplePos="0">
            <wp:simplePos x="0" y="0"/>
            <wp:positionH relativeFrom="page">
              <wp:posOffset>928688</wp:posOffset>
            </wp:positionH>
            <wp:positionV relativeFrom="page">
              <wp:posOffset>5595938</wp:posOffset>
            </wp:positionV>
            <wp:extent cx="3047138" cy="2488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7138" cy="2488725"/>
                    </a:xfrm>
                    <a:prstGeom prst="rect"/>
                    <a:ln/>
                  </pic:spPr>
                </pic:pic>
              </a:graphicData>
            </a:graphic>
          </wp:anchor>
        </w:drawing>
      </w:r>
      <w:r w:rsidDel="00000000" w:rsidR="00000000" w:rsidRPr="00000000">
        <w:rPr>
          <w:rtl w:val="0"/>
        </w:rPr>
        <w:t xml:space="preserve">Risk = </w:t>
      </w:r>
      <w:r w:rsidDel="00000000" w:rsidR="00000000" w:rsidRPr="00000000">
        <w:rPr>
          <w:highlight w:val="yellow"/>
          <w:rtl w:val="0"/>
        </w:rPr>
        <w:t xml:space="preserve">Medium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