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hg8pz1qyae"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kexeyvo6aikl" w:id="1"/>
      <w:bookmarkEnd w:id="1"/>
      <w:r w:rsidDel="00000000" w:rsidR="00000000" w:rsidRPr="00000000">
        <w:rPr>
          <w:rtl w:val="0"/>
        </w:rPr>
        <w:t xml:space="preserve">Vendor Management Policy - </w:t>
      </w:r>
      <w:r w:rsidDel="00000000" w:rsidR="00000000" w:rsidRPr="00000000">
        <w:rPr>
          <w:rtl w:val="0"/>
        </w:rPr>
        <w:t xml:space="preserve">Control Implementation Checklist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ensure that all security policies requirements are consistently implemented, monitored, and maintained, the following checklist has been developed. It translates specific policy controls into actionable tasks, assigns clear ownership, and establishes tracking mechanisms to support ongoing compliance and operational effectiveness.</w:t>
      </w:r>
    </w:p>
    <w:p w:rsidR="00000000" w:rsidDel="00000000" w:rsidP="00000000" w:rsidRDefault="00000000" w:rsidRPr="00000000" w14:paraId="00000005">
      <w:pPr>
        <w:rPr/>
      </w:pPr>
      <w:r w:rsidDel="00000000" w:rsidR="00000000" w:rsidRPr="00000000">
        <w:rPr>
          <w:rtl w:val="0"/>
        </w:rPr>
      </w:r>
    </w:p>
    <w:tbl>
      <w:tblPr>
        <w:tblStyle w:val="Table1"/>
        <w:tblW w:w="13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880"/>
        <w:gridCol w:w="1350"/>
        <w:gridCol w:w="2700"/>
        <w:gridCol w:w="1155"/>
        <w:gridCol w:w="3015"/>
        <w:tblGridChange w:id="0">
          <w:tblGrid>
            <w:gridCol w:w="2025"/>
            <w:gridCol w:w="2880"/>
            <w:gridCol w:w="1350"/>
            <w:gridCol w:w="2700"/>
            <w:gridCol w:w="1155"/>
            <w:gridCol w:w="301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Policy Reference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Evidence Required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Vendor Management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Conduct information security due diligence on all new vendors prior to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Assessment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Conduct Environmental, Social, and Governance (ESG) due diligence on all new vendors prior to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Assessment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Document the vendor assessments, including identified risks and 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Assessment report, risk register, risk meeting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Reassess risks and update contracts and vendor inventories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Annually/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Updated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Send security questionnaires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Prior to engagement/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Filled questionnaires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relevant security and privacy requirements in the contract. e.g: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security and compliance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-Regular security reviews and independent validations.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-Incident management, data breach notification, data return, or destruction upon contract termination.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-Training requirements and intellectual property protection.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-Geographic limitations -Notification of subcontractor/subprocessor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Prior to engagement/ during renewal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Contracts/agreements containing security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screening and background checks for vendor personnel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Maintain a vendor registry complete with risk level,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types of data shared, service description and primary contacts.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 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Vendor register with the required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Review critical vendors’ compliance reports (e.g., SOC 2, ISO 27001) and document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Documented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Audit vendors periodically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Audit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Monitor vendor activities, including access logs and service-level agreements (SLAs).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 use monitoring tools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 and track all vendor-related incidents, resolutions, and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 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Information included in the vendor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Manage changes through Change Management in vendor services e.g. system upgrades, new technologies, or physical relocations.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On 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 Management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Logging and Monitoring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sectPr>
      <w:footerReference r:id="rId6" w:type="default"/>
      <w:pgSz w:h="11909" w:w="16834" w:orient="landscape"/>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t xml:space="preserve">Classification: Internal Use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