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FD5F" w14:textId="77777777" w:rsidR="00976F60" w:rsidRPr="00A66D0C" w:rsidRDefault="00976F60" w:rsidP="0067560E">
      <w:pPr>
        <w:pStyle w:val="berschrift1"/>
        <w:rPr>
          <w:lang w:val="en-US"/>
        </w:rPr>
      </w:pPr>
      <w:proofErr w:type="spellStart"/>
      <w:r w:rsidRPr="00A66D0C">
        <w:rPr>
          <w:lang w:val="en-US"/>
        </w:rPr>
        <w:t>Quellenverzeichnis</w:t>
      </w:r>
      <w:proofErr w:type="spellEnd"/>
    </w:p>
    <w:p w14:paraId="4F9B2C75" w14:textId="77777777" w:rsidR="00976F60" w:rsidRPr="00976F60" w:rsidRDefault="00976F60" w:rsidP="00976F60">
      <w:pPr>
        <w:rPr>
          <w:rStyle w:val="eop"/>
          <w:rFonts w:ascii="Cambria" w:hAnsi="Cambria" w:cs="Arial"/>
          <w:lang w:val="en-US"/>
        </w:rPr>
      </w:pPr>
      <w:r w:rsidRPr="00976F60">
        <w:rPr>
          <w:rFonts w:ascii="Cambria" w:hAnsi="Cambria"/>
          <w:lang w:val="en-US"/>
        </w:rPr>
        <w:t xml:space="preserve">[1] </w:t>
      </w:r>
      <w:r w:rsidRPr="00976F60">
        <w:rPr>
          <w:rStyle w:val="normaltextrun"/>
          <w:rFonts w:ascii="Cambria" w:hAnsi="Cambria" w:cs="Arial"/>
          <w:lang w:val="en-US"/>
        </w:rPr>
        <w:t>Bormuth, J. (1969). On a theory of achievement test items. Chicago, IL: University of Chicago Press.</w:t>
      </w:r>
    </w:p>
    <w:p w14:paraId="0F056397" w14:textId="77777777" w:rsidR="00976F60" w:rsidRPr="0067560E" w:rsidRDefault="00976F60" w:rsidP="00976F60">
      <w:pPr>
        <w:rPr>
          <w:rStyle w:val="normaltextrun"/>
          <w:rFonts w:ascii="Cambria" w:hAnsi="Cambria" w:cs="Arial"/>
          <w:lang w:val="en-US"/>
        </w:rPr>
      </w:pPr>
      <w:r w:rsidRPr="00A66D0C">
        <w:rPr>
          <w:rStyle w:val="normaltextrun"/>
          <w:lang w:val="en-US"/>
        </w:rPr>
        <w:t xml:space="preserve">[2] </w:t>
      </w:r>
      <w:r w:rsidRPr="0067560E">
        <w:rPr>
          <w:rStyle w:val="normaltextrun"/>
          <w:rFonts w:ascii="Cambria" w:hAnsi="Cambria" w:cs="Arial"/>
          <w:lang w:val="en-US"/>
        </w:rPr>
        <w:t xml:space="preserve">Gierl, M.J., Lai, H., &amp; </w:t>
      </w:r>
      <w:proofErr w:type="spellStart"/>
      <w:r w:rsidRPr="0067560E">
        <w:rPr>
          <w:rStyle w:val="normaltextrun"/>
          <w:rFonts w:ascii="Cambria" w:hAnsi="Cambria" w:cs="Arial"/>
          <w:lang w:val="en-US"/>
        </w:rPr>
        <w:t>Tanygin</w:t>
      </w:r>
      <w:proofErr w:type="spellEnd"/>
      <w:r w:rsidRPr="0067560E">
        <w:rPr>
          <w:rStyle w:val="normaltextrun"/>
          <w:rFonts w:ascii="Cambria" w:hAnsi="Cambria" w:cs="Arial"/>
          <w:lang w:val="en-US"/>
        </w:rPr>
        <w:t>, V. (2021). Advanced Methods in Automatic Item Generation (1st ed.). Routledge. https://doi.org/10.4324/9781003025634.</w:t>
      </w:r>
    </w:p>
    <w:p w14:paraId="5CCA5E96" w14:textId="77777777" w:rsidR="00976F60" w:rsidRPr="00A66D0C" w:rsidRDefault="00976F60">
      <w:pPr>
        <w:rPr>
          <w:rStyle w:val="normaltextrun"/>
          <w:rFonts w:ascii="Cambria" w:hAnsi="Cambria" w:cs="Arial"/>
        </w:rPr>
      </w:pPr>
      <w:r w:rsidRPr="00A66D0C">
        <w:rPr>
          <w:rStyle w:val="normaltextrun"/>
          <w:rFonts w:ascii="Cambria" w:hAnsi="Cambria" w:cs="Arial"/>
        </w:rPr>
        <w:t xml:space="preserve">[3] Erpenbeck, J., &amp; Sauter, W. (2019). Informations-, Wissens-, Kompetenz- und Wertegesellschaft. In Stoppt die </w:t>
      </w:r>
      <w:proofErr w:type="gramStart"/>
      <w:r w:rsidRPr="00A66D0C">
        <w:rPr>
          <w:rStyle w:val="normaltextrun"/>
          <w:rFonts w:ascii="Cambria" w:hAnsi="Cambria" w:cs="Arial"/>
        </w:rPr>
        <w:t>Kompetenzkatastrophe!:</w:t>
      </w:r>
      <w:proofErr w:type="gramEnd"/>
      <w:r w:rsidRPr="00A66D0C">
        <w:rPr>
          <w:rStyle w:val="normaltextrun"/>
          <w:rFonts w:ascii="Cambria" w:hAnsi="Cambria" w:cs="Arial"/>
        </w:rPr>
        <w:t xml:space="preserve"> Wege in eine neue Bildungswelt (pp. 279–300). doi:10.1007/978-3-662-59677-7_11</w:t>
      </w:r>
    </w:p>
    <w:p w14:paraId="5A9B8C50" w14:textId="77777777" w:rsidR="00976F60" w:rsidRPr="0067560E" w:rsidRDefault="00976F60" w:rsidP="00976F60">
      <w:pPr>
        <w:rPr>
          <w:rStyle w:val="normaltextrun"/>
          <w:rFonts w:ascii="Cambria" w:hAnsi="Cambria" w:cs="Arial"/>
          <w:lang w:val="en-US"/>
        </w:rPr>
      </w:pPr>
      <w:r w:rsidRPr="0067560E">
        <w:rPr>
          <w:rStyle w:val="normaltextrun"/>
          <w:rFonts w:ascii="Cambria" w:hAnsi="Cambria" w:cs="Arial"/>
          <w:lang w:val="en-US"/>
        </w:rPr>
        <w:t xml:space="preserve">[4] Embretson, S.E. and Kingston, N.M. (2018), Automatic Item Generation: A More Efficient Process for Developing Mathematics Achievement </w:t>
      </w:r>
      <w:proofErr w:type="gramStart"/>
      <w:r w:rsidRPr="0067560E">
        <w:rPr>
          <w:rStyle w:val="normaltextrun"/>
          <w:rFonts w:ascii="Cambria" w:hAnsi="Cambria" w:cs="Arial"/>
          <w:lang w:val="en-US"/>
        </w:rPr>
        <w:t>Items?.</w:t>
      </w:r>
      <w:proofErr w:type="gramEnd"/>
      <w:r w:rsidRPr="0067560E">
        <w:rPr>
          <w:rStyle w:val="normaltextrun"/>
          <w:rFonts w:ascii="Cambria" w:hAnsi="Cambria" w:cs="Arial"/>
          <w:lang w:val="en-US"/>
        </w:rPr>
        <w:t xml:space="preserve"> Journal of Educational Measurement, 55: 112-131. </w:t>
      </w:r>
      <w:hyperlink r:id="rId5" w:history="1">
        <w:r w:rsidRPr="0067560E">
          <w:rPr>
            <w:rStyle w:val="normaltextrun"/>
            <w:rFonts w:ascii="Cambria" w:hAnsi="Cambria" w:cs="Arial"/>
            <w:lang w:val="en-US"/>
          </w:rPr>
          <w:t>https://doi.org/10.1111/jedm.12166</w:t>
        </w:r>
      </w:hyperlink>
      <w:r w:rsidRPr="0067560E">
        <w:rPr>
          <w:rStyle w:val="normaltextrun"/>
          <w:rFonts w:ascii="Cambria" w:hAnsi="Cambria" w:cs="Arial"/>
          <w:lang w:val="en-US"/>
        </w:rPr>
        <w:t xml:space="preserve"> </w:t>
      </w:r>
    </w:p>
    <w:p w14:paraId="1C62C184" w14:textId="77777777" w:rsidR="00976F60" w:rsidRPr="0067560E" w:rsidRDefault="00976F60" w:rsidP="00976F60">
      <w:pPr>
        <w:rPr>
          <w:rStyle w:val="normaltextrun"/>
          <w:rFonts w:ascii="Cambria" w:hAnsi="Cambria" w:cs="Arial"/>
          <w:lang w:val="en-US"/>
        </w:rPr>
      </w:pPr>
      <w:r w:rsidRPr="0067560E">
        <w:rPr>
          <w:rStyle w:val="normaltextrun"/>
          <w:rFonts w:ascii="Cambria" w:hAnsi="Cambria" w:cs="Arial"/>
          <w:lang w:val="en-US"/>
        </w:rPr>
        <w:t xml:space="preserve">[5] </w:t>
      </w:r>
      <w:r w:rsidRPr="0067560E">
        <w:rPr>
          <w:rStyle w:val="normaltextrun"/>
          <w:rFonts w:ascii="Cambria" w:hAnsi="Cambria"/>
          <w:lang w:val="en-US"/>
        </w:rPr>
        <w:t xml:space="preserve">Luecht, R., &amp; Burke, M. (2020). Reconceptualizing items: From clones and automatic item generation to task model families. In H. Jiao &amp; R. W. </w:t>
      </w:r>
      <w:proofErr w:type="spellStart"/>
      <w:r w:rsidRPr="0067560E">
        <w:rPr>
          <w:rStyle w:val="normaltextrun"/>
          <w:rFonts w:ascii="Cambria" w:hAnsi="Cambria"/>
          <w:lang w:val="en-US"/>
        </w:rPr>
        <w:t>Lissitz</w:t>
      </w:r>
      <w:proofErr w:type="spellEnd"/>
      <w:r w:rsidRPr="0067560E">
        <w:rPr>
          <w:rStyle w:val="normaltextrun"/>
          <w:rFonts w:ascii="Cambria" w:hAnsi="Cambria"/>
          <w:lang w:val="en-US"/>
        </w:rPr>
        <w:t xml:space="preserve"> (Eds.), </w:t>
      </w:r>
      <w:r w:rsidRPr="0067560E">
        <w:rPr>
          <w:rStyle w:val="normaltextrun"/>
          <w:rFonts w:ascii="Cambria" w:hAnsi="Cambria"/>
          <w:i/>
          <w:iCs/>
          <w:lang w:val="en-US"/>
        </w:rPr>
        <w:t>Application of artificial intelligence to assessment</w:t>
      </w:r>
      <w:r w:rsidRPr="0067560E">
        <w:rPr>
          <w:rStyle w:val="normaltextrun"/>
          <w:rFonts w:ascii="Cambria" w:hAnsi="Cambria"/>
          <w:lang w:val="en-US"/>
        </w:rPr>
        <w:t xml:space="preserve"> (pp. 25–49). Information Age Publishing, </w:t>
      </w:r>
      <w:proofErr w:type="gramStart"/>
      <w:r w:rsidRPr="0067560E">
        <w:rPr>
          <w:rStyle w:val="normaltextrun"/>
          <w:rFonts w:ascii="Cambria" w:hAnsi="Cambria"/>
          <w:lang w:val="en-US"/>
        </w:rPr>
        <w:t>Inc..</w:t>
      </w:r>
      <w:proofErr w:type="gramEnd"/>
      <w:r w:rsidRPr="0067560E">
        <w:rPr>
          <w:rStyle w:val="normaltextrun"/>
          <w:rFonts w:ascii="Cambria" w:hAnsi="Cambria"/>
          <w:lang w:val="en-US"/>
        </w:rPr>
        <w:t> </w:t>
      </w:r>
    </w:p>
    <w:p w14:paraId="13A6A060" w14:textId="77777777" w:rsidR="00976F60" w:rsidRPr="0067560E" w:rsidRDefault="00976F60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[6] Pugh D, De Champlain A, Gierl M, Lai H, Touchie C. Using cognitive models to develop quality multiple-choice questions. Med Teach. 2016 Aug;38(8):838-43. </w:t>
      </w:r>
      <w:proofErr w:type="spellStart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doi</w:t>
      </w:r>
      <w:proofErr w:type="spellEnd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: 10.3109/0142159X.2016.1150989. </w:t>
      </w:r>
      <w:proofErr w:type="spellStart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Epub</w:t>
      </w:r>
      <w:proofErr w:type="spellEnd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 2016 Mar 21. PMID: 26998566.</w:t>
      </w:r>
    </w:p>
    <w:p w14:paraId="7A6337EC" w14:textId="77777777" w:rsidR="00976F60" w:rsidRPr="0067560E" w:rsidRDefault="00976F60" w:rsidP="0067560E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Cambria" w:hAnsi="Cambria" w:cs="Arial"/>
          <w:lang w:val="en-US"/>
        </w:rPr>
      </w:pPr>
      <w:r w:rsidRPr="0067560E">
        <w:rPr>
          <w:rStyle w:val="normaltextrun"/>
          <w:rFonts w:ascii="Cambria" w:hAnsi="Cambria" w:cs="Arial"/>
          <w:lang w:val="en-US"/>
        </w:rPr>
        <w:t>[7] Michael Flor and Brian Riordan. 2018. </w:t>
      </w:r>
      <w:hyperlink r:id="rId6" w:history="1">
        <w:r w:rsidRPr="0067560E">
          <w:rPr>
            <w:rStyle w:val="normaltextrun"/>
            <w:rFonts w:ascii="Cambria" w:hAnsi="Cambria" w:cs="Arial"/>
            <w:lang w:val="en-US"/>
          </w:rPr>
          <w:t>A Semantic Role-based Approach to Open-Domain Automatic Question Generation</w:t>
        </w:r>
      </w:hyperlink>
      <w:r w:rsidRPr="0067560E">
        <w:rPr>
          <w:rStyle w:val="normaltextrun"/>
          <w:rFonts w:ascii="Cambria" w:hAnsi="Cambria" w:cs="Arial"/>
          <w:lang w:val="en-US"/>
        </w:rPr>
        <w:t>. In Proceedings of the Thirteenth Workshop on Innovative Use of NLP for Building Educational Applications, pages 254–263, New Orleans, Louisiana. Association for Computational Linguistics.</w:t>
      </w:r>
    </w:p>
    <w:p w14:paraId="4B6549A7" w14:textId="77777777" w:rsidR="00976F60" w:rsidRPr="0067560E" w:rsidRDefault="00976F60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[8] Leo, J., Kurdi, G., </w:t>
      </w:r>
      <w:proofErr w:type="spellStart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Matentzoglu</w:t>
      </w:r>
      <w:proofErr w:type="spellEnd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, N., </w:t>
      </w:r>
      <w:proofErr w:type="spellStart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Parsia</w:t>
      </w:r>
      <w:proofErr w:type="spellEnd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, B., Sattler, U., Forge, S., … Dowling, W. (2019). Ontology-Based Generation of Medical, Multi-term MCQs. International Journal of Artificial Intelligence in Education, 29(2), 145–188. doi:10.1007/s40593-018-00172-w </w:t>
      </w:r>
    </w:p>
    <w:p w14:paraId="07C75B52" w14:textId="77777777" w:rsidR="0067560E" w:rsidRDefault="0067560E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06070F7E" w14:textId="77777777" w:rsidR="00976F60" w:rsidRPr="0067560E" w:rsidRDefault="00976F60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[9] </w:t>
      </w:r>
      <w:proofErr w:type="spellStart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Circi</w:t>
      </w:r>
      <w:proofErr w:type="spellEnd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, R., Hicks, J., &amp; </w:t>
      </w:r>
      <w:proofErr w:type="spellStart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Sikali</w:t>
      </w:r>
      <w:proofErr w:type="spellEnd"/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, E. (2023). Automatic item generation: foundations and machine learning-based approaches for assessments. Frontiers in Education, 8. doi:10.3389/feduc.2023.858273</w:t>
      </w:r>
    </w:p>
    <w:p w14:paraId="57E9F8D0" w14:textId="77777777" w:rsidR="0067560E" w:rsidRDefault="00976F60" w:rsidP="0067560E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Cambria" w:hAnsi="Cambria" w:cs="Arial"/>
          <w:lang w:val="en-US"/>
        </w:rPr>
      </w:pPr>
      <w:r w:rsidRPr="0067560E">
        <w:rPr>
          <w:rStyle w:val="normaltextrun"/>
          <w:rFonts w:ascii="Cambria" w:hAnsi="Cambria" w:cs="Arial"/>
          <w:lang w:val="en-US"/>
        </w:rPr>
        <w:t>[10] Antonio Laverghetta Jr. and John Licato. 2023. </w:t>
      </w:r>
      <w:hyperlink r:id="rId7" w:history="1">
        <w:r w:rsidRPr="0067560E">
          <w:rPr>
            <w:rStyle w:val="normaltextrun"/>
            <w:rFonts w:ascii="Cambria" w:hAnsi="Cambria" w:cs="Arial"/>
            <w:lang w:val="en-US"/>
          </w:rPr>
          <w:t>Generating Better Items for Cognitive Assessments Using Large Language Models</w:t>
        </w:r>
      </w:hyperlink>
      <w:r w:rsidRPr="0067560E">
        <w:rPr>
          <w:rStyle w:val="normaltextrun"/>
          <w:rFonts w:ascii="Cambria" w:hAnsi="Cambria" w:cs="Arial"/>
          <w:lang w:val="en-US"/>
        </w:rPr>
        <w:t>. In Proceedings of the 18th Workshop on Innovative Use of NLP for Building Educational Applications (BEA 2023), pages 414–428, Toronto, Canada. Association for Computational Linguistics.</w:t>
      </w:r>
    </w:p>
    <w:p w14:paraId="45FB2B90" w14:textId="77777777" w:rsidR="00976F60" w:rsidRPr="0067560E" w:rsidRDefault="00976F60" w:rsidP="0067560E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Cambria" w:hAnsi="Cambria" w:cs="Arial"/>
          <w:lang w:val="en-US"/>
        </w:rPr>
      </w:pPr>
      <w:r w:rsidRPr="0067560E">
        <w:rPr>
          <w:rStyle w:val="normaltextrun"/>
          <w:rFonts w:ascii="Cambria" w:hAnsi="Cambria" w:cs="Arial"/>
          <w:lang w:val="en-US"/>
        </w:rPr>
        <w:t xml:space="preserve">[11] </w:t>
      </w:r>
      <w:r w:rsidR="0067560E" w:rsidRPr="0067560E">
        <w:rPr>
          <w:rStyle w:val="normaltextrun"/>
          <w:rFonts w:ascii="Cambria" w:hAnsi="Cambria" w:cs="Arial"/>
          <w:lang w:val="en-US"/>
        </w:rPr>
        <w:t xml:space="preserve">Falcão, F., Costa, P., &amp; </w:t>
      </w:r>
      <w:proofErr w:type="spellStart"/>
      <w:r w:rsidR="0067560E" w:rsidRPr="0067560E">
        <w:rPr>
          <w:rStyle w:val="normaltextrun"/>
          <w:rFonts w:ascii="Cambria" w:hAnsi="Cambria" w:cs="Arial"/>
          <w:lang w:val="en-US"/>
        </w:rPr>
        <w:t>Pêgo</w:t>
      </w:r>
      <w:proofErr w:type="spellEnd"/>
      <w:r w:rsidR="0067560E" w:rsidRPr="0067560E">
        <w:rPr>
          <w:rStyle w:val="normaltextrun"/>
          <w:rFonts w:ascii="Cambria" w:hAnsi="Cambria" w:cs="Arial"/>
          <w:lang w:val="en-US"/>
        </w:rPr>
        <w:t>, J. M. (2022). Feasibility assurance: a review of automatic item generation in medical assessment. Advances in Health Sciences Education, 27(2), 405–425. doi:10.1007/s10459-022-10092-z</w:t>
      </w:r>
    </w:p>
    <w:p w14:paraId="4FC311A6" w14:textId="77777777" w:rsidR="0067560E" w:rsidRPr="00A66D0C" w:rsidRDefault="00976F60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[12] </w:t>
      </w:r>
      <w:r w:rsidR="0067560E"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Schalek, Y. (2007). </w:t>
      </w:r>
      <w:r w:rsidR="0067560E" w:rsidRPr="00A66D0C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Die Integration handlungsorientierter Gestaltungsmerkmale in Schulbüchern. Inhaltsanalytischer Vergleich eines schwedischen und eines bayerischen Schulbuchs (p. 460 S.).</w:t>
      </w:r>
    </w:p>
    <w:p w14:paraId="0988DB15" w14:textId="77777777" w:rsidR="0067560E" w:rsidRPr="00A66D0C" w:rsidRDefault="0067560E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</w:pPr>
    </w:p>
    <w:p w14:paraId="62497CEF" w14:textId="77777777" w:rsidR="00976F60" w:rsidRPr="0067560E" w:rsidRDefault="00976F60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[13] </w:t>
      </w:r>
      <w:r w:rsidR="0067560E"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Nuttall, D. L. (1987). The Validity of Assessments. European Journal of Psychology of Education, 2(2), 109–118. http://www.jstor.org/stable/23423433</w:t>
      </w:r>
    </w:p>
    <w:p w14:paraId="384AC187" w14:textId="77777777" w:rsidR="0067560E" w:rsidRDefault="0067560E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26EF36AE" w14:textId="77777777" w:rsidR="00976F60" w:rsidRDefault="00976F60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lastRenderedPageBreak/>
        <w:t xml:space="preserve">[14] </w:t>
      </w:r>
      <w:proofErr w:type="spellStart"/>
      <w:r w:rsidR="0067560E"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Gogus</w:t>
      </w:r>
      <w:proofErr w:type="spellEnd"/>
      <w:r w:rsidR="0067560E"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, A. (2012). Bloom’s Taxonomy of Learning Objectives. In N. M. Seel (Ed.), Encyclopedia of the Sciences of Learning (pp. 469–473). doi:10.1007/978-1-4419-1428-6_141</w:t>
      </w:r>
    </w:p>
    <w:p w14:paraId="4211747F" w14:textId="77777777" w:rsidR="0067560E" w:rsidRPr="0067560E" w:rsidRDefault="0067560E" w:rsidP="00976F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32AF0A53" w14:textId="77777777" w:rsidR="00976F60" w:rsidRDefault="00976F60" w:rsidP="006756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67560E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>[15] Rozenberg, Grzegorz. (1997). Handbook of Graph Grammars and Computing by Graph Transformation. </w:t>
      </w:r>
    </w:p>
    <w:p w14:paraId="3E2D917F" w14:textId="77777777" w:rsidR="00A66D0C" w:rsidRDefault="00A66D0C" w:rsidP="006756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4953FBBD" w14:textId="77777777" w:rsidR="0047774A" w:rsidRPr="0047774A" w:rsidRDefault="00A66D0C" w:rsidP="004777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 w:rsidRPr="00A66D0C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[16]</w:t>
      </w:r>
      <w:r>
        <w:t xml:space="preserve"> </w:t>
      </w:r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Konen, W. (2020). Die CO2-Kosten des Video-Streaming. Die Neue Hochschule (</w:t>
      </w:r>
      <w:proofErr w:type="spellStart"/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Dnh</w:t>
      </w:r>
      <w:proofErr w:type="spellEnd"/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 xml:space="preserve">), 3, 18–19. </w:t>
      </w:r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Retrieved from https://www.th-koeln.de/mam/downloads/deutsch/hochschule/aktuell/nachrichten/dnh_2020-3_vorveroffentlichung_beitrag_konen.pdf </w:t>
      </w:r>
    </w:p>
    <w:p w14:paraId="70A4EF19" w14:textId="77777777" w:rsidR="0047774A" w:rsidRDefault="0047774A" w:rsidP="004777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47F5D7A3" w14:textId="1BCC9DF0" w:rsidR="0047774A" w:rsidRPr="0047774A" w:rsidRDefault="0047774A" w:rsidP="004777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</w:pPr>
      <w:r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 xml:space="preserve">[17] </w:t>
      </w:r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 xml:space="preserve">Buder, T. (2022, March 22). DZSF - Forschungsberichte - Pilotstudie für </w:t>
      </w:r>
      <w:r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e</w:t>
      </w:r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 xml:space="preserve">in </w:t>
      </w:r>
      <w:r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KI</w:t>
      </w:r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 xml:space="preserve">-gestütztes ... - </w:t>
      </w:r>
      <w:proofErr w:type="spellStart"/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>bund</w:t>
      </w:r>
      <w:proofErr w:type="spellEnd"/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eastAsia="en-US"/>
          <w14:ligatures w14:val="standardContextual"/>
        </w:rPr>
        <w:t xml:space="preserve">. Pilotstudie für ein KI-gestütztes </w:t>
      </w:r>
      <w:r w:rsidRPr="0047774A">
        <w:rPr>
          <w:rStyle w:val="normaltextrun"/>
          <w:rFonts w:ascii="Cambria" w:eastAsiaTheme="minorHAnsi" w:hAnsi="Cambria" w:cs="Arial"/>
          <w:kern w:val="2"/>
          <w:sz w:val="22"/>
          <w:szCs w:val="22"/>
          <w:lang w:val="en-US" w:eastAsia="en-US"/>
          <w14:ligatures w14:val="standardContextual"/>
        </w:rPr>
        <w:t xml:space="preserve">Einwendungsmanagement. </w:t>
      </w:r>
      <w:hyperlink r:id="rId8" w:tooltip="Externer Link doi: 10.48755/dzsf.220006.01" w:history="1">
        <w:proofErr w:type="spellStart"/>
        <w:r w:rsidRPr="0047774A">
          <w:rPr>
            <w:rStyle w:val="normaltextrun"/>
            <w:rFonts w:ascii="Cambria" w:eastAsiaTheme="minorHAnsi" w:hAnsi="Cambria"/>
            <w:kern w:val="2"/>
            <w:sz w:val="22"/>
            <w:szCs w:val="22"/>
            <w:lang w:val="en-US" w:eastAsia="en-US"/>
            <w14:ligatures w14:val="standardContextual"/>
          </w:rPr>
          <w:t>doi</w:t>
        </w:r>
        <w:proofErr w:type="spellEnd"/>
        <w:r w:rsidRPr="0047774A">
          <w:rPr>
            <w:rStyle w:val="normaltextrun"/>
            <w:rFonts w:ascii="Cambria" w:eastAsiaTheme="minorHAnsi" w:hAnsi="Cambria"/>
            <w:kern w:val="2"/>
            <w:sz w:val="22"/>
            <w:szCs w:val="22"/>
            <w:lang w:val="en-US" w:eastAsia="en-US"/>
            <w14:ligatures w14:val="standardContextual"/>
          </w:rPr>
          <w:t>: 10.48755/dzsf.210006.01</w:t>
        </w:r>
      </w:hyperlink>
    </w:p>
    <w:sectPr w:rsidR="0047774A" w:rsidRPr="00477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6412"/>
    <w:multiLevelType w:val="multilevel"/>
    <w:tmpl w:val="87C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A259C"/>
    <w:multiLevelType w:val="multilevel"/>
    <w:tmpl w:val="234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64A1A"/>
    <w:multiLevelType w:val="multilevel"/>
    <w:tmpl w:val="10E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07457">
    <w:abstractNumId w:val="1"/>
  </w:num>
  <w:num w:numId="2" w16cid:durableId="403337235">
    <w:abstractNumId w:val="0"/>
  </w:num>
  <w:num w:numId="3" w16cid:durableId="132921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0"/>
    <w:rsid w:val="00410BF1"/>
    <w:rsid w:val="0047774A"/>
    <w:rsid w:val="0067560E"/>
    <w:rsid w:val="00976F60"/>
    <w:rsid w:val="00A66D0C"/>
    <w:rsid w:val="00E2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CDD3"/>
  <w15:chartTrackingRefBased/>
  <w15:docId w15:val="{9333A860-766F-424A-9F4F-7B31499C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Standard"/>
    <w:rsid w:val="0097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976F60"/>
  </w:style>
  <w:style w:type="character" w:customStyle="1" w:styleId="eop">
    <w:name w:val="eop"/>
    <w:basedOn w:val="Absatz-Standardschriftart"/>
    <w:rsid w:val="00976F60"/>
  </w:style>
  <w:style w:type="character" w:styleId="Hyperlink">
    <w:name w:val="Hyperlink"/>
    <w:basedOn w:val="Absatz-Standardschriftart"/>
    <w:uiPriority w:val="99"/>
    <w:unhideWhenUsed/>
    <w:rsid w:val="00976F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6F60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976F60"/>
    <w:rPr>
      <w:i/>
      <w:iCs/>
    </w:rPr>
  </w:style>
  <w:style w:type="paragraph" w:styleId="StandardWeb">
    <w:name w:val="Normal (Web)"/>
    <w:basedOn w:val="Standard"/>
    <w:uiPriority w:val="99"/>
    <w:unhideWhenUsed/>
    <w:rsid w:val="0047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755/dzsf.220006.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anthology.org/2023.bea-1.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W18-0530" TargetMode="External"/><Relationship Id="rId5" Type="http://schemas.openxmlformats.org/officeDocument/2006/relationships/hyperlink" Target="https://doi.org/10.1111/jedm.121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3</cp:revision>
  <dcterms:created xsi:type="dcterms:W3CDTF">2023-10-02T07:08:00Z</dcterms:created>
  <dcterms:modified xsi:type="dcterms:W3CDTF">2023-10-10T09:31:00Z</dcterms:modified>
</cp:coreProperties>
</file>