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7700158"/>
    <w:bookmarkStart w:id="1" w:name="_Toc167700215"/>
    <w:p>
      <w:pPr>
        <w:pStyle w:val="-WeLBeitragstitel-"/>
        <w:spacing w:line="360" w:lineRule="auto"/>
        <w:rPr>
          <w:color w:val="646463"/>
        </w:rPr>
      </w:pPr>
      <w:r>
        <w:rPr>
          <w:noProof/>
          <w:color w:val="646463"/>
        </w:rPr>
        <mc:AlternateContent>
          <mc:Choice Requires="wps">
            <w:drawing>
              <wp:anchor distT="0" distB="0" distL="114300" distR="114300" simplePos="0" relativeHeight="251657216" behindDoc="0" locked="0" layoutInCell="1" allowOverlap="1">
                <wp:simplePos x="0" y="0"/>
                <wp:positionH relativeFrom="column">
                  <wp:posOffset>-1439545</wp:posOffset>
                </wp:positionH>
                <wp:positionV relativeFrom="paragraph">
                  <wp:posOffset>41910</wp:posOffset>
                </wp:positionV>
                <wp:extent cx="1115695" cy="107950"/>
                <wp:effectExtent l="635"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3.35pt;margin-top:3.3pt;width:87.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" fillcolor="#646463" stroked="f"/>
            </w:pict>
          </mc:Fallback>
        </mc:AlternateContent>
      </w:r>
      <w:bookmarkEnd w:id="0"/>
      <w:bookmarkEnd w:id="1"/>
      <w:r>
        <w:rPr>
          <w:noProof/>
          <w:color w:val="646463"/>
        </w:rPr>
        <w:t>ALADIN II – Generator für Aufgaben und Lösung(shilf)en aus der Informatik und angrenzenden Disziplinen II</w:t>
      </w:r>
    </w:p>
    <w:tbl>
      <w:tblPr>
        <w:tblW w:w="0" w:type="auto"/>
        <w:tblLook w:val="01E0" w:firstRow="1" w:lastRow="1" w:firstColumn="1" w:lastColumn="1" w:noHBand="0" w:noVBand="0"/>
      </w:tblPr>
      <w:tblGrid>
        <w:gridCol w:w="3313"/>
        <w:gridCol w:w="3314"/>
      </w:tblGrid>
      <w:tr>
        <w:tc>
          <w:tcPr>
            <w:tcW w:w="3313" w:type="dxa"/>
          </w:tcPr>
          <w:p>
            <w:pPr>
              <w:pStyle w:val="-WeLBeitragsautoren-"/>
              <w:spacing w:line="360" w:lineRule="auto"/>
              <w:ind w:left="0"/>
            </w:pPr>
            <w:r>
              <w:t>Torsten Munkelt</w:t>
            </w:r>
          </w:p>
          <w:p>
            <w:pPr>
              <w:pStyle w:val="-WeLBeitragsautorenAdresse-"/>
              <w:spacing w:before="0"/>
              <w:ind w:left="0"/>
            </w:pPr>
            <w:r>
              <w:t>HTW Dresden</w:t>
            </w:r>
            <w:r>
              <w:br/>
              <w:t>torsten.munkelt@htw-dresden.de</w:t>
            </w:r>
          </w:p>
        </w:tc>
        <w:tc>
          <w:tcPr>
            <w:tcW w:w="3314" w:type="dxa"/>
          </w:tcPr>
          <w:p>
            <w:pPr>
              <w:pStyle w:val="-WeLBeitragsautoren-"/>
              <w:spacing w:line="360" w:lineRule="auto"/>
              <w:ind w:left="0"/>
              <w:rPr>
                <w:lang w:val="en-US"/>
              </w:rPr>
            </w:pPr>
            <w:r>
              <w:rPr>
                <w:lang w:val="en-US"/>
              </w:rPr>
              <w:t>Paul Christ</w:t>
            </w:r>
          </w:p>
          <w:p>
            <w:pPr>
              <w:pStyle w:val="-WeLBeitragsautorenAdresse-"/>
              <w:spacing w:before="0"/>
              <w:ind w:left="0"/>
              <w:rPr>
                <w:lang w:val="en-US"/>
              </w:rPr>
            </w:pPr>
            <w:r>
              <w:rPr>
                <w:lang w:val="en-US"/>
              </w:rPr>
              <w:t>HTW Dresden</w:t>
            </w:r>
            <w:r>
              <w:rPr>
                <w:lang w:val="en-US"/>
              </w:rPr>
              <w:br/>
              <w:t>paul.christ@htw-dresden.de</w:t>
            </w:r>
          </w:p>
        </w:tc>
      </w:tr>
    </w:tbl>
    <w:p>
      <w:pPr>
        <w:pStyle w:val="-WeLZusammenfassung-"/>
      </w:pPr>
      <w:r>
        <w:t>Zusammenfassung</w:t>
      </w:r>
    </w:p>
    <w:p>
      <w:pPr>
        <w:rPr>
          <w:rFonts w:ascii="Arial Narrow" w:hAnsi="Arial Narrow" w:cs="Times New Roman"/>
          <w:lang w:eastAsia="de-DE"/>
        </w:rPr>
      </w:pPr>
      <w:bookmarkStart w:id="2" w:name="_Hlk107646969"/>
      <w:r>
        <w:rPr>
          <w:rFonts w:ascii="Arial Narrow" w:hAnsi="Arial Narrow" w:cs="Times New Roman"/>
          <w:lang w:eastAsia="de-DE"/>
        </w:rPr>
        <w:t xml:space="preserve">Der Beitrag stellt das Framework ALADIN (“Generator für </w:t>
      </w:r>
      <w:r>
        <w:rPr>
          <w:rFonts w:ascii="Arial Narrow" w:hAnsi="Arial Narrow" w:cs="Times New Roman"/>
          <w:b/>
          <w:bCs/>
          <w:lang w:eastAsia="de-DE"/>
        </w:rPr>
        <w:t>A</w:t>
      </w:r>
      <w:r>
        <w:rPr>
          <w:rFonts w:ascii="Arial Narrow" w:hAnsi="Arial Narrow" w:cs="Times New Roman"/>
          <w:lang w:eastAsia="de-DE"/>
        </w:rPr>
        <w:t xml:space="preserve">ufgaben und </w:t>
      </w:r>
      <w:r>
        <w:rPr>
          <w:rFonts w:ascii="Arial Narrow" w:hAnsi="Arial Narrow" w:cs="Times New Roman"/>
          <w:b/>
          <w:bCs/>
          <w:lang w:eastAsia="de-DE"/>
        </w:rPr>
        <w:t>L</w:t>
      </w:r>
      <w:r>
        <w:rPr>
          <w:rFonts w:ascii="Arial Narrow" w:hAnsi="Arial Narrow" w:cs="Times New Roman"/>
          <w:lang w:eastAsia="de-DE"/>
        </w:rPr>
        <w:t>ösung(</w:t>
      </w:r>
      <w:proofErr w:type="spellStart"/>
      <w:r>
        <w:rPr>
          <w:rFonts w:ascii="Arial Narrow" w:hAnsi="Arial Narrow" w:cs="Times New Roman"/>
          <w:lang w:eastAsia="de-DE"/>
        </w:rPr>
        <w:t>shilf</w:t>
      </w:r>
      <w:proofErr w:type="spellEnd"/>
      <w:r>
        <w:rPr>
          <w:rFonts w:ascii="Arial Narrow" w:hAnsi="Arial Narrow" w:cs="Times New Roman"/>
          <w:lang w:eastAsia="de-DE"/>
        </w:rPr>
        <w:t xml:space="preserve">)en </w:t>
      </w:r>
      <w:r>
        <w:rPr>
          <w:rFonts w:ascii="Arial Narrow" w:hAnsi="Arial Narrow" w:cs="Times New Roman"/>
          <w:b/>
          <w:bCs/>
          <w:lang w:eastAsia="de-DE"/>
        </w:rPr>
        <w:t>a</w:t>
      </w:r>
      <w:r>
        <w:rPr>
          <w:rFonts w:ascii="Arial Narrow" w:hAnsi="Arial Narrow" w:cs="Times New Roman"/>
          <w:lang w:eastAsia="de-DE"/>
        </w:rPr>
        <w:t xml:space="preserve">us </w:t>
      </w:r>
      <w:r>
        <w:rPr>
          <w:rFonts w:ascii="Arial Narrow" w:hAnsi="Arial Narrow" w:cs="Times New Roman"/>
          <w:b/>
          <w:bCs/>
          <w:lang w:eastAsia="de-DE"/>
        </w:rPr>
        <w:t>d</w:t>
      </w:r>
      <w:r>
        <w:rPr>
          <w:rFonts w:ascii="Arial Narrow" w:hAnsi="Arial Narrow" w:cs="Times New Roman"/>
          <w:lang w:eastAsia="de-DE"/>
        </w:rPr>
        <w:t xml:space="preserve">er </w:t>
      </w:r>
      <w:r>
        <w:rPr>
          <w:rFonts w:ascii="Arial Narrow" w:hAnsi="Arial Narrow" w:cs="Times New Roman"/>
          <w:b/>
          <w:bCs/>
          <w:lang w:eastAsia="de-DE"/>
        </w:rPr>
        <w:t>I</w:t>
      </w:r>
      <w:r>
        <w:rPr>
          <w:rFonts w:ascii="Arial Narrow" w:hAnsi="Arial Narrow" w:cs="Times New Roman"/>
          <w:lang w:eastAsia="de-DE"/>
        </w:rPr>
        <w:t>nformatik und angrenzenden Diszipline</w:t>
      </w:r>
      <w:r>
        <w:rPr>
          <w:rFonts w:ascii="Arial Narrow" w:hAnsi="Arial Narrow" w:cs="Times New Roman"/>
          <w:b/>
          <w:bCs/>
          <w:lang w:eastAsia="de-DE"/>
        </w:rPr>
        <w:t>n</w:t>
      </w:r>
      <w:r>
        <w:rPr>
          <w:rFonts w:ascii="Arial Narrow" w:hAnsi="Arial Narrow" w:cs="Times New Roman"/>
          <w:lang w:eastAsia="de-DE"/>
        </w:rPr>
        <w:t xml:space="preserve">”) und seine Erweiterung, ALADIN II, vor. ALADIN ist ein Web-basiertes Framework, in welchem Lehrende </w:t>
      </w:r>
      <w:proofErr w:type="spellStart"/>
      <w:r>
        <w:rPr>
          <w:rFonts w:ascii="Arial Narrow" w:hAnsi="Arial Narrow" w:cs="Times New Roman"/>
          <w:lang w:eastAsia="de-DE"/>
        </w:rPr>
        <w:t>graphenbasierte</w:t>
      </w:r>
      <w:proofErr w:type="spellEnd"/>
      <w:r>
        <w:rPr>
          <w:rFonts w:ascii="Arial Narrow" w:hAnsi="Arial Narrow" w:cs="Times New Roman"/>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 die sich aus der Entwicklung von ALADIN ergeben und während der Nutzung von ALADIN observiert worden sind, und wie ALADIN II diesen entgegentritt, werden ebenfalls beleuchtet. So führt ALADIN II neue Aufgabentypen ein und ergänzt ALADIN u. a. um eine didaktische Integration in die Lehrveranstaltungen: ALADIN II verzahnt durch die Lehrenden gesteuerte Präsenzlehre und durch die Studierenden gesteuertes E-Learning.</w:t>
      </w:r>
    </w:p>
    <w:p>
      <w:pPr>
        <w:pStyle w:val="-WeLberschrift1-"/>
      </w:pPr>
      <w:bookmarkStart w:id="3" w:name="_Toc167700160"/>
      <w:bookmarkStart w:id="4" w:name="_Toc167700217"/>
      <w:bookmarkStart w:id="5" w:name="_Ref107663183"/>
      <w:bookmarkEnd w:id="2"/>
      <w:r>
        <w:t>Anwendungsbereich von ALADIN (II)</w:t>
      </w:r>
      <w:bookmarkEnd w:id="5"/>
      <w:r>
        <w:t xml:space="preserve"> </w:t>
      </w:r>
      <w:bookmarkStart w:id="6" w:name="_Toc167700164"/>
      <w:bookmarkStart w:id="7" w:name="_Toc167700221"/>
      <w:bookmarkEnd w:id="3"/>
      <w:bookmarkEnd w:id="4"/>
    </w:p>
    <w:p>
      <w:pPr>
        <w:pStyle w:val="-WeLStandardtextEinzug-"/>
      </w:pPr>
      <w:r>
        <w:t xml:space="preserve">ALADIN ist ein System welches Studierenden kompetenzorientiertes E-Learning ermöglicht und </w:t>
      </w:r>
      <w:proofErr w:type="spellStart"/>
      <w:r>
        <w:t>graphenbasierte</w:t>
      </w:r>
      <w:proofErr w:type="spellEnd"/>
      <w:r>
        <w:t xml:space="preserve"> Aufgaben mitsamt Lösungen und Lösungshilfen automatisch, zufallsbasiert und entsprechend der Anforderungen der Studierenden generiert. ALADIN erlaubt es Studierenden, selbständig Aufgaben zeit- und ortsunabhängig zu lösen. ALADIN befähigt Lehrende zur deklarativen Erstellung von Generatoren von interaktiven Aufgaben(-instanzen) eines Aufgabentyps. Den Aufbau und die konkrete Funktionsweise von ALADIN legen bereits </w:t>
      </w:r>
      <w:r>
        <w:fldChar w:fldCharType="begin"/>
      </w:r>
      <w:r>
        <w:instrText xml:space="preserve"> ADDIN ZOTERO_ITEM CSL_CITATION {"citationID":"4wAOvmuc","properties":{"formattedCitation":"(Christ,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dar.</w:t>
      </w:r>
    </w:p>
    <w:p>
      <w:pPr>
        <w:pStyle w:val="-WeLStandardtextEinzug-"/>
      </w:pPr>
      <w:r>
        <w:t>Aus der bisherigen Nutzung von ALADIN sind einige didaktische Herausforderungen abgeleitet worden. Der Beitrag erläutert besagte Herausforderungen und legt dar, wie ALADIN II ihnen begegnet.</w:t>
      </w:r>
    </w:p>
    <w:p>
      <w:pPr>
        <w:pStyle w:val="-WeLberschrift1-"/>
      </w:pPr>
      <w:r>
        <w:lastRenderedPageBreak/>
        <w:t>Didaktische Herausforderungen bei der Anwendung von ALADIN</w:t>
      </w:r>
    </w:p>
    <w:p>
      <w:pPr>
        <w:pStyle w:val="-WeLberschrift2-"/>
      </w:pPr>
      <w:r>
        <w:t>Motivierung der Studierenden zur Nutzung von ALADIN</w:t>
      </w:r>
    </w:p>
    <w:p>
      <w:pPr>
        <w:pStyle w:val="-WeLberschrift2-"/>
        <w:numPr>
          <w:ilvl w:val="3"/>
          <w:numId w:val="12"/>
        </w:numPr>
      </w:pPr>
      <w:bookmarkStart w:id="8" w:name="_Ref105516447"/>
      <w:r>
        <w:t>Motivierung zur initialen Nutzung von ALADIN</w:t>
      </w:r>
      <w:bookmarkEnd w:id="8"/>
    </w:p>
    <w:p>
      <w:pPr>
        <w:jc w:val="both"/>
        <w:rPr>
          <w:rFonts w:cs="Times New Roman"/>
          <w:color w:val="000000"/>
          <w:sz w:val="22"/>
          <w:szCs w:val="24"/>
          <w:lang w:eastAsia="de-DE"/>
        </w:rPr>
      </w:pPr>
      <w:r>
        <w:rPr>
          <w:rFonts w:cs="Times New Roman"/>
          <w:color w:val="000000"/>
          <w:sz w:val="22"/>
          <w:szCs w:val="24"/>
          <w:lang w:eastAsia="de-DE"/>
        </w:rPr>
        <w:t>Eine</w:t>
      </w:r>
      <w:r>
        <w:rPr>
          <w:rFonts w:cs="Times New Roman"/>
          <w:color w:val="000000"/>
          <w:sz w:val="24"/>
          <w:szCs w:val="24"/>
          <w:lang w:eastAsia="de-DE"/>
        </w:rPr>
        <w:t xml:space="preserve"> </w:t>
      </w:r>
      <w:r>
        <w:rPr>
          <w:rFonts w:cs="Times New Roman"/>
          <w:color w:val="000000"/>
          <w:sz w:val="22"/>
          <w:szCs w:val="24"/>
          <w:lang w:eastAsia="de-DE"/>
        </w:rPr>
        <w:t xml:space="preserve">zentrale Herausforderung ist die </w:t>
      </w:r>
      <w:r>
        <w:rPr>
          <w:sz w:val="22"/>
        </w:rPr>
        <w:t>Motivierung</w:t>
      </w:r>
      <w:r>
        <w:rPr>
          <w:rFonts w:cs="Times New Roman"/>
          <w:color w:val="000000"/>
          <w:sz w:val="22"/>
          <w:szCs w:val="24"/>
          <w:lang w:eastAsia="de-DE"/>
        </w:rPr>
        <w:t xml:space="preserve"> der Studierenden zur Nutzung von ALADIN. Es wird zwischen der initialen und der fortführenden Nutzung unterschieden. Um die Studierenden initial mit dem System vertraut zu machen, sind in der Regel Schulungen im Umgang mit der Software und ein Support-System für nachträglich anfallende Fragen nötig, was mit hohem Aufwand verbunden ist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{"citationID":"MXD42w4Q","properties":{"formattedCitation":"(Chi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(Chi et al., 2014)</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numPr>
          <w:ilvl w:val="3"/>
          <w:numId w:val="12"/>
        </w:numPr>
      </w:pPr>
      <w:bookmarkStart w:id="9" w:name="_Ref105516530"/>
      <w:r>
        <w:t>Motivierung zur fortführenden Nutzung von ALADIN</w:t>
      </w:r>
      <w:bookmarkEnd w:id="9"/>
    </w:p>
    <w:p>
      <w:pPr>
        <w:jc w:val="both"/>
        <w:rPr>
          <w:rFonts w:cs="Times New Roman"/>
          <w:color w:val="000000"/>
          <w:sz w:val="22"/>
          <w:szCs w:val="24"/>
          <w:lang w:eastAsia="de-DE"/>
        </w:rPr>
      </w:pPr>
      <w:r>
        <w:rPr>
          <w:rFonts w:cs="Times New Roman"/>
          <w:color w:val="000000"/>
          <w:sz w:val="22"/>
          <w:szCs w:val="24"/>
          <w:lang w:eastAsia="de-DE"/>
        </w:rPr>
        <w:t xml:space="preserve">Unabhängig von der bevorzugten Lernstrategie der Studierenden müssen sie Aufgaben meist wiederholt bearbeiten, um die benötigte Kompetenz zum Lösen der Aufgaben und ggf. für das Bestehen einer entsprechenden Prüfung zu erlangen. ALADIN unterstützt bei der Wiederholung durch seine dynamische Generierung von Aufgaben und Lösungshilfen. In der Praxis ist jedoch eine zusätzliche </w:t>
      </w:r>
      <w:r>
        <w:rPr>
          <w:sz w:val="22"/>
        </w:rPr>
        <w:t>Motivierung</w:t>
      </w:r>
      <w:r>
        <w:rPr>
          <w:rFonts w:cs="Times New Roman"/>
          <w:color w:val="000000"/>
          <w:sz w:val="22"/>
          <w:szCs w:val="24"/>
          <w:lang w:eastAsia="de-DE"/>
        </w:rPr>
        <w:t xml:space="preserve"> der Studierenden erforderlich, damit sie ALADIN fortführend als unterstützendes Werkzeug in ihrem Lernprozess einsetzen.</w:t>
      </w:r>
    </w:p>
    <w:p>
      <w:pPr>
        <w:pStyle w:val="-WeLberschrift2-"/>
      </w:pPr>
      <w:bookmarkStart w:id="10" w:name="_Ref107647511"/>
      <w:bookmarkStart w:id="11" w:name="_Ref105518937"/>
      <w:r>
        <w:t>Motivierung der Lehrenden zur Nutzung von ALADIN</w:t>
      </w:r>
      <w:bookmarkEnd w:id="10"/>
    </w:p>
    <w:p>
      <w:pPr>
        <w:pStyle w:val="-WeLberschrift2-"/>
        <w:numPr>
          <w:ilvl w:val="3"/>
          <w:numId w:val="12"/>
        </w:numPr>
      </w:pPr>
      <w:bookmarkStart w:id="12" w:name="_Ref107647556"/>
      <w:r>
        <w:t>Motivierung zur Nutzung in Lehrveranstaltungen</w:t>
      </w:r>
      <w:bookmarkEnd w:id="12"/>
    </w:p>
    <w:p>
      <w:pPr>
        <w:jc w:val="both"/>
        <w:rPr>
          <w:sz w:val="22"/>
          <w:lang w:eastAsia="de-DE"/>
        </w:rPr>
      </w:pPr>
      <w:r>
        <w:rPr>
          <w:sz w:val="22"/>
          <w:lang w:eastAsia="de-DE"/>
        </w:rPr>
        <w:t>ALADIN fokussiert auf die Generierung und Darbietung von Aufgaben, die Studierende zum selbstständigen Üben nutzen können. Um ALADIN sinnvoll in Lehrveranstaltungen zu integrieren, ist es nötig, möglichst viele weitere Anwendungsszenarien zu erlauben, wie z. B. ein kollaboratives Lösen von Aufgaben während der Präsenzveranstaltungen oder die Anwendung in Prüfungen und Prüfungsvorleistungen.</w:t>
      </w:r>
    </w:p>
    <w:p>
      <w:pPr>
        <w:pStyle w:val="-WeLberschrift2-"/>
        <w:numPr>
          <w:ilvl w:val="3"/>
          <w:numId w:val="12"/>
        </w:numPr>
      </w:pPr>
      <w:bookmarkStart w:id="13" w:name="_Ref107647464"/>
      <w:r>
        <w:t>Motivierung zur Anwendung in weiteren Disziplinen</w:t>
      </w:r>
      <w:bookmarkEnd w:id="13"/>
    </w:p>
    <w:p>
      <w:pPr>
        <w:jc w:val="both"/>
        <w:rPr>
          <w:sz w:val="22"/>
        </w:rPr>
      </w:pPr>
      <w:r>
        <w:rPr>
          <w:sz w:val="22"/>
          <w:lang w:eastAsia="de-DE"/>
        </w:rPr>
        <w:t>Die Erstellung neuer Aufgabentypen in ALADIN erfordert bisher grundlegende Programmierkenntnisse. Da Lehrende aus nicht technischen Disziplinen in der Regel nicht über diese Kenntnisse verfügen, besteht die Gefahr, dass ALADIN lediglich in technischen Disziplinen angewendet wird.</w:t>
      </w:r>
    </w:p>
    <w:p>
      <w:pPr>
        <w:pStyle w:val="-WeLberschrift2-"/>
      </w:pPr>
      <w:bookmarkStart w:id="14" w:name="_Ref107663106"/>
      <w:bookmarkEnd w:id="11"/>
      <w:r>
        <w:t>Messbarkeit von Kompetenzen in ALADIN</w:t>
      </w:r>
      <w:bookmarkEnd w:id="14"/>
    </w:p>
    <w:p>
      <w:pPr>
        <w:pStyle w:val="-WeLberschrift2-"/>
        <w:numPr>
          <w:ilvl w:val="3"/>
          <w:numId w:val="12"/>
        </w:numPr>
      </w:pPr>
      <w:bookmarkStart w:id="15" w:name="_Ref106442956"/>
      <w:r>
        <w:t>Generelle Messbarkeit von Kompetenzen einer Person</w:t>
      </w:r>
      <w:bookmarkEnd w:id="15"/>
    </w:p>
    <w:p>
      <w:pPr>
        <w:jc w:val="both"/>
      </w:pPr>
      <w:r>
        <w:rPr>
          <w:sz w:val="22"/>
        </w:rPr>
        <w:t xml:space="preserve">Zur Messung der Kompetenz einer Person genügt es nicht, auf die Selbsteinschätzung der Person zu vertrauen. Erst durch die Bearbeitung einer Aufgabe, welche die Kompetenz erfordert, erschließt sich die Kompetenz der Person </w:t>
      </w:r>
      <w:r>
        <w:rPr>
          <w:sz w:val="22"/>
        </w:rPr>
        <w:fldChar w:fldCharType="begin"/>
      </w:r>
      <w:r>
        <w:rPr>
          <w:sz w:val="22"/>
        </w:rP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Programmierung","author":[{"family":"Längrich","given":"Matthias"},{"family":"Schulze","given":"Joerg"},{"family":"Ghanbari","given":"Shahram"}],"issued":{"date-parts":[["2013",1,1]]}}}],"schema":"https://github.com/citation-style-language/schema/raw/master/csl-citation.json"} </w:instrText>
      </w:r>
      <w:r>
        <w:rPr>
          <w:sz w:val="22"/>
        </w:rPr>
        <w:fldChar w:fldCharType="separate"/>
      </w:r>
      <w:r>
        <w:rPr>
          <w:rFonts w:cs="Arial"/>
          <w:sz w:val="22"/>
        </w:rPr>
        <w:t>(Längrich et al., 2013)</w:t>
      </w:r>
      <w:r>
        <w:rPr>
          <w:sz w:val="22"/>
        </w:rPr>
        <w:fldChar w:fldCharType="end"/>
      </w:r>
      <w:r>
        <w:rPr>
          <w:sz w:val="22"/>
        </w:rPr>
        <w:t xml:space="preserve">. Häufig lässt sich die Messung der Kompetenz nicht </w:t>
      </w:r>
      <w:r>
        <w:rPr>
          <w:sz w:val="22"/>
        </w:rPr>
        <w:lastRenderedPageBreak/>
        <w:t>auf einen Ergebnisabgleich reduzieren, sondern erfordert das Nachvollziehen des kompletten Lösungswegs.</w:t>
      </w:r>
    </w:p>
    <w:p>
      <w:pPr>
        <w:pStyle w:val="-WeLberschrift2-"/>
        <w:numPr>
          <w:ilvl w:val="3"/>
          <w:numId w:val="12"/>
        </w:numPr>
      </w:pPr>
      <w:bookmarkStart w:id="16" w:name="_Ref106442968"/>
      <w:r>
        <w:t>Messbarkeit von Kompetenzen in heterogenen Gruppen</w:t>
      </w:r>
      <w:bookmarkEnd w:id="16"/>
    </w:p>
    <w:p>
      <w:pPr>
        <w:jc w:val="both"/>
        <w:rPr>
          <w:sz w:val="22"/>
        </w:rPr>
      </w:pPr>
      <w:r>
        <w:rPr>
          <w:sz w:val="22"/>
        </w:rPr>
        <w:t xml:space="preserve">Präsenzlehre vermittelt den Lehrenden zumindest einen groben Eindruck von der Kompetenz der Studierenden hinsichtlich der Lösung einer Aufgabe. ALADIN verhindert diesen Eindruck durch die fehlende persönliche Rückkopplung zunächst. Zusätzlich erfasste Interaktionen aller Studierenden mit ALADIN bei der Lösung der Aufgaben unterliegen jedoch ähnlichen Verzerrungseffekten wie der direkte Eindruck in der Präsenzlehre. So weisen Studierende, welche engagiert an den Lehrveranstaltungen teilnehmen, eine höhere Kompetenz und erhöhte Meldebereitschaft auf. Analog dazu nutzen engagierte Studierende ALADIN stärker und profitieren im Vergleich zu weniger engagierten Studierenden weniger davon, schneiden bei der Bearbeitung der Aufgaben aber besser ab. Die Heterogenität der Gruppe und die Ungleichgewichtung der erfassten Ergebnisse im Vergleich zur zugrunde liegenden Verteilung der Studierenden erschweren das Erstellen repräsentativer Statistiken. Eine Auswertung erfasster Interaktionen erfordert daher stets auch die Möglichkeit multivariater Analysen und facettierter Visualisierungen anstatt reiner Aggregationen, da letztere möglicherweise zu falschen Rückschlüssen über die tatsächliche Verteilung führen </w:t>
      </w:r>
      <w:r>
        <w:rPr>
          <w:sz w:val="22"/>
        </w:rPr>
        <w:fldChar w:fldCharType="begin"/>
      </w:r>
      <w:r>
        <w:rPr>
          <w:sz w:val="22"/>
        </w:rPr>
        <w:instrText xml:space="preserve"> ADDIN ZOTERO_ITEM CSL_CITATION {"citationID":"sYCFw1cc","properties":{"formattedCitation":"(Matejka &amp; Fitzmaurice, 2017)","plainCitation":"(Matejka &amp; Fitzmaurice, 2017)","noteIndex":0},"citationItems":[{"id":619,"uris":["http://zotero.org/users/9354499/items/9NEUSA3C"],"itemData":{"id":619,"type":"book","abstract":"Datasets which are identical over a number of statistical properties, yet produce dissimilar graphs, are frequently used to illustrate the importance of graphical representations when exploring data. This paper presents a novel method for generating such datasets, along with several examples. Our technique varies from previous approaches in that new datasets are iteratively generated from a seed dataset through random perturbations of individual data points, and can be directed towards a desired outcome through a simulated annealing optimization strategy. Our method has the benefit of being agnostic to the particular statistical properties that are to remain constant between the datasets, and allows for control over the graphical appearance of resulting output.","note":"page: 1294\nDOI: 10.1145/3025453.3025912","number-of-pages":"1290","source":"ResearchGate","title":"Same Stats, Different Graphs: Generating Datasets with Varied Appearance and Identical Statistics through Simulated Annealing","title-short":"Same Stats, Different Graphs","author":[{"family":"Matejka","given":"Justin"},{"family":"Fitzmaurice","given":"George"}],"issued":{"date-parts":[["2017",5,2]]}}}],"schema":"https://github.com/citation-style-language/schema/raw/master/csl-citation.json"} </w:instrText>
      </w:r>
      <w:r>
        <w:rPr>
          <w:sz w:val="22"/>
        </w:rPr>
        <w:fldChar w:fldCharType="separate"/>
      </w:r>
      <w:r>
        <w:rPr>
          <w:rFonts w:cs="Arial"/>
          <w:sz w:val="22"/>
        </w:rPr>
        <w:t>(Matejka &amp; Fitzmaurice, 2017)</w:t>
      </w:r>
      <w:r>
        <w:rPr>
          <w:sz w:val="22"/>
        </w:rPr>
        <w:fldChar w:fldCharType="end"/>
      </w:r>
      <w:r>
        <w:rPr>
          <w:sz w:val="22"/>
        </w:rPr>
        <w:t>.</w:t>
      </w:r>
    </w:p>
    <w:p>
      <w:pPr>
        <w:jc w:val="both"/>
        <w:rPr>
          <w:sz w:val="22"/>
        </w:rPr>
      </w:pPr>
      <w:r>
        <w:rPr>
          <w:sz w:val="22"/>
        </w:rPr>
        <w:t xml:space="preserve">Die in </w:t>
      </w:r>
      <w:r>
        <w:rPr>
          <w:sz w:val="22"/>
        </w:rPr>
        <w:fldChar w:fldCharType="begin"/>
      </w:r>
      <w:r>
        <w:rPr>
          <w:sz w:val="22"/>
        </w:rPr>
        <w:instrText xml:space="preserve"> REF _Ref106442956 \r \h  \* MERGEFORMAT </w:instrText>
      </w:r>
      <w:r>
        <w:rPr>
          <w:sz w:val="22"/>
        </w:rPr>
      </w:r>
      <w:r>
        <w:rPr>
          <w:sz w:val="22"/>
        </w:rPr>
        <w:fldChar w:fldCharType="separate"/>
      </w:r>
      <w:r>
        <w:rPr>
          <w:sz w:val="22"/>
        </w:rPr>
        <w:t>2.3.1</w:t>
      </w:r>
      <w:r>
        <w:rPr>
          <w:sz w:val="22"/>
        </w:rPr>
        <w:fldChar w:fldCharType="end"/>
      </w:r>
      <w:r>
        <w:rPr>
          <w:sz w:val="22"/>
        </w:rPr>
        <w:t xml:space="preserve"> und </w:t>
      </w:r>
      <w:r>
        <w:rPr>
          <w:sz w:val="22"/>
        </w:rPr>
        <w:fldChar w:fldCharType="begin"/>
      </w:r>
      <w:r>
        <w:rPr>
          <w:sz w:val="22"/>
        </w:rPr>
        <w:instrText xml:space="preserve"> REF _Ref106442968 \r \h  \* MERGEFORMAT </w:instrText>
      </w:r>
      <w:r>
        <w:rPr>
          <w:sz w:val="22"/>
        </w:rPr>
      </w:r>
      <w:r>
        <w:rPr>
          <w:sz w:val="22"/>
        </w:rPr>
        <w:fldChar w:fldCharType="separate"/>
      </w:r>
      <w:r>
        <w:rPr>
          <w:sz w:val="22"/>
        </w:rPr>
        <w:t>2.3.2</w:t>
      </w:r>
      <w:r>
        <w:rPr>
          <w:sz w:val="22"/>
        </w:rPr>
        <w:fldChar w:fldCharType="end"/>
      </w:r>
      <w:r>
        <w:rPr>
          <w:sz w:val="22"/>
        </w:rPr>
        <w:t xml:space="preserve"> beschriebenen Herausforderungen resultieren zwar nicht nur aus der Nutzung eines elektronischen Systems, treten allerdings bei ihr durch die verminderte Interaktion mit den Lehrenden stärker hervor. Elektronische Systeme erlauben jedoch die effiziente Betrachtung vieler einzelner Nutzerinteraktionen in automatisch aufbereiteter Form und ermöglichen es so überhaupt erst, Verzerrungseffekten bei der Kompetenzmessung in heterogenen Gruppen entgegenzutreten.</w:t>
      </w:r>
    </w:p>
    <w:p>
      <w:pPr>
        <w:pStyle w:val="-WeLberschrift2-"/>
      </w:pPr>
      <w:r>
        <w:t>Fehlende Vernetzung der Studierenden untereinander</w:t>
      </w:r>
    </w:p>
    <w:p>
      <w:pPr>
        <w:jc w:val="both"/>
        <w:rPr>
          <w:rFonts w:cs="Times New Roman"/>
          <w:color w:val="000000"/>
          <w:sz w:val="22"/>
          <w:szCs w:val="24"/>
          <w:lang w:eastAsia="de-DE"/>
        </w:rPr>
      </w:pPr>
      <w:r>
        <w:rPr>
          <w:sz w:val="22"/>
        </w:rPr>
        <w:t xml:space="preserve">Im Vergleich zur Präsenzlehre liegt die Schwelle für die Studierenden, sich bei der selbständigen Bearbeitung von Aufgaben in ALADIN miteinander zu vernetzen, deutlich höher. </w:t>
      </w:r>
      <w:r>
        <w:rPr>
          <w:rFonts w:cs="Times New Roman"/>
          <w:color w:val="000000"/>
          <w:sz w:val="22"/>
          <w:szCs w:val="24"/>
          <w:lang w:eastAsia="de-DE"/>
        </w:rPr>
        <w:t xml:space="preserve">Die fehlende Vernetzung der Studierenden führt in Extremfällen zur Überforderung der Studierenden, Verlängerungen ihres Studiums und erhöhten Abbruchquoten, wie während der Corona-Pandemie beobachtet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{"citationID":"UyBsEIyb","properties":{"formattedCitation":"(Kris-Stephen et al., 2021)","plainCitation":"(Kris-Stephen et al., 2021)","noteIndex":0},"citationItems":[{"id":658,"uris":["http://zotero.org/users/9354499/items/A8TQQVL7"],"itemData":{"id":658,"type":"article-journal","abstract":"Wie sieht die Situation von Studierenden im Sommer 2021 aus? Wie gestalten Sie ihren (digitalen) Studienalltag in der Pandemie und welche Herausforderungen und Belastungen erleben sie? Welche Vor- und Nachteile benennen Studierende im Hinblick auf das überwiegend digitale Studium und welche Unterstützungsstrukturen stehen ihnen zur Verfügung? Diesen Kernfragen geht ein Forscher:innen-Team der Universität Hildesheim und Universität Münster mittels der zweiten bundesweiten und fächerübergreifenden Online-Befragung von Studierenden (Stu.diCo II) nach. Der Fokus der Studie, an der über 2.500 Studierende teilnahmen, liegt dabei auf dem Wohlbefinden der Studierenden und ihrer sozialen Studiensituation. Sie setzt damit einen wichtigen Schwerpunkt, der über technische Fragen des Online-Studiums oder Einschätzungen zur Lehrqualität hinausgeht. Der vorliegende Bericht der Online-Befragung Stu.diCo II präsentiert erste Ergebnisse und deskriptive Befunde der Untersuchung – ergänzt um ausgewählte individuelle Antworten der Teilnehmenden aus den Freitextfeldern sowie Vergleichen zur vorangegangenen Befragung (Stu.diCo I).","DOI":"10.18442/194","language":"deu","note":"publisher: Universitätsverlag Hildesheim","source":"hildok.bsz-bw.de","title":"Stu.diCo II – Die Corona Pandemie aus der Perspektive von Studierenden","URL":"https://hildok.bsz-bw.de/frontdoor/index/index/docId/1256","author":[{"family":"Kris-Stephen","given":"Besa"},{"family":"Kochskämper","given":"Dorothee"},{"family":"Lips","given":"Anna"},{"family":"Schröer","given":"Wolfgang"},{"family":"Thomas","given":"Severine"}],"accessed":{"date-parts":[["2022",6,7]]},"issued":{"date-parts":[["2021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(Kris-Stephen et al., 2021)</w:t>
      </w:r>
      <w:r>
        <w:rPr>
          <w:rFonts w:cs="Times New Roman"/>
          <w:color w:val="000000"/>
          <w:sz w:val="22"/>
          <w:szCs w:val="24"/>
          <w:lang w:eastAsia="de-DE"/>
        </w:rPr>
        <w:fldChar w:fldCharType="end"/>
      </w:r>
      <w:r>
        <w:rPr>
          <w:rFonts w:cs="Times New Roman"/>
          <w:color w:val="000000"/>
          <w:sz w:val="22"/>
          <w:szCs w:val="24"/>
          <w:lang w:eastAsia="de-DE"/>
        </w:rPr>
        <w:t>.</w:t>
      </w:r>
    </w:p>
    <w:p>
      <w:pPr>
        <w:pStyle w:val="-WeLberschrift2-"/>
      </w:pPr>
      <w:bookmarkStart w:id="17" w:name="_Ref107647492"/>
      <w:bookmarkStart w:id="18" w:name="_Ref105518954"/>
      <w:r>
        <w:t>Fehlende Rückmeldung an Studierende</w:t>
      </w:r>
      <w:bookmarkEnd w:id="17"/>
      <w:bookmarkEnd w:id="18"/>
    </w:p>
    <w:p>
      <w:pPr>
        <w:jc w:val="both"/>
        <w:rPr>
          <w:rFonts w:cs="Times New Roman"/>
          <w:color w:val="000000"/>
          <w:sz w:val="22"/>
          <w:szCs w:val="24"/>
          <w:lang w:eastAsia="de-DE"/>
        </w:rPr>
      </w:pPr>
      <w:r>
        <w:rPr>
          <w:rFonts w:cs="Times New Roman"/>
          <w:color w:val="000000"/>
          <w:sz w:val="22"/>
          <w:szCs w:val="24"/>
          <w:lang w:eastAsia="de-DE"/>
        </w:rPr>
        <w:t>Unzureichende oder fehlende Rückmeldung an Studierende über den Status oder die Fehler innerhalb der Lösungsversuche in ALADIN kann zu einer Minderung der Motivation der Studierenden führen. ALADIN generiert zwar zusätzliche Lösungshilfen zu den Aufgaben, in einigen Fällen können diese jedoch nicht die persönliche Hilfestellung ersetzen, um das Warum eines Fehlers ausreichend zu erklären.</w:t>
      </w:r>
    </w:p>
    <w:p>
      <w:pPr>
        <w:pStyle w:val="-WeLberschrift2-"/>
      </w:pPr>
      <w:bookmarkStart w:id="19" w:name="_Ref106720166"/>
      <w:r>
        <w:lastRenderedPageBreak/>
        <w:t>Fehlende Variabilität der Aufgabenrepräsentation</w:t>
      </w:r>
      <w:bookmarkEnd w:id="19"/>
    </w:p>
    <w:p>
      <w:pPr>
        <w:pStyle w:val="-WeLberschrift2-"/>
        <w:numPr>
          <w:ilvl w:val="3"/>
          <w:numId w:val="12"/>
        </w:numPr>
      </w:pPr>
      <w:bookmarkStart w:id="20" w:name="_Ref107647737"/>
      <w:r>
        <w:t>Zu wenige Lösungsmethoden für Aufgabentyp</w:t>
      </w:r>
      <w:bookmarkEnd w:id="20"/>
      <w:r>
        <w:t>en</w:t>
      </w:r>
    </w:p>
    <w:p>
      <w:pPr>
        <w:jc w:val="both"/>
        <w:rPr>
          <w:color w:val="000000"/>
          <w:sz w:val="22"/>
        </w:rPr>
      </w:pPr>
      <w:r>
        <w:rPr>
          <w:rFonts w:cs="Times New Roman"/>
          <w:color w:val="000000"/>
          <w:sz w:val="22"/>
          <w:szCs w:val="24"/>
          <w:lang w:eastAsia="de-DE"/>
        </w:rPr>
        <w:t xml:space="preserve">Zur Maximierung des potentiellen Lerneffekts durch die Bearbeitung von Aufgaben eignet sich der Einsatz unterschiedlicher </w:t>
      </w:r>
      <w:r>
        <w:rPr>
          <w:sz w:val="22"/>
        </w:rPr>
        <w:t>Lösungsmethoden</w:t>
      </w:r>
      <w:r>
        <w:rPr>
          <w:rFonts w:cs="Times New Roman"/>
          <w:color w:val="000000"/>
          <w:sz w:val="22"/>
          <w:szCs w:val="24"/>
          <w:lang w:eastAsia="de-DE"/>
        </w:rPr>
        <w:t xml:space="preserve">, die zur Aufgabenbewältigung möglich sind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{"citationID":"WAnRvsTJ","properties":{"formattedCitation":"(Lampinen &amp; McClelland, 2018)","plainCitation":"(Lampinen &amp; McClelland, 2018)","noteIndex":0},"citationItems":[{"id":684,"uris":["http://zotero.org/users/9354499/items/TARD86TF"],"itemData":{"id":684,"type":"article-journal","abstract":"Previous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 (PsycInfo Database Record (c) 2020 APA, all rights reserved)","container-title":"Journal of Educational Psychology","DOI":"10.1037/edu0000235","ISSN":"1939-2176","issue":"5","note":"publisher-place: US\npublisher: American Psychological Association","page":"664-682","source":"APA PsycNet","title":"Different presentations of a mathematical concept can support learning in complementary ways","volume":"110","author":[{"family":"Lampinen","given":"Andrew K."},{"family":"McClelland","given":"James L."}],"issued":{"date-parts":[["2018"]]}}}],"schema":"https://github.com/citation-style-language/schema/raw/master/csl-citation.json"} </w:instrText>
      </w:r>
      <w:r>
        <w:rPr>
          <w:rFonts w:cs="Times New Roman"/>
          <w:color w:val="000000"/>
          <w:sz w:val="22"/>
          <w:szCs w:val="24"/>
          <w:lang w:eastAsia="de-DE"/>
        </w:rPr>
        <w:fldChar w:fldCharType="separate"/>
      </w:r>
      <w:r>
        <w:rPr>
          <w:rFonts w:cs="Arial"/>
          <w:sz w:val="22"/>
        </w:rPr>
        <w:t>(Lampinen &amp; McClelland, 2018)</w:t>
      </w:r>
      <w:r>
        <w:rPr>
          <w:rFonts w:cs="Times New Roman"/>
          <w:color w:val="000000"/>
          <w:sz w:val="22"/>
          <w:szCs w:val="24"/>
          <w:lang w:eastAsia="de-DE"/>
        </w:rPr>
        <w:fldChar w:fldCharType="end"/>
      </w:r>
      <w:r>
        <w:rPr>
          <w:rFonts w:cs="Times New Roman"/>
          <w:color w:val="000000"/>
          <w:sz w:val="22"/>
          <w:szCs w:val="24"/>
          <w:lang w:eastAsia="de-DE"/>
        </w:rPr>
        <w:t xml:space="preserve">. Beispielsweise kann eine Stücklistenauflösung sowohl als eine Reihe von Interaktionen auf einem Graphen aufgefasst werden, als auch als eine Reihe von Matrixoperationen auf seiner Adjazenzmatrix und dem Bedarfsvektor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{"citationID":"bV4GSpwn","properties":{"formattedCitation":"(Toll, 2010)","plainCitation":"(Toll, 2010)","noteIndex":0},"citationItems":[{"id":661,"uris":["http://zotero.org/users/9354499/items/7M8YIWX2"],"itemData":{"id":661,"type":"chapter","abstract":"Graphentheoretische Verfahren sind eine Alternative zu Stücklisten. Bei ihnen werden die Beziehungen zwischen Rohstoffen, Einzelteilen, Baugruppen und Endprodukten nicht mehr in tabellarischer Form, sondern mit Hilfe von Gozinto-Graphen veranschaulicht. Die Bezeichnung Gozinto-Graph geht auf Vazsonyi zurück. Vazsonyi selbst „zitiert“ den „italienischen Mathematiker“ Zepartzat Gozinto, wobei es sich dabei jedoch um ein Wortspiel handelt, da Zepartzat Gozinto soviel bedeuten soll wie „the part that goes into“. Das Gozinto-Verfahren eignet sich insbesondere, um die Beziehungen zwischen den einzelnen Komponenten des Produktionsprozesses leichter darzustellen.","ISBN":"978-3-486-59091-3","page":"95-100","source":"ResearchGate","title":"Materialbedarfsermittlung mit graphentheoretischen Verfahren","author":[{"family":"Toll","given":"Christian"}],"issued":{"date-parts":[["2010",1,13]]}}}],"schema":"https://github.com/citation-style-language/schema/raw/master/csl-citation.json"} </w:instrText>
      </w:r>
      <w:r>
        <w:rPr>
          <w:rFonts w:cs="Times New Roman"/>
          <w:color w:val="000000"/>
          <w:sz w:val="22"/>
          <w:szCs w:val="24"/>
          <w:lang w:eastAsia="de-DE"/>
        </w:rPr>
        <w:fldChar w:fldCharType="separate"/>
      </w:r>
      <w:r>
        <w:rPr>
          <w:rFonts w:cs="Arial"/>
          <w:sz w:val="22"/>
        </w:rPr>
        <w:t>(Toll, 2010)</w:t>
      </w:r>
      <w:r>
        <w:rPr>
          <w:rFonts w:cs="Times New Roman"/>
          <w:color w:val="000000"/>
          <w:sz w:val="22"/>
          <w:szCs w:val="24"/>
          <w:lang w:eastAsia="de-DE"/>
        </w:rPr>
        <w:fldChar w:fldCharType="end"/>
      </w:r>
      <w:r>
        <w:rPr>
          <w:rFonts w:cs="Times New Roman"/>
          <w:color w:val="000000"/>
          <w:sz w:val="22"/>
          <w:szCs w:val="24"/>
          <w:lang w:eastAsia="de-DE"/>
        </w:rPr>
        <w:t>. Zu wenige Lösungsmethoden verringern den Lerneffekt und erschweren den Zugang für einen Teil der Studierenden, die andere Lösungsmethoden präferieren.</w:t>
      </w:r>
    </w:p>
    <w:p>
      <w:pPr>
        <w:pStyle w:val="-WeLberschrift2-"/>
        <w:numPr>
          <w:ilvl w:val="3"/>
          <w:numId w:val="12"/>
        </w:numPr>
      </w:pPr>
      <w:bookmarkStart w:id="21" w:name="_Ref105519108"/>
      <w:r>
        <w:t>Zu hoher Abstraktionsgrad und zu geringe fachliche Semantik der generierten Aufgaben</w:t>
      </w:r>
      <w:bookmarkEnd w:id="21"/>
    </w:p>
    <w:p>
      <w:pPr>
        <w:jc w:val="both"/>
        <w:rPr>
          <w:rFonts w:cs="Times New Roman"/>
          <w:color w:val="000000"/>
          <w:sz w:val="22"/>
          <w:szCs w:val="24"/>
          <w:lang w:eastAsia="de-DE"/>
        </w:rPr>
      </w:pPr>
      <w:r>
        <w:rPr>
          <w:rFonts w:cs="Times New Roman"/>
          <w:color w:val="000000"/>
          <w:sz w:val="22"/>
          <w:szCs w:val="24"/>
          <w:lang w:eastAsia="de-DE"/>
        </w:rPr>
        <w:t xml:space="preserve">Der Abstraktionsgrad, in der eine Aufgabe gestellt werden sollte, um den größten Lernerfolg zu erzielen, ist umstritten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{"citationID":"to7mm7zL","properties":{"formattedCitation":"(Trninic et al., 2020)","plainCitation":"(Trninic et al., 2020)","noteIndex":0},"citationItems":[{"id":632,"uris":["http://zotero.org/users/9354499/items/QRJG5LKK"],"itemData":{"id":632,"type":"article-journal","abstract":"When teaching a novel mathematical concept, should we present learners with abstract or concrete examples? In this experiment, we conduct a critical replication and extension of a well</w:instrText>
      </w:r>
      <w:r>
        <w:rPr>
          <w:rFonts w:ascii="Cambria Math" w:hAnsi="Cambria Math" w:cs="Cambria Math"/>
          <w:color w:val="000000"/>
          <w:sz w:val="22"/>
          <w:szCs w:val="24"/>
          <w:lang w:eastAsia="de-DE"/>
        </w:rPr>
        <w:instrText>‐</w:instrText>
      </w:r>
      <w:r>
        <w:rPr>
          <w:rFonts w:cs="Times New Roman"/>
          <w:color w:val="000000"/>
          <w:sz w:val="22"/>
          <w:szCs w:val="24"/>
          <w:lang w:eastAsia="de-DE"/>
        </w:rPr>
        <w:instrText xml:space="preserve">known study that argued for the general advantage of abstract examples (Kaminski, Sloutsky, &amp; Heckler, 2008a). We demonstrate that theoretically motivated yet minor modifications of the learning design put this argument in question. A key finding from this study is that participants who trained with improved concrete examples performed as well as, or better than, participants who trained with abstract examples. We argue that the previously reported “advantage of abstract examples” manifested not because abstract examples are advantageous in general, but because the concrete condition employed suboptimal examples.","container-title":"Cognitive Science","DOI":"10.1111/cogs.12851","journalAbbreviation":"Cognitive Science","source":"ResearchGate","title":"The Disappearing “Advantage of Abstract Examples in Learning Math”","volume":"44","author":[{"family":"Trninic","given":"Dragan"},{"family":"Kapur","given":"Manu"},{"family":"Sinha","given":"Tanmay"}],"issued":{"date-parts":[["2020",7,1]]}}}],"schema":"https://github.com/citation-style-language/schema/raw/master/csl-citation.json"}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(Trninic et al., 2020)</w:t>
      </w:r>
      <w:r>
        <w:rPr>
          <w:rFonts w:cs="Times New Roman"/>
          <w:color w:val="000000"/>
          <w:sz w:val="22"/>
          <w:szCs w:val="24"/>
          <w:lang w:eastAsia="de-DE"/>
        </w:rPr>
        <w:fldChar w:fldCharType="end"/>
      </w:r>
      <w:r>
        <w:rPr>
          <w:rFonts w:cs="Times New Roman"/>
          <w:color w:val="000000"/>
          <w:sz w:val="22"/>
          <w:szCs w:val="24"/>
          <w:lang w:eastAsia="de-DE"/>
        </w:rPr>
        <w:t xml:space="preserve">. Eine graduelle Abstufung des Kontexts und der Beschreibung der Aufgabe von anschaulichen Beispielen zu einer Reduktion auf eine formale Beschreibung begünstigt hingegen den Lernerfolg der Studierenden, sofern diese Methodik auf die Domäne der Aufgabe anwendbar ist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{"citationID":"diVF7I8q","properties":{"formattedCitation":"(Kokkonen &amp; Schalk, 2020)","plainCitation":"(Kokkonen &amp; Schalk, 2020)","noteIndex":0},"citationItems":[{"id":637,"uris":["http://zotero.org/users/9354499/items/R8LITE7D"],"itemData":{"id":637,"type":"article-journal","abstract":"To help students acquire mathematics and science knowledge and competencies, educators typically use multiple external representations (MERs). There has been considerable interest in examining ways to present, sequence, and combine MERs. One prominent approach is the concreteness fading sequence, which posits that instruction should start with concrete representations and progress stepwise to representations that are more idealized. Various researchers have suggested that concreteness fading is a broadly applicable instructional approach. In this theoretical paper, we conceptually analyze examples of concreteness fading in the domains of mathematics, physics, chemistry, and biology and discuss its generalizability. We frame the analysis by defining and describing MERs and their use in educational settings. Then, we draw from theories of analogical and relational reasoning to scrutinize the possible cognitive processes related to learning with MERs. Our analysis suggests that concreteness fading may not be as generalizable as has been suggested. Two main reasons for this are discussed: (1) the types of representations and the relations between them differ across different domains, and (2) the instructional goals between domains and subsequent roles of the representations vary.","DOI":"10.1007/s10648-020-09581-7","source":"Semantic Scholar","title":"One Instructional Sequence Fits all? A Conceptual Analysis of the Applicability of Concreteness Fading in Mathematics, Physics, Chemistry, and Biology Education","title-short":"One Instructional Sequence Fits all?","author":[{"family":"Kokkonen","given":"Tommi"},{"family":"Schalk","given":"Lennart"}],"issued":{"date-parts":[["2020"]]}}}],"schema":"https://github.com/citation-style-language/schema/raw/master/csl-citation.json"}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(Kokkonen &amp; Schalk, 2020)</w:t>
      </w:r>
      <w:r>
        <w:rPr>
          <w:rFonts w:cs="Times New Roman"/>
          <w:color w:val="000000"/>
          <w:sz w:val="22"/>
          <w:szCs w:val="24"/>
          <w:lang w:eastAsia="de-DE"/>
        </w:rPr>
        <w:fldChar w:fldCharType="end"/>
      </w:r>
      <w:r>
        <w:rPr>
          <w:rFonts w:cs="Times New Roman"/>
          <w:color w:val="000000"/>
          <w:sz w:val="22"/>
          <w:szCs w:val="24"/>
          <w:lang w:eastAsia="de-DE"/>
        </w:rPr>
        <w:t>.</w:t>
      </w:r>
    </w:p>
    <w:p>
      <w:pPr>
        <w:jc w:val="both"/>
        <w:rPr>
          <w:rFonts w:cs="Times New Roman"/>
          <w:color w:val="000000"/>
          <w:sz w:val="22"/>
          <w:szCs w:val="24"/>
          <w:lang w:eastAsia="de-DE"/>
        </w:rPr>
      </w:pPr>
      <w:r>
        <w:rPr>
          <w:rFonts w:cs="Times New Roman"/>
          <w:color w:val="000000"/>
          <w:sz w:val="22"/>
          <w:szCs w:val="24"/>
          <w:lang w:eastAsia="de-DE"/>
        </w:rPr>
        <w:t>Zudem erfordern gewisse Aufgabengebiete, wie beispielsweise Geschäftsprozessmodellierung oder Datenbankabfragen, die Übertragung auf konkrete Szenarien mit einer fachlichen Semantik, um eine Messung der Kompetenz zu erlauben, welche über die bloße syntaktische Vertrautheit mit der Aufgabe hinausgeht.</w:t>
      </w:r>
    </w:p>
    <w:p>
      <w:pPr>
        <w:pStyle w:val="-WeLberschrift2-"/>
      </w:pPr>
      <w:bookmarkStart w:id="22" w:name="_Ref105519118"/>
      <w:r>
        <w:t xml:space="preserve">Unzureichende semantische Plausibilität und </w:t>
      </w:r>
      <w:proofErr w:type="spellStart"/>
      <w:r>
        <w:t>Typikalität</w:t>
      </w:r>
      <w:proofErr w:type="spellEnd"/>
      <w:r>
        <w:t xml:space="preserve"> der generierten Aufgaben</w:t>
      </w:r>
      <w:bookmarkEnd w:id="22"/>
    </w:p>
    <w:tbl>
      <w:tblPr>
        <w:tblStyle w:val="Tabellenraster"/>
        <w:tblpPr w:leftFromText="141" w:rightFromText="141" w:vertAnchor="text" w:horzAnchor="page" w:tblpX="1756" w:tblpY="-10"/>
        <w:tblW w:w="5000" w:type="pct"/>
        <w:tblLook w:val="04A0" w:firstRow="1" w:lastRow="0" w:firstColumn="1" w:lastColumn="0" w:noHBand="0" w:noVBand="1"/>
      </w:tblPr>
      <w:tblGrid>
        <w:gridCol w:w="3540"/>
        <w:gridCol w:w="1418"/>
        <w:gridCol w:w="2969"/>
      </w:tblGrid>
      <w:tr>
        <w:tc>
          <w:tcPr>
            <w:tcW w:w="2232" w:type="pct"/>
            <w:vAlign w:val="center"/>
          </w:tcPr>
          <w:p>
            <w:pPr>
              <w:jc w:val="center"/>
              <w:rPr>
                <w:rFonts w:cs="Times New Roman"/>
                <w:b/>
                <w:color w:val="000000"/>
                <w:szCs w:val="24"/>
                <w:lang w:eastAsia="de-DE"/>
              </w:rPr>
            </w:pPr>
            <w:r>
              <w:rPr>
                <w:rFonts w:cs="Times New Roman"/>
                <w:b/>
                <w:color w:val="000000"/>
                <w:szCs w:val="24"/>
                <w:lang w:eastAsia="de-DE"/>
              </w:rPr>
              <w:t>Aussage</w:t>
            </w:r>
            <w:r>
              <w:rPr>
                <w:rFonts w:cs="Times New Roman"/>
                <w:b/>
                <w:color w:val="000000"/>
                <w:szCs w:val="24"/>
                <w:lang w:eastAsia="de-DE"/>
              </w:rPr>
              <w:br/>
              <w:t>(Subjekt - Prädikat – Objekt)</w:t>
            </w:r>
          </w:p>
        </w:tc>
        <w:tc>
          <w:tcPr>
            <w:tcW w:w="894" w:type="pct"/>
            <w:vAlign w:val="center"/>
          </w:tcPr>
          <w:p>
            <w:pPr>
              <w:jc w:val="center"/>
              <w:rPr>
                <w:rFonts w:cs="Times New Roman"/>
                <w:b/>
                <w:color w:val="000000"/>
                <w:szCs w:val="24"/>
                <w:lang w:eastAsia="de-DE"/>
              </w:rPr>
            </w:pPr>
            <w:r>
              <w:rPr>
                <w:rFonts w:cs="Times New Roman"/>
                <w:b/>
                <w:color w:val="000000"/>
                <w:szCs w:val="24"/>
                <w:lang w:eastAsia="de-DE"/>
              </w:rPr>
              <w:t>Semantisch plausibel</w:t>
            </w:r>
          </w:p>
        </w:tc>
        <w:tc>
          <w:tcPr>
            <w:tcW w:w="1873" w:type="pct"/>
            <w:vAlign w:val="center"/>
          </w:tcPr>
          <w:p>
            <w:pPr>
              <w:jc w:val="center"/>
              <w:rPr>
                <w:rFonts w:cs="Times New Roman"/>
                <w:b/>
                <w:color w:val="000000"/>
                <w:szCs w:val="24"/>
                <w:lang w:eastAsia="de-DE"/>
              </w:rPr>
            </w:pPr>
            <w:r>
              <w:rPr>
                <w:rFonts w:cs="Times New Roman"/>
                <w:b/>
                <w:color w:val="000000"/>
                <w:szCs w:val="24"/>
                <w:lang w:eastAsia="de-DE"/>
              </w:rPr>
              <w:t xml:space="preserve">Selektionsrestriktion eingehalten (ausreichende </w:t>
            </w:r>
            <w:proofErr w:type="spellStart"/>
            <w:r>
              <w:rPr>
                <w:rFonts w:cs="Times New Roman"/>
                <w:b/>
                <w:color w:val="000000"/>
                <w:szCs w:val="24"/>
                <w:lang w:eastAsia="de-DE"/>
              </w:rPr>
              <w:t>Typikalität</w:t>
            </w:r>
            <w:proofErr w:type="spellEnd"/>
            <w:r>
              <w:rPr>
                <w:rFonts w:cs="Times New Roman"/>
                <w:b/>
                <w:color w:val="000000"/>
                <w:szCs w:val="24"/>
                <w:lang w:eastAsia="de-DE"/>
              </w:rPr>
              <w:t>)</w:t>
            </w:r>
          </w:p>
        </w:tc>
      </w:tr>
      <w:tr>
        <w:tc>
          <w:tcPr>
            <w:tcW w:w="2232" w:type="pct"/>
            <w:vAlign w:val="center"/>
          </w:tcPr>
          <w:p>
            <w:pPr>
              <w:rPr>
                <w:rFonts w:cs="Times New Roman"/>
                <w:color w:val="000000"/>
                <w:sz w:val="16"/>
                <w:szCs w:val="24"/>
                <w:lang w:eastAsia="de-DE"/>
              </w:rPr>
            </w:pPr>
            <w:r>
              <w:rPr>
                <w:rFonts w:cs="Times New Roman"/>
                <w:color w:val="000000"/>
                <w:szCs w:val="24"/>
                <w:lang w:eastAsia="de-DE"/>
              </w:rPr>
              <w:t>1. Mensch schluckt Süßigkeit</w:t>
            </w:r>
          </w:p>
        </w:tc>
        <w:tc>
          <w:tcPr>
            <w:tcW w:w="894" w:type="pct"/>
            <w:vAlign w:val="center"/>
          </w:tcPr>
          <w:p>
            <w:pPr>
              <w:jc w:val="center"/>
              <w:rPr>
                <w:rFonts w:cs="Times New Roman"/>
                <w:color w:val="000000"/>
                <w:sz w:val="16"/>
                <w:szCs w:val="24"/>
                <w:lang w:eastAsia="de-DE"/>
              </w:rPr>
            </w:pPr>
            <w:r>
              <w:rPr>
                <w:rFonts w:cs="Times New Roman"/>
                <w:color w:val="000000"/>
                <w:sz w:val="16"/>
                <w:szCs w:val="24"/>
                <w:lang w:eastAsia="de-DE"/>
              </w:rPr>
              <w:sym w:font="Wingdings" w:char="F0FC"/>
            </w:r>
          </w:p>
        </w:tc>
        <w:tc>
          <w:tcPr>
            <w:tcW w:w="1873" w:type="pct"/>
            <w:vAlign w:val="center"/>
          </w:tcPr>
          <w:p>
            <w:pPr>
              <w:jc w:val="center"/>
              <w:rPr>
                <w:rFonts w:cs="Times New Roman"/>
                <w:color w:val="000000"/>
                <w:sz w:val="16"/>
                <w:szCs w:val="24"/>
                <w:lang w:eastAsia="de-DE"/>
              </w:rPr>
            </w:pPr>
            <w:r>
              <w:rPr>
                <w:rFonts w:cs="Times New Roman"/>
                <w:color w:val="000000"/>
                <w:sz w:val="16"/>
                <w:szCs w:val="24"/>
                <w:lang w:eastAsia="de-DE"/>
              </w:rPr>
              <w:sym w:font="Wingdings" w:char="F0FC"/>
            </w:r>
          </w:p>
        </w:tc>
      </w:tr>
      <w:tr>
        <w:tc>
          <w:tcPr>
            <w:tcW w:w="2232" w:type="pct"/>
            <w:vAlign w:val="center"/>
          </w:tcPr>
          <w:p>
            <w:pPr>
              <w:rPr>
                <w:rFonts w:cs="Times New Roman"/>
                <w:color w:val="000000"/>
                <w:sz w:val="16"/>
                <w:szCs w:val="24"/>
                <w:lang w:eastAsia="de-DE"/>
              </w:rPr>
            </w:pPr>
            <w:r>
              <w:rPr>
                <w:rFonts w:cs="Times New Roman"/>
                <w:color w:val="000000"/>
                <w:szCs w:val="24"/>
                <w:lang w:eastAsia="de-DE"/>
              </w:rPr>
              <w:t>2. Mensch schluckt Wattebausch</w:t>
            </w:r>
          </w:p>
        </w:tc>
        <w:tc>
          <w:tcPr>
            <w:tcW w:w="894" w:type="pct"/>
            <w:vAlign w:val="center"/>
          </w:tcPr>
          <w:p>
            <w:pPr>
              <w:jc w:val="center"/>
              <w:rPr>
                <w:rFonts w:cs="Times New Roman"/>
                <w:color w:val="000000"/>
                <w:sz w:val="16"/>
                <w:szCs w:val="24"/>
                <w:lang w:eastAsia="de-DE"/>
              </w:rPr>
            </w:pPr>
            <w:r>
              <w:rPr>
                <w:rFonts w:cs="Times New Roman"/>
                <w:color w:val="000000"/>
                <w:sz w:val="16"/>
                <w:szCs w:val="24"/>
                <w:lang w:eastAsia="de-DE"/>
              </w:rPr>
              <w:sym w:font="Wingdings" w:char="F0FC"/>
            </w:r>
          </w:p>
        </w:tc>
        <w:tc>
          <w:tcPr>
            <w:tcW w:w="1873" w:type="pct"/>
            <w:vAlign w:val="center"/>
          </w:tcPr>
          <w:p>
            <w:pPr>
              <w:jc w:val="center"/>
              <w:rPr>
                <w:rFonts w:cs="Times New Roman"/>
                <w:color w:val="000000"/>
                <w:sz w:val="16"/>
                <w:szCs w:val="24"/>
                <w:lang w:eastAsia="de-DE"/>
              </w:rPr>
            </w:pPr>
            <w:r>
              <w:rPr>
                <w:rFonts w:cs="Times New Roman"/>
                <w:color w:val="000000"/>
                <w:sz w:val="16"/>
                <w:szCs w:val="24"/>
                <w:lang w:eastAsia="de-DE"/>
              </w:rPr>
              <w:t>X</w:t>
            </w:r>
          </w:p>
        </w:tc>
      </w:tr>
      <w:tr>
        <w:tc>
          <w:tcPr>
            <w:tcW w:w="2232" w:type="pct"/>
            <w:vAlign w:val="center"/>
          </w:tcPr>
          <w:p>
            <w:pPr>
              <w:rPr>
                <w:rFonts w:cs="Times New Roman"/>
                <w:color w:val="000000"/>
                <w:sz w:val="16"/>
                <w:szCs w:val="24"/>
                <w:lang w:eastAsia="de-DE"/>
              </w:rPr>
            </w:pPr>
            <w:r>
              <w:rPr>
                <w:rFonts w:cs="Times New Roman"/>
                <w:color w:val="000000"/>
                <w:szCs w:val="24"/>
                <w:lang w:eastAsia="de-DE"/>
              </w:rPr>
              <w:t>3. Mensch schluckt Tisch</w:t>
            </w:r>
          </w:p>
        </w:tc>
        <w:tc>
          <w:tcPr>
            <w:tcW w:w="894" w:type="pct"/>
            <w:vAlign w:val="center"/>
          </w:tcPr>
          <w:p>
            <w:pPr>
              <w:jc w:val="center"/>
              <w:rPr>
                <w:rFonts w:cs="Times New Roman"/>
                <w:color w:val="000000"/>
                <w:sz w:val="16"/>
                <w:szCs w:val="24"/>
                <w:lang w:eastAsia="de-DE"/>
              </w:rPr>
            </w:pPr>
            <w:r>
              <w:rPr>
                <w:rFonts w:cs="Times New Roman"/>
                <w:color w:val="000000"/>
                <w:sz w:val="16"/>
                <w:szCs w:val="24"/>
                <w:lang w:eastAsia="de-DE"/>
              </w:rPr>
              <w:t>X</w:t>
            </w:r>
          </w:p>
        </w:tc>
        <w:tc>
          <w:tcPr>
            <w:tcW w:w="1873" w:type="pct"/>
            <w:vAlign w:val="center"/>
          </w:tcPr>
          <w:p>
            <w:pPr>
              <w:keepNext/>
              <w:jc w:val="center"/>
              <w:rPr>
                <w:rFonts w:cs="Times New Roman"/>
                <w:color w:val="000000"/>
                <w:sz w:val="16"/>
                <w:szCs w:val="24"/>
                <w:lang w:eastAsia="de-DE"/>
              </w:rPr>
            </w:pPr>
            <w:r>
              <w:rPr>
                <w:rFonts w:cs="Times New Roman"/>
                <w:color w:val="000000"/>
                <w:sz w:val="16"/>
                <w:szCs w:val="24"/>
                <w:lang w:eastAsia="de-DE"/>
              </w:rPr>
              <w:t>X</w:t>
            </w:r>
          </w:p>
        </w:tc>
      </w:tr>
    </w:tbl>
    <w:p>
      <w:pPr>
        <w:pStyle w:val="Beschriftung"/>
        <w:framePr w:hSpace="141" w:wrap="around" w:vAnchor="text" w:hAnchor="page" w:x="2890" w:y="2014"/>
      </w:pPr>
      <w:bookmarkStart w:id="23" w:name="_Ref106623002"/>
      <w:bookmarkStart w:id="24" w:name="_Ref106622989"/>
      <w:bookmarkStart w:id="25" w:name="_Ref107663354"/>
      <w:r>
        <w:t xml:space="preserve">Tabelle </w:t>
      </w:r>
      <w:fldSimple w:instr=" SEQ Tabelle \* ARABIC ">
        <w:r>
          <w:rPr>
            <w:noProof/>
          </w:rPr>
          <w:t>1</w:t>
        </w:r>
      </w:fldSimple>
      <w:bookmarkEnd w:id="25"/>
      <w:r>
        <w:t xml:space="preserve"> Semantische Plausibilität und </w:t>
      </w:r>
      <w:proofErr w:type="spellStart"/>
      <w:r>
        <w:t>Typikalität</w:t>
      </w:r>
      <w:proofErr w:type="spellEnd"/>
      <w:r>
        <w:t xml:space="preserve"> von Aussagen</w:t>
      </w:r>
      <w:bookmarkEnd w:id="23"/>
      <w:bookmarkEnd w:id="24"/>
    </w:p>
    <w:p>
      <w:pPr>
        <w:jc w:val="both"/>
        <w:rPr>
          <w:rFonts w:cs="Times New Roman"/>
          <w:color w:val="000000"/>
          <w:szCs w:val="24"/>
          <w:lang w:eastAsia="de-DE"/>
        </w:rPr>
      </w:pPr>
    </w:p>
    <w:p>
      <w:pPr>
        <w:jc w:val="both"/>
        <w:rPr>
          <w:rFonts w:cs="Times New Roman"/>
          <w:color w:val="000000"/>
          <w:szCs w:val="24"/>
          <w:lang w:eastAsia="de-DE"/>
        </w:rPr>
      </w:pPr>
    </w:p>
    <w:p>
      <w:pPr>
        <w:jc w:val="both"/>
        <w:rPr>
          <w:rFonts w:cs="Times New Roman"/>
          <w:color w:val="000000"/>
          <w:sz w:val="22"/>
          <w:szCs w:val="24"/>
          <w:lang w:eastAsia="de-DE"/>
        </w:rPr>
      </w:pPr>
      <w:r>
        <w:rPr>
          <w:rFonts w:cs="Times New Roman"/>
          <w:color w:val="000000"/>
          <w:sz w:val="22"/>
          <w:szCs w:val="24"/>
          <w:lang w:eastAsia="de-DE"/>
        </w:rPr>
        <w:t xml:space="preserve">Eine automatische Generierung spezifischer Aufgaben erfordert das zu Grunde legen eines Metamodels, aus dem der Kontext der Aufgabe abgeleitet werden kann. Je nach Qualität des Metamodels und der Anwendbarkeit von kontextuellen Beschränkungen kann es zu Brüchen in der semantischen Plausibilität oder der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der generierten Aufgabe kommen </w:t>
      </w:r>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{"citationID":"bnwM61HP","properties":{"formattedCitation":"(Wang et al., 2018)","plainCitation":"(Wang et al., 2018)","noteIndex":0},"citationItems":[{"id":642,"uris":["http://zotero.org/users/9354499/items/7BUCPFE9"],"itemData":{"id":642,"type":"paper-conference","abstract":"This paper presents a new crowdsourced dataset of semantic plausibility judgments of single events such as man swallow paintball, and shows that injecting manually elicited knowledge about entity properties provides a substantial performance boost. Distributional data tells us that a man can swallow candy, but not that a man can swallow a paintball, since this is never attested. However both are physically plausible events. This paper introduces the task of semantic plausibility: recognizing plausible but possibly novel events. We present a new crowdsourced dataset of semantic plausibility judgments of single events such as man swallow paintball. Simple models based on distributional representations perform poorly on this task, despite doing well on selection preference, but injecting manually elicited knowledge about entity properties provides a substantial performance boost. Our error analysis shows that our new dataset is a great testbed for semantic plausibility models: more sophisticated knowledge representation and propagation could address many of the remaining errors.","container-title":"NAACL","DOI":"10.18653/v1/N18-2049","source":"Semantic Scholar","title":"Modeling Semantic Plausibility by Injecting World Knowledge","author":[{"family":"Wang","given":"Su"},{"family":"Durrett","given":"Greg"},{"family":"Erk","given":"Katrin"}],"issued":{"date-parts":[["2018"]]}}}],"schema":"https://github.com/citation-style-language/schema/raw/master/csl-citation.json"} </w:instrText>
      </w:r>
      <w:r>
        <w:rPr>
          <w:rFonts w:cs="Times New Roman"/>
          <w:color w:val="000000"/>
          <w:sz w:val="22"/>
          <w:szCs w:val="24"/>
          <w:lang w:eastAsia="de-DE"/>
        </w:rPr>
        <w:fldChar w:fldCharType="separate"/>
      </w:r>
      <w:r>
        <w:rPr>
          <w:rFonts w:cs="Times New Roman"/>
          <w:color w:val="000000"/>
          <w:sz w:val="22"/>
          <w:szCs w:val="24"/>
          <w:lang w:eastAsia="de-DE"/>
        </w:rPr>
        <w:t>(Wang et al., 2018)</w:t>
      </w:r>
      <w:r>
        <w:rPr>
          <w:rFonts w:cs="Times New Roman"/>
          <w:color w:val="000000"/>
          <w:sz w:val="22"/>
          <w:szCs w:val="24"/>
          <w:lang w:eastAsia="de-DE"/>
        </w:rPr>
        <w:fldChar w:fldCharType="end"/>
      </w:r>
      <w:r>
        <w:rPr>
          <w:rFonts w:cs="Times New Roman"/>
          <w:color w:val="000000"/>
          <w:sz w:val="22"/>
          <w:szCs w:val="24"/>
          <w:lang w:eastAsia="de-DE"/>
        </w:rPr>
        <w:t xml:space="preserve">. Wie in </w:t>
      </w:r>
      <w:r>
        <w:rPr>
          <w:rFonts w:cs="Times New Roman"/>
          <w:color w:val="000000"/>
          <w:sz w:val="22"/>
          <w:szCs w:val="24"/>
          <w:lang w:eastAsia="de-DE"/>
        </w:rPr>
        <w:fldChar w:fldCharType="begin"/>
      </w:r>
      <w:r>
        <w:rPr>
          <w:rFonts w:cs="Times New Roman"/>
          <w:color w:val="000000"/>
          <w:sz w:val="22"/>
          <w:szCs w:val="24"/>
          <w:lang w:eastAsia="de-DE"/>
        </w:rPr>
        <w:instrText xml:space="preserve"> REF _Ref107663354 \h </w:instrText>
      </w:r>
      <w:r>
        <w:rPr>
          <w:rFonts w:cs="Times New Roman"/>
          <w:color w:val="000000"/>
          <w:sz w:val="22"/>
          <w:szCs w:val="24"/>
          <w:lang w:eastAsia="de-DE"/>
        </w:rPr>
      </w:r>
      <w:r>
        <w:rPr>
          <w:rFonts w:cs="Times New Roman"/>
          <w:color w:val="000000"/>
          <w:sz w:val="22"/>
          <w:szCs w:val="24"/>
          <w:lang w:eastAsia="de-DE"/>
        </w:rPr>
        <w:instrText xml:space="preserve"> \* MERGEFORMAT </w:instrText>
      </w:r>
      <w:r>
        <w:rPr>
          <w:rFonts w:cs="Times New Roman"/>
          <w:color w:val="000000"/>
          <w:sz w:val="22"/>
          <w:szCs w:val="24"/>
          <w:lang w:eastAsia="de-DE"/>
        </w:rPr>
        <w:fldChar w:fldCharType="separate"/>
      </w:r>
      <w:r>
        <w:rPr>
          <w:sz w:val="22"/>
        </w:rPr>
        <w:t xml:space="preserve">Tabelle </w:t>
      </w:r>
      <w:r>
        <w:rPr>
          <w:noProof/>
          <w:sz w:val="22"/>
        </w:rPr>
        <w:t>1</w:t>
      </w:r>
      <w:r>
        <w:rPr>
          <w:rFonts w:cs="Times New Roman"/>
          <w:color w:val="000000"/>
          <w:sz w:val="22"/>
          <w:szCs w:val="24"/>
          <w:lang w:eastAsia="de-DE"/>
        </w:rPr>
        <w:fldChar w:fldCharType="end"/>
      </w:r>
      <w:r>
        <w:rPr>
          <w:rFonts w:cs="Times New Roman"/>
          <w:color w:val="000000"/>
          <w:sz w:val="22"/>
          <w:szCs w:val="24"/>
          <w:lang w:eastAsia="de-DE"/>
        </w:rPr>
        <w:t xml:space="preserve"> ersichtlich, sind die Aussagen eins und zwei zwar beide semantisch plausibel, jedoch verletzt lediglich Aussage eins nicht die Selektionsrestriktion des Verbs „schluckt“ in Kombination mit dem Sub</w:t>
      </w:r>
      <w:bookmarkStart w:id="26" w:name="_GoBack"/>
      <w:bookmarkEnd w:id="26"/>
      <w:r>
        <w:rPr>
          <w:rFonts w:cs="Times New Roman"/>
          <w:color w:val="000000"/>
          <w:sz w:val="22"/>
          <w:szCs w:val="24"/>
          <w:lang w:eastAsia="de-DE"/>
        </w:rPr>
        <w:t xml:space="preserve">jekt „Mensch“ und weist somit eine </w:t>
      </w:r>
      <w:r>
        <w:rPr>
          <w:rFonts w:cs="Times New Roman"/>
          <w:color w:val="000000"/>
          <w:sz w:val="22"/>
          <w:szCs w:val="24"/>
          <w:lang w:eastAsia="de-DE"/>
        </w:rPr>
        <w:lastRenderedPageBreak/>
        <w:t xml:space="preserve">ausreichende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auf. Gute Aufgaben müssen nicht nur semantisch plausibel sein, sondern auch eine ausreichende </w:t>
      </w:r>
      <w:proofErr w:type="spellStart"/>
      <w:r>
        <w:rPr>
          <w:rFonts w:cs="Times New Roman"/>
          <w:color w:val="000000"/>
          <w:sz w:val="22"/>
          <w:szCs w:val="24"/>
          <w:lang w:eastAsia="de-DE"/>
        </w:rPr>
        <w:t>Typikalität</w:t>
      </w:r>
      <w:proofErr w:type="spellEnd"/>
      <w:r>
        <w:rPr>
          <w:rFonts w:cs="Times New Roman"/>
          <w:color w:val="000000"/>
          <w:sz w:val="22"/>
          <w:szCs w:val="24"/>
          <w:lang w:eastAsia="de-DE"/>
        </w:rPr>
        <w:t xml:space="preserve"> aufweisen, was ihre Generierung erschwert.</w:t>
      </w:r>
    </w:p>
    <w:p>
      <w:pPr>
        <w:pStyle w:val="-WeLberschrift1-"/>
      </w:pPr>
      <w:r>
        <w:t>Umgang mit den didaktischen Herausforderungen in ALADIN II</w:t>
      </w:r>
    </w:p>
    <w:p>
      <w:pPr>
        <w:pStyle w:val="-WeLStandardtextEinzug-"/>
        <w:ind w:firstLine="0"/>
      </w:pPr>
      <w:r>
        <w:t xml:space="preserve">ALADIN II begegnet Herausforderung </w:t>
      </w:r>
      <w:r>
        <w:fldChar w:fldCharType="begin"/>
      </w:r>
      <w:r>
        <w:instrText xml:space="preserve"> REF _Ref105516447 \r \h </w:instrText>
      </w:r>
      <w:r>
        <w:fldChar w:fldCharType="separate"/>
      </w:r>
      <w:r>
        <w:t>2.1.1</w:t>
      </w:r>
      <w:r>
        <w:fldChar w:fldCharType="end"/>
      </w:r>
      <w:r>
        <w:t xml:space="preserve"> mit mehreren Strategien: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w:t>
      </w:r>
    </w:p>
    <w:p>
      <w:pPr>
        <w:pStyle w:val="-WeLStandardtext-"/>
      </w:pPr>
      <w:r>
        <w:t xml:space="preserve">ALADIN II setzt weitere Gamification-Elemente ein, um Herausforderung </w:t>
      </w:r>
      <w:r>
        <w:fldChar w:fldCharType="begin"/>
      </w:r>
      <w:r>
        <w:instrText xml:space="preserve"> REF _Ref105516530 \r \h </w:instrText>
      </w:r>
      <w:r>
        <w:fldChar w:fldCharType="separate"/>
      </w:r>
      <w:r>
        <w:t>2.1.2</w:t>
      </w:r>
      <w:r>
        <w:fldChar w:fldCharType="end"/>
      </w:r>
      <w:r>
        <w:t xml:space="preserve"> zu bewältigen: a) Abgeleitet von </w:t>
      </w:r>
      <w:proofErr w:type="spellStart"/>
      <w:r>
        <w:t>Stackoverflow</w:t>
      </w:r>
      <w:proofErr w:type="spellEnd"/>
      <w:r>
        <w:rPr>
          <w:rStyle w:val="Funotenzeichen"/>
        </w:rPr>
        <w:footnoteReference w:id="1"/>
      </w:r>
      <w:r>
        <w:t xml:space="preserve"> können Studierende Hilfegesuche stellen, für deren Lösungen andere Studierende Punkte erhalten. Mit den erworbenen Punkten können „</w:t>
      </w:r>
      <w:proofErr w:type="spellStart"/>
      <w:r>
        <w:t>Bounties</w:t>
      </w:r>
      <w:proofErr w:type="spellEnd"/>
      <w:r>
        <w:t xml:space="preserve">“ auf Hilfegesuche ausgeschrieben werden, um anderen Studierenden einen stärkeren Anreiz zur Hilfestellung zu geben. Mit steigender Punktezahl der Studierenden werden zusätzliche Privilegien freigeschaltet und „Badges“ für den Rang der Studierenden vergeben. b) ALADIN II verwendet </w:t>
      </w:r>
      <w:proofErr w:type="spellStart"/>
      <w:r>
        <w:t>Spaced</w:t>
      </w:r>
      <w:proofErr w:type="spellEnd"/>
      <w:r>
        <w:t xml:space="preserve">-Repetition-Algorithmen </w:t>
      </w:r>
      <w:r>
        <w:fldChar w:fldCharType="begin"/>
      </w:r>
      <w:r>
        <w:instrText xml:space="preserve"> ADDIN ZOTERO_ITEM CSL_CITATION {"citationID":"fz56zdNu","properties":{"formattedCitation":"(Schimanke et al., 2015)","plainCitation":"(Schimanke et al., 2015)","noteIndex":0},"citationItems":[{"id":645,"uris":["http://zotero.org/users/9354499/items/LTGGVTGW"],"itemData":{"id":645,"type":"book","abstract":"Forgetting is one of the common problems in learning. While students might grasp an idea when it is being presented in a lecture they might only vaguely remember it two weeks later and they might have completely forgotten it when the final exams are due. One way out of this is concentrated learning right before the test, also called cramming, massing or bulimic learning in order to highlight the fact that knowledge is only retained for a very brief time. Another approach is spaced repetition learning in which learning items are presented in growing intervals in such a way that the students never really forget and that knowledge is reinforced with each repetition. This paper presents a study in which learning items were incorporated into a mobile learning game in order to make the spaced repetition approach as transparent as possible to the students. The game was used in a database lecture and students reported good usability and learning efficiency.","source":"ResearchGate","title":"Using a Spaced-Repetition-Based Mobile Learning Game in Database Lectures","author":[{"family":"Schimanke","given":"Florian"},{"family":"Mertens","given":"Robert"},{"family":"Hallay","given":"Florian"},{"family":"Enders","given":"Arkadij"},{"family":"Vornberger","given":"Oliver"}],"issued":{"date-parts":[["2015",10,21]]}}}],"schema":"https://github.com/citation-style-language/schema/raw/master/csl-citation.json"} </w:instrText>
      </w:r>
      <w:r>
        <w:fldChar w:fldCharType="separate"/>
      </w:r>
      <w:r>
        <w:rPr>
          <w:rFonts w:cs="Arial"/>
        </w:rPr>
        <w:t>(Schimanke et al., 2015)</w:t>
      </w:r>
      <w:r>
        <w:fldChar w:fldCharType="end"/>
      </w:r>
      <w:r>
        <w:t>, um Studierende zu ermutigen, Lernstrategien wie „</w:t>
      </w:r>
      <w:proofErr w:type="spellStart"/>
      <w:r>
        <w:t>Bulimielernen</w:t>
      </w:r>
      <w:proofErr w:type="spellEnd"/>
      <w:r>
        <w:t xml:space="preserve">“ zu vermeiden. Stattdessen werden die Studierenden gehalten, in regelmäßigen Zyklen Aufgaben zu wiederholen, um die aufgebauten Kompetenzen langfristig zu sichern. ALADIN II </w:t>
      </w:r>
      <w:proofErr w:type="spellStart"/>
      <w:r>
        <w:t>incentiviert</w:t>
      </w:r>
      <w:proofErr w:type="spellEnd"/>
      <w:r>
        <w:t xml:space="preserve"> regelmäßiges Üben durch eine Kopplung weiterer Gamification-Elemente, wie z.  B. einer zusätzlichen Punktebelohnung für das Lösen einer Serie von Aufgaben. Der Einsatz von </w:t>
      </w:r>
      <w:proofErr w:type="spellStart"/>
      <w:r>
        <w:t>Spaced</w:t>
      </w:r>
      <w:proofErr w:type="spellEnd"/>
      <w:r>
        <w:t>-Repetition-Algorithmen erlaubt zudem eine automatische Anpassung des Schwierigkeitsgrades der generierten Aufgaben an das Niveau der Studierenden, basierend auf ihrer Nutzungshistorie.</w:t>
      </w:r>
    </w:p>
    <w:p>
      <w:pPr>
        <w:pStyle w:val="-WeLStandardtextEinzug-"/>
      </w:pPr>
      <w:r>
        <w:t xml:space="preserve">ALADIN II begegnet Herausforderung </w:t>
      </w:r>
      <w:r>
        <w:fldChar w:fldCharType="begin"/>
      </w:r>
      <w:r>
        <w:instrText xml:space="preserve"> REF _Ref107647464 \r \h </w:instrText>
      </w:r>
      <w:r>
        <w:fldChar w:fldCharType="separate"/>
      </w:r>
      <w:r>
        <w:t>2.2.2</w:t>
      </w:r>
      <w:r>
        <w:fldChar w:fldCharType="end"/>
      </w:r>
      <w:r>
        <w:t xml:space="preserve"> in Teilen, indem es neue Aufgabentypen implementiert und damit seinen Anwendungsbereich vergrößert.</w:t>
      </w:r>
    </w:p>
    <w:p>
      <w:pPr>
        <w:pStyle w:val="-WeLStandardtextEinzug-"/>
      </w:pPr>
      <w:r>
        <w:t xml:space="preserve">Um den Herausforderungen aus den Abschnitten </w:t>
      </w:r>
      <w:r>
        <w:fldChar w:fldCharType="begin"/>
      </w:r>
      <w:r>
        <w:instrText xml:space="preserve"> REF _Ref107663106 \r \h </w:instrText>
      </w:r>
      <w:r>
        <w:fldChar w:fldCharType="separate"/>
      </w:r>
      <w:r>
        <w:t>2.3</w:t>
      </w:r>
      <w:r>
        <w:fldChar w:fldCharType="end"/>
      </w:r>
      <w:r>
        <w:t xml:space="preserve"> bis </w:t>
      </w:r>
      <w:r>
        <w:fldChar w:fldCharType="begin"/>
      </w:r>
      <w:r>
        <w:instrText xml:space="preserve"> REF _Ref107647492 \r \h </w:instrText>
      </w:r>
      <w:r>
        <w:fldChar w:fldCharType="separate"/>
      </w:r>
      <w:r>
        <w:t>2.5</w:t>
      </w:r>
      <w:r>
        <w:fldChar w:fldCharType="end"/>
      </w:r>
      <w:r>
        <w:t xml:space="preserve"> zu begegnen, ermöglicht ALADIN II, mittels dem 4R-Prinzip das Aufzeichnen (</w:t>
      </w:r>
      <w:proofErr w:type="spellStart"/>
      <w:r>
        <w:t>Record</w:t>
      </w:r>
      <w:proofErr w:type="spellEnd"/>
      <w:r>
        <w:t>), Weiterleiten (Redirect), Wiedergeben (Replay) und Wiederaufnehmen (</w:t>
      </w:r>
      <w:proofErr w:type="spellStart"/>
      <w:r>
        <w:t>Resume</w:t>
      </w:r>
      <w:proofErr w:type="spellEnd"/>
      <w:r>
        <w:t>) der Lösungsversuche bzw. der Interaktionen der Studierenden mit einer interaktiven Aufgabe. Das 4R-Prinzip erlaubt Studierenden somit, ihre Lösungsversuche aufzuzeichnen, um diese zu einem späteren Zeitpunkt fortzuführen, und auch, ihre Lösungsversuche an andere Studierende oder an Lehrende weiterzuleiten und sie somit mit ihnen zu teilen, um Feedback von ihnen einzuholen.</w:t>
      </w:r>
    </w:p>
    <w:p>
      <w:pPr>
        <w:pStyle w:val="-WeLStandardtextEinzug-"/>
      </w:pPr>
      <w:r>
        <w:lastRenderedPageBreak/>
        <w:t xml:space="preserve">ALADIN II wertet die Aufzeichnung der Lösungsversuche aus und erstellt automatisch Statistiken und Visualisierungen, die Einblicke in die Lösungsversuche sowohl in aggregierter Form als auch anonymisiert in einzelne Lösungsversuche gewähren. ALADIN II verwendet zudem Methoden des </w:t>
      </w:r>
      <w:proofErr w:type="spellStart"/>
      <w:r>
        <w:t>Process</w:t>
      </w:r>
      <w:proofErr w:type="spellEnd"/>
      <w:r>
        <w:t xml:space="preserve"> Mining um Verklemmungen in den Lösungsversuchen der Studierenden sichtbar zu machen </w:t>
      </w:r>
      <w:r>
        <w:fldChar w:fldCharType="begin"/>
      </w:r>
      <w:r>
        <w:instrText xml:space="preserve"> ADDIN ZOTERO_ITEM CSL_CITATION {"citationID":"kZyq5Cgo","properties":{"formattedCitation":"(Hakim et al., 2019)","plainCitation":"(Hakim et al., 2019)","noteIndex":0},"citationItems":[{"id":655,"uris":["http://zotero.org/users/9354499/items/R7EIQ7ZU"],"itemData":{"id":655,"type":"article-journal","abstract":"In Learning Management System (LMS) setting, event log is a historical record which contains a series of user activities that recorded on the system. Process mining is applied to discover e-Learning usage patterns. In this research, heuristic review algorithm is used to create a process model to do analysis. The process mining tools that used are Disco and ProM, their work will be finding the process model and evaluating it. The object of research are two different courses, System Defined Network (SDN) and Basic Telecommunication System (BTS) in different levels (Diploma and Bachelor). In order to know the pattern of using e-Learning at different level, Heuristic Miner can model the event log into the process model well. The measurement of fitness value for SDN and BTS are 0.974 and 0.986. Moreover, SDN course tends to access assignment module as many as 938 times. While BTS course tends to access Forum module with the highest frequency is 639 times.","container-title":"Journal of Physics: Conference Series","DOI":"10.1088/1742-6596/1193/1/012020","ISSN":"1742-6596","journalAbbreviation":"J. Phys.: Conf. Ser.","language":"en","note":"publisher: IOP Publishing","page":"012020","source":"Institute of Physics","title":"E-learning process analysis to determining student learning patterns using process mining approach","volume":"1193","author":[{"family":"Hakim","given":"A. R."},{"family":"Hasibuan","given":"M. A."},{"family":"Andreswari","given":"R."}],"issued":{"date-parts":[["2019",4]]}}}],"schema":"https://github.com/citation-style-language/schema/raw/master/csl-citation.json"} </w:instrText>
      </w:r>
      <w:r>
        <w:fldChar w:fldCharType="separate"/>
      </w:r>
      <w:r>
        <w:rPr>
          <w:rFonts w:cs="Arial"/>
        </w:rPr>
        <w:t>(Hakim et al., 2019)</w:t>
      </w:r>
      <w:r>
        <w:fldChar w:fldCharType="end"/>
      </w:r>
      <w:r>
        <w:t>.</w:t>
      </w:r>
    </w:p>
    <w:p>
      <w:pPr>
        <w:pStyle w:val="-WeLStandardtextEinzug-"/>
      </w:pPr>
      <w:r>
        <w:t xml:space="preserve">ALADIN II begegnet den in den Abschnitten </w:t>
      </w:r>
      <w:r>
        <w:fldChar w:fldCharType="begin"/>
      </w:r>
      <w:r>
        <w:instrText xml:space="preserve"> REF _Ref107647511 \r \h </w:instrText>
      </w:r>
      <w:r>
        <w:fldChar w:fldCharType="separate"/>
      </w:r>
      <w:r>
        <w:t>2.2</w:t>
      </w:r>
      <w:r>
        <w:fldChar w:fldCharType="end"/>
      </w:r>
      <w:r>
        <w:t xml:space="preserve">, </w:t>
      </w:r>
      <w:r>
        <w:fldChar w:fldCharType="begin"/>
      </w:r>
      <w:r>
        <w:instrText xml:space="preserve"> REF _Ref106720166 \r \h </w:instrText>
      </w:r>
      <w:r>
        <w:fldChar w:fldCharType="separate"/>
      </w:r>
      <w:r>
        <w:t>2.6</w:t>
      </w:r>
      <w:r>
        <w:fldChar w:fldCharType="end"/>
      </w:r>
      <w:r>
        <w:t xml:space="preserve"> und </w:t>
      </w:r>
      <w:r>
        <w:fldChar w:fldCharType="begin"/>
      </w:r>
      <w:r>
        <w:instrText xml:space="preserve"> REF _Ref105519118 \r \h </w:instrText>
      </w:r>
      <w:r>
        <w:fldChar w:fldCharType="separate"/>
      </w:r>
      <w:r>
        <w:t>2.7</w:t>
      </w:r>
      <w:r>
        <w:fldChar w:fldCharType="end"/>
      </w:r>
      <w:r>
        <w:t xml:space="preserve"> beschriebenen Herausforderungen aufgrund ihrer Komplexität noch nicht unmittelbar oder nur in Teilen. Mögliche ergänzende Lösungsvorschläge unterbreitet Kapitel </w:t>
      </w:r>
      <w:r>
        <w:fldChar w:fldCharType="begin"/>
      </w:r>
      <w:r>
        <w:instrText xml:space="preserve"> REF _Ref106720191 \r \h </w:instrText>
      </w:r>
      <w:r>
        <w:fldChar w:fldCharType="separate"/>
      </w:r>
      <w:r>
        <w:t>5</w:t>
      </w:r>
      <w:r>
        <w:fldChar w:fldCharType="end"/>
      </w:r>
      <w:r>
        <w:t>.</w:t>
      </w:r>
    </w:p>
    <w:p>
      <w:pPr>
        <w:pStyle w:val="-WeLberschrift1-"/>
      </w:pPr>
      <w:r>
        <w:t xml:space="preserve">Aufgabentypen und </w:t>
      </w:r>
      <w:bookmarkStart w:id="27" w:name="_Hlk106787295"/>
      <w:r>
        <w:t>fachliche Einsatzgebiete von ALADIN und ALADIN II</w:t>
      </w:r>
      <w:bookmarkEnd w:id="27"/>
    </w:p>
    <w:p>
      <w:pPr>
        <w:pStyle w:val="-WeLberschrift2-"/>
      </w:pPr>
      <w:r>
        <w:t>Von ALADIN und ALADIN II unterst</w:t>
      </w:r>
      <w:r>
        <w:rPr>
          <w:rFonts w:hint="eastAsia"/>
        </w:rPr>
        <w:t>ü</w:t>
      </w:r>
      <w:r>
        <w:t>tzte Aufgabentypen</w:t>
      </w:r>
    </w:p>
    <w:p>
      <w:pPr>
        <w:pStyle w:val="-WeLStandardtext-"/>
        <w:rPr>
          <w:rStyle w:val="fontstyle01"/>
        </w:rPr>
      </w:pPr>
      <w:r>
        <w:rPr>
          <w:rStyle w:val="fontstyle01"/>
        </w:rPr>
        <w:t>ALADIN umfasst bereits die Aufgabentypen „Stücklistenauflösung“, „SQL Abfragen“, „Interpolationsverfahren zur Georeferenzierung“, und „Finden kürzester Pfade“. ALADIN II ergänzt ALADIN um die Aufgabentypen „</w:t>
      </w:r>
      <w:proofErr w:type="spellStart"/>
      <w:r>
        <w:rPr>
          <w:rStyle w:val="fontstyle01"/>
        </w:rPr>
        <w:t>Spatial</w:t>
      </w:r>
      <w:proofErr w:type="spellEnd"/>
      <w:r>
        <w:rPr>
          <w:rStyle w:val="fontstyle01"/>
        </w:rPr>
        <w:t xml:space="preserve"> SQL-Abfragen“, „Datenfluss-, ERM- und UML-Modellierung“ und „Terminierung und Netzplantechniken“. Die Aufgabentypen „Stücklistenauflösung“ und „SQL Abfragen“ stellen </w:t>
      </w:r>
      <w:r>
        <w:rPr>
          <w:rStyle w:val="fontstyle01"/>
        </w:rPr>
        <w:fldChar w:fldCharType="begin"/>
      </w:r>
      <w:r>
        <w:rPr>
          <w:rStyle w:val="fontstyle01"/>
        </w:rPr>
        <w:instrText xml:space="preserve"> ADDIN ZOTERO_ITEM CSL_CITATION {"citationID":"djuHTjIK","properties":{"formattedCitation":"(Christ, Paul et al., 2022)","plainCitation":"(Christ, Paul et al., 2022)","noteIndex":0},"citationItems":[{"id":657,"uris":["http://zotero.org/users/9354499/items/8R7GRG3H"],"itemData":{"id":657,"type":"paper-conference","abstract":"Das Erlernen von F</w:instrText>
      </w:r>
      <w:r>
        <w:rPr>
          <w:rStyle w:val="fontstyle01"/>
          <w:rFonts w:hint="eastAsia"/>
        </w:rPr>
        <w:instrText>ä</w:instrText>
      </w:r>
      <w:r>
        <w:rPr>
          <w:rStyle w:val="fontstyle01"/>
        </w:rPr>
        <w:instrText>higkeiten zur Modellbildung ist eine grundlegende Zielstellung in\nvielen Studieng</w:instrText>
      </w:r>
      <w:r>
        <w:rPr>
          <w:rStyle w:val="fontstyle01"/>
          <w:rFonts w:hint="eastAsia"/>
        </w:rPr>
        <w:instrText>ä</w:instrText>
      </w:r>
      <w:r>
        <w:rPr>
          <w:rStyle w:val="fontstyle01"/>
        </w:rPr>
        <w:instrText>ngen. Insbesondere in der Informatik und angrenzenden Disziplinen lassen sich\nviele Modellierungsaufgaben mittels Graphen repr</w:instrText>
      </w:r>
      <w:r>
        <w:rPr>
          <w:rStyle w:val="fontstyle01"/>
          <w:rFonts w:hint="eastAsia"/>
        </w:rPr>
        <w:instrText>ä</w:instrText>
      </w:r>
      <w:r>
        <w:rPr>
          <w:rStyle w:val="fontstyle01"/>
        </w:rPr>
        <w:instrText>sentieren, was das computergest</w:instrText>
      </w:r>
      <w:r>
        <w:rPr>
          <w:rStyle w:val="fontstyle01"/>
          <w:rFonts w:hint="eastAsia"/>
        </w:rPr>
        <w:instrText>ü</w:instrText>
      </w:r>
      <w:r>
        <w:rPr>
          <w:rStyle w:val="fontstyle01"/>
        </w:rPr>
        <w:instrText>tzte Generieren\nsolcher Graphen und entsprechender Aufgaben und L</w:instrText>
      </w:r>
      <w:r>
        <w:rPr>
          <w:rStyle w:val="fontstyle01"/>
          <w:rFonts w:hint="eastAsia"/>
        </w:rPr>
        <w:instrText>ö</w:instrText>
      </w:r>
      <w:r>
        <w:rPr>
          <w:rStyle w:val="fontstyle01"/>
        </w:rPr>
        <w:instrText>sung(shilf)en auf Grundlage bestehender Graphenalgorithmen erlaubt. Dieser Beitrag stellt das Framework ALADIN vor, welches graphenbasierte\nModelle und Aufgaben f</w:instrText>
      </w:r>
      <w:r>
        <w:rPr>
          <w:rStyle w:val="fontstyle01"/>
          <w:rFonts w:hint="eastAsia"/>
        </w:rPr>
        <w:instrText>ü</w:instrText>
      </w:r>
      <w:r>
        <w:rPr>
          <w:rStyle w:val="fontstyle01"/>
        </w:rPr>
        <w:instrText>r Probleme aus verschiedenen Fachbereichen generiert und Studenten bei der\nL</w:instrText>
      </w:r>
      <w:r>
        <w:rPr>
          <w:rStyle w:val="fontstyle01"/>
          <w:rFonts w:hint="eastAsia"/>
        </w:rPr>
        <w:instrText>ö</w:instrText>
      </w:r>
      <w:r>
        <w:rPr>
          <w:rStyle w:val="fontstyle01"/>
        </w:rPr>
        <w:instrText>sung der Probleme unterst</w:instrText>
      </w:r>
      <w:r>
        <w:rPr>
          <w:rStyle w:val="fontstyle01"/>
          <w:rFonts w:hint="eastAsia"/>
        </w:rPr>
        <w:instrText>ü</w:instrText>
      </w:r>
      <w:r>
        <w:rPr>
          <w:rStyle w:val="fontstyle01"/>
        </w:rPr>
        <w:instrText>tzt. Die Generierung erfolgt parametrisiert, um dem Anforderungsprofil\nder Bearbeiter zu entsprechen. ALADIN erm</w:instrText>
      </w:r>
      <w:r>
        <w:rPr>
          <w:rStyle w:val="fontstyle01"/>
          <w:rFonts w:hint="eastAsia"/>
        </w:rPr>
        <w:instrText>ö</w:instrText>
      </w:r>
      <w:r>
        <w:rPr>
          <w:rStyle w:val="fontstyle01"/>
        </w:rPr>
        <w:instrText>glicht eine zeit- und ortsunabh</w:instrText>
      </w:r>
      <w:r>
        <w:rPr>
          <w:rStyle w:val="fontstyle01"/>
          <w:rFonts w:hint="eastAsia"/>
        </w:rPr>
        <w:instrText>ä</w:instrText>
      </w:r>
      <w:r>
        <w:rPr>
          <w:rStyle w:val="fontstyle01"/>
        </w:rPr>
        <w:instrText xml:space="preserve">ngige Bearbeitung\nvon </w:instrText>
      </w:r>
      <w:r>
        <w:rPr>
          <w:rStyle w:val="fontstyle01"/>
          <w:rFonts w:hint="eastAsia"/>
        </w:rPr>
        <w:instrText>Ü</w:instrText>
      </w:r>
      <w:r>
        <w:rPr>
          <w:rStyle w:val="fontstyle01"/>
        </w:rPr>
        <w:instrText>bungsaufgaben. Zudem pr</w:instrText>
      </w:r>
      <w:r>
        <w:rPr>
          <w:rStyle w:val="fontstyle01"/>
          <w:rFonts w:hint="eastAsia"/>
        </w:rPr>
        <w:instrText>ü</w:instrText>
      </w:r>
      <w:r>
        <w:rPr>
          <w:rStyle w:val="fontstyle01"/>
        </w:rPr>
        <w:instrText>ft ALADIN die L</w:instrText>
      </w:r>
      <w:r>
        <w:rPr>
          <w:rStyle w:val="fontstyle01"/>
          <w:rFonts w:hint="eastAsia"/>
        </w:rPr>
        <w:instrText>ö</w:instrText>
      </w:r>
      <w:r>
        <w:rPr>
          <w:rStyle w:val="fontstyle01"/>
        </w:rPr>
        <w:instrText>sungen direkt auf Korrektheit, ohne Lehrpersonal zu binden. Aufzeichnungs- und Wiedergabefunktionalit</w:instrText>
      </w:r>
      <w:r>
        <w:rPr>
          <w:rStyle w:val="fontstyle01"/>
          <w:rFonts w:hint="eastAsia"/>
        </w:rPr>
        <w:instrText>ä</w:instrText>
      </w:r>
      <w:r>
        <w:rPr>
          <w:rStyle w:val="fontstyle01"/>
        </w:rPr>
        <w:instrText>t erh</w:instrText>
      </w:r>
      <w:r>
        <w:rPr>
          <w:rStyle w:val="fontstyle01"/>
          <w:rFonts w:hint="eastAsia"/>
        </w:rPr>
        <w:instrText>ö</w:instrText>
      </w:r>
      <w:r>
        <w:rPr>
          <w:rStyle w:val="fontstyle01"/>
        </w:rPr>
        <w:instrText>ht den Nutzen von ALADIN in\nBlended-Learning-Szenarien.","container-title":"Workshop zur Modellierung in der Hochschulbildung (MoHoL 2022) co-located with Modellierung 2022, Hamburg, Germany","event-place":"Hamburg","language":"deutsch","publisher":"Gesellschaft f</w:instrText>
      </w:r>
      <w:r>
        <w:rPr>
          <w:rStyle w:val="fontstyle01"/>
          <w:rFonts w:hint="eastAsia"/>
        </w:rPr>
        <w:instrText>ü</w:instrText>
      </w:r>
      <w:r>
        <w:rPr>
          <w:rStyle w:val="fontstyle01"/>
        </w:rPr>
        <w:instrText xml:space="preserve">r Informatik e.V.","publisher-place":"Hamburg","title":"ALADIN </w:instrText>
      </w:r>
      <w:r>
        <w:rPr>
          <w:rStyle w:val="fontstyle01"/>
          <w:rFonts w:hint="eastAsia"/>
        </w:rPr>
        <w:instrText>–</w:instrText>
      </w:r>
      <w:r>
        <w:rPr>
          <w:rStyle w:val="fontstyle01"/>
        </w:rPr>
        <w:instrText xml:space="preserve"> Generator f</w:instrText>
      </w:r>
      <w:r>
        <w:rPr>
          <w:rStyle w:val="fontstyle01"/>
          <w:rFonts w:hint="eastAsia"/>
        </w:rPr>
        <w:instrText>ü</w:instrText>
      </w:r>
      <w:r>
        <w:rPr>
          <w:rStyle w:val="fontstyle01"/>
        </w:rPr>
        <w:instrText>r Aufgaben und L</w:instrText>
      </w:r>
      <w:r>
        <w:rPr>
          <w:rStyle w:val="fontstyle01"/>
          <w:rFonts w:hint="eastAsia"/>
        </w:rPr>
        <w:instrText>ö</w:instrText>
      </w:r>
      <w:r>
        <w:rPr>
          <w:rStyle w:val="fontstyle01"/>
        </w:rPr>
        <w:instrText xml:space="preserve">sung(shilf)en aus der Informatik und angrenzenden Disziplinen","author":[{"literal":"Christ, Paul"},{"literal":"Laue, Ralf"},{"literal":"Munkelt, Torsten"}],"issued":{"date-parts":[["2022"]]}}}],"schema":"https://github.com/citation-style-language/schema/raw/master/csl-citation.json"} </w:instrText>
      </w:r>
      <w:r>
        <w:rPr>
          <w:rStyle w:val="fontstyle01"/>
        </w:rPr>
        <w:fldChar w:fldCharType="separate"/>
      </w:r>
      <w:r>
        <w:rPr>
          <w:rFonts w:ascii="ArialMT" w:hAnsi="ArialMT"/>
        </w:rPr>
        <w:t>(Christ, Paul et al., 2022)</w:t>
      </w:r>
      <w:r>
        <w:rPr>
          <w:rStyle w:val="fontstyle01"/>
        </w:rPr>
        <w:fldChar w:fldCharType="end"/>
      </w:r>
      <w:r>
        <w:rPr>
          <w:rStyle w:val="fontstyle01"/>
        </w:rPr>
        <w:t xml:space="preserve"> bereits kurz vor. Im Folgenden wird exemplarisch ein weiterer Aufgabentyp „Terminierung und Netzplantechniken“ vorgestellt:</w:t>
      </w:r>
    </w:p>
    <w:p>
      <w:pPr>
        <w:pStyle w:val="-WeLberschrift2-"/>
      </w:pPr>
      <w:r>
        <w:t>Exemplarische Vorstellung des Aufgabentyps „Terminierung und Netzplantechniken“</w:t>
      </w:r>
    </w:p>
    <w:p>
      <w:pPr>
        <w:pStyle w:val="-WeLStandardtextEinzug-"/>
        <w:ind w:firstLine="0"/>
      </w:pPr>
      <w:r>
        <w:t xml:space="preserve">Bei der Terminplanung kann hinsichtlich ihres Zwecks (produktionsorientiert oder projektorientiert), der Terminierungsrichtung (progressiv oder retrograd), und der Darstellungsmethode (Terminliste, Balkenplan, Netzplan etc.) unterschieden werden </w:t>
      </w:r>
      <w:r>
        <w:fldChar w:fldCharType="begin"/>
      </w:r>
      <w:r>
        <w:instrText xml:space="preserve"> ADDIN ZOTERO_ITEM CSL_CITATION {"citationID":"bbiongDR","properties":{"formattedCitation":"(Bielefeld, 2017)","plainCitation":"(Bielefeld, 2017)","noteIndex":0},"citationItems":[{"id":666,"uris":["http://zotero.org/users/9354499/items/DHEV3DVW"],"itemData":{"id":666,"type":"book","abstract":"Aufgrund von engen Zeitvorgaben und stark vernetzten Abl&amp;#228;ufen im Planungs- und Bauprozess ist die Terminplanung eine wichtige Voraussetzung f&amp;#252;r die erfolgreiche Projektdurchf&amp;#252;hrung. Architekten sind in der Pflicht, alle Beteiligten zielorientiert zu steuern und deren Leistungen zum richtigen Zeitpunkt abzurufen. Dabei ist eine konsequente und an die Arbeitsabl&amp;#228;ufe angepasste Planung der Termine ein notwendiges Arbeitsinstrument, um in der t&amp;#228;glichen Arbeit die Komplexit&amp;#228;t eines Bauprojektes steuern und &amp;#252;berwachen zu k&amp;#246;nnen. Themen: Organisation des Planungs- und Bauablauf Grundlagen der Terminplanung Zweckorientierte Darstellungsarten und -tiefen Aufstellen eines Terminplans Nutzung von Terminpl&amp;#228;nen in der Praxis","ISBN":"978-3-0356-1264-6","language":"de","note":"DOI: 10.1515/9783035612646\ncontainer-title: Basics Terminplanung","publisher":"Birkhäuser","source":"www.degruyter.com","title":"Basics Terminplanung","URL":"https://www.degruyter.com/document/doi/10.1515/9783035612646/html?lang=de","author":[{"family":"Bielefeld","given":"Bert"}],"accessed":{"date-parts":[["2022",6,21]]},"issued":{"date-parts":[["2017",5,22]]}}}],"schema":"https://github.com/citation-style-language/schema/raw/master/csl-citation.json"} </w:instrText>
      </w:r>
      <w:r>
        <w:fldChar w:fldCharType="separate"/>
      </w:r>
      <w:r>
        <w:rPr>
          <w:rFonts w:cs="Arial"/>
        </w:rPr>
        <w:t>(Bielefeld, 2017)</w:t>
      </w:r>
      <w:r>
        <w:fldChar w:fldCharType="end"/>
      </w:r>
      <w:r>
        <w:t xml:space="preserve">. Herkömmlich erfordert die Unterstützung dieser unterschiedlicher Terminplanungsarten die Entwicklung eigenständiger Systeme </w:t>
      </w:r>
      <w:r>
        <w:fldChar w:fldCharType="begin"/>
      </w:r>
      <w:r>
        <w:instrText xml:space="preserve"> ADDIN ZOTERO_ITEM CSL_CITATION {"citationID":"Ereu03lI","properties":{"formattedCitation":"(Siepermann et al., 2013)","plainCitation":"(Siepermann et al., 2013)","noteIndex":0},"citationItems":[{"id":664,"uris":["http://zotero.org/users/9354499/items/KVRRLDAL"],"itemData":{"id":664,"type":"paper-conference","abstract":"Digital Library","event":"15th International Conference on Enterprise Information Systems","ISBN":"978-989-8565-60-0","page":"435-442","source":"www.scitepress.org","title":"Electronic Exercises for the Metra Potential Method","URL":"https://www.scitepress.org/Link.aspx?doi=10.5220/0004421504350442","author":[{"family":"Siepermann","given":"Markus"},{"family":"Siepermann","given":"Christoph"},{"family":"Lackes","given":"Richard"}],"accessed":{"date-parts":[["2022",6,20]]},"issued":{"date-parts":[["2013"]]}}}],"schema":"https://github.com/citation-style-language/schema/raw/master/csl-citation.json"} </w:instrText>
      </w:r>
      <w:r>
        <w:fldChar w:fldCharType="separate"/>
      </w:r>
      <w:r>
        <w:rPr>
          <w:rFonts w:cs="Arial"/>
        </w:rPr>
        <w:t>(Siepermann et al., 2013)</w:t>
      </w:r>
      <w:r>
        <w:fldChar w:fldCharType="end"/>
      </w:r>
      <w:r>
        <w:t>. ALADIN hingegen generiert Aufgaben unterschiedlicher Terminplanungsarten mittels nur eines Algorithmus, da es den Algorithmus zur Generierung der den Aufgaben zugrundeliegenden Datenstruktur, die der Terminplanungsart zugehörigen Darstellungsformen und die jeweiligen Terminplanungsalgorithmen voneinander trennt. Neben der Implementation des Generierungsalgorithmus ist lediglich die deklarative Konfiguration der interaktiven grafischen Bedienelemente zur Modellierung der Darstellungs- und Lösungsmethode erforderlich.</w:t>
      </w:r>
    </w:p>
    <w:p>
      <w:pPr>
        <w:pStyle w:val="-WeLStandardtextEinzug-"/>
      </w:pPr>
      <w:r>
        <w:t xml:space="preserve">ALADIN II implementiert einen Algorithmus zur Generierung eines zufälligen Graphen, bestehend aus Vorgängen als Knoten mit den Attributen Dauer, Frühester Anfangszeitpunkt (FAZ), Frühester Endzeitpunkt (FEZ), Spätester Endzeitpunkt (SEZ), Spätester Anfangszeitpunkt (SAZ), Gesamtpuffer (GP) und freier Puffer (FP) und Anordnungsbeziehungen als Kanten mit den möglichen Ausprägungen Ende-Anfang (EA), Anfang-Anfang (AA), Anfang-Ende (AE) und Ende-Ende </w:t>
      </w:r>
      <w:r>
        <w:lastRenderedPageBreak/>
        <w:t>(EE). Der generierte Graph wird anschließend vorwärts- und rückwärtsterminiert, um die Pufferzeiten und ggf. die kritischen Pfade zu bestimmen.</w:t>
      </w:r>
    </w:p>
    <w:p>
      <w:pPr>
        <w:pStyle w:val="-WeLStandardtextEinzug-"/>
      </w:pPr>
      <w:r>
        <w:t>Der Algorithmus erlaubt die Parametrisierung der Intervalle möglicher Werte für Knotenattribute, der möglichen Anordnungsbeziehungen zwischen den Knoten, der Knotenanzahl und der Knotengrade, um eine benutzerspezifische Fokussierung auf bestimmte Terminplanungsaspekte und eine Anpassung der Aufgabenkomplexität zu ermöglichen.</w:t>
      </w:r>
    </w:p>
    <w:p>
      <w:pPr>
        <w:pStyle w:val="-WeLStandardtextEinzug-"/>
      </w:pPr>
      <w:r>
        <w:t>Weiterhin implementiert ALADIN II die benötigten Bedienelemente zur Modellierung von Aufgaben der unterschiedlichen Darstellungsformen der Terminplanung: die manuelle Konstruktion von Graphen einer definierten Form durch den Nutzer, die manuelle Beschriftung von Knoten und Kanten des konstruierten Graphen und die Manipulation eines Balkendiagramms anhand von Einfüge- und Löschoperationen.</w:t>
      </w:r>
    </w:p>
    <w:p>
      <w:pPr>
        <w:pStyle w:val="-WeLStandardtextEinzug-"/>
      </w:pPr>
      <w:r>
        <w:t xml:space="preserve">ALADIN II unterstützt im Aufgabentyp „Terminierung und Netzplantechniken“ folgende Lösungs- und Darstellungsverfahren: Gantt-Diagramm, Critical-Path-Methode (CPM), Metra-Potential-Methode (MPM) und </w:t>
      </w:r>
      <w:proofErr w:type="spellStart"/>
      <w:r>
        <w:t>Program</w:t>
      </w:r>
      <w:proofErr w:type="spellEnd"/>
      <w:r>
        <w:t xml:space="preserve"> Evaluation Research Task (PERT).</w:t>
      </w:r>
    </w:p>
    <w:p>
      <w:pPr>
        <w:pStyle w:val="-WeLberschrift2-"/>
      </w:pPr>
      <w:r>
        <w:t>Fachliche Einsatzgebiete von ALADIN und ALADIN II</w:t>
      </w:r>
    </w:p>
    <w:p>
      <w:pPr>
        <w:pStyle w:val="-WeLStandardtext-"/>
        <w:rPr>
          <w:rFonts w:ascii="ArialMT" w:hAnsi="ArialMT"/>
          <w:szCs w:val="22"/>
        </w:rPr>
      </w:pPr>
      <w:r>
        <w:rPr>
          <w:rStyle w:val="fontstyle01"/>
        </w:rPr>
        <w:t>ALADIN bedient beispielsweise die Studiengänge Wirtschaftsinformatik, Betriebswirtschaftslehre, Wirtschaftsingenieurwesen und Geoinformatik und eignet sich für den Einsatz in den Modulen Betriebliche Informationssysteme, Grundlagen der Wirtschaftsinformatik, Produktionswirtschaft, Geoinformationssysteme und Datenbanksysteme. ALADIN II erlaubt den Einsatz unter anderem in den Modulen Geschäftsprozessmodellierung, Geodatenmanagement und Projektmanagement.</w:t>
      </w:r>
    </w:p>
    <w:p>
      <w:pPr>
        <w:pStyle w:val="-WeLberschrift1-"/>
      </w:pPr>
      <w:bookmarkStart w:id="28" w:name="_Ref106720191"/>
      <w:r>
        <w:t>Zusammenfassung und Ausblick</w:t>
      </w:r>
      <w:bookmarkEnd w:id="28"/>
    </w:p>
    <w:p>
      <w:pPr>
        <w:pStyle w:val="-WeLStandardtextEinzug-"/>
        <w:ind w:firstLine="0"/>
      </w:pPr>
      <w:r>
        <w:t>ALADIN generiert Übungs- und Prüfungsaufgaben und bietet sie Studenten digital dar, so dass sie die Aufgaben selbständig, zu beliebiger Zeit, an beliebigem Ort und in passendem Schwierigkeitsgrad lösen können. ALADIN reduziert den Aufwand der Lehrenden bezüglich der Erstellung von Übungsaufgaben, der Korrektur der Lösungen und der Betreuung der Studierenden während der Lösung der Aufgaben. ALADIN II ergänzt ALADIN mithilfe des 4R-Prinzip um eine asynchrone Interaktionsmöglichkeit zwischen Studierenden und Lehrenden und erlaubt eine statistische Auswertung aufgezeichneter Lösungsversuche und die Eliminierung von Verzerrungseffekten bei der Kompetenzmessung. Durch Einführung verschiedener Gamification-Elemente erhöht ALADIN II die Motivation der Studierenden das System auch langfristig zu verwenden und fördert eine Selbsthilfekultur. ALADIN II fügt zudem neue Aufgabentypen hinzu, um das Anwendungsspektrum zu erweitern.</w:t>
      </w:r>
    </w:p>
    <w:p>
      <w:pPr>
        <w:pStyle w:val="-WeLStandardtextEinzug-"/>
      </w:pPr>
      <w:r>
        <w:t xml:space="preserve">Zukünftig geplante fachliche Einsatzgebiete umfassen beispielsweise Aufgaben aus der Juristerei, der Chemie und der Musiktheorie, wie Prüfmuster und </w:t>
      </w:r>
      <w:r>
        <w:lastRenderedPageBreak/>
        <w:t xml:space="preserve">Paragraphennetzwerke zu Rechtsfällen </w:t>
      </w:r>
      <w:r>
        <w:fldChar w:fldCharType="begin"/>
      </w:r>
      <w:r>
        <w:instrText xml:space="preserve"> ADDIN ZOTERO_ITEM CSL_CITATION {"citationID":"bCHbhZdn","properties":{"formattedCitation":"(Burton, 2017)","plainCitation":"(Burton, 2017)","noteIndex":0},"citationItems":[{"id":677,"uris":["http://zotero.org/users/9354499/items/5PCERBJW"],"itemData":{"id":677,"type":"article-journal","abstract":"The Australian Learning and Teaching Council’s Bachelor of Laws Learning and Teaching Academic Standards Statement identified “thinking skills” as one of the six threshold learning outcomes for a Bachelor of Laws Program, which reinforced the significance of learning, teaching and assessing “thinking skills” in law schools (Kift, Israel &amp; Field, 2010). The fundamental conceptions underpinning “thinking skills” in a legal education context are “legal reasoning,” “critical analysis” and “creative thinking.”  These conceptions shed light on what it means to “think like a lawyer” and help shape a professional legal identity. This paper identifies a number of acronyms used to teach traditional “legal reasoning,” drawing particular attention to IRAC, which is commonly understood within the legal academy as Issue, Rule, Application and Conclusion. An incremental development approach to learning, teaching and assessing IRAC is recommended whereby first year law students use a legal reasoning grid to a simple problem-based question before applying IRAC to a more complicated problem-based question in the form of barrister’s advice. An example of a criterion-referenced assessment rubric that breaks IRAC down into five performance standards is shared with the community of practice.","DOI":"10.5204/JLD.V10I2.229","source":"Semantic Scholar","title":"\"Think Like a Lawyer\" Using a Legal Reasoning Grid and Criterion-Referenced Assessment Rubric on IRAC (Issue, Rule, Application, Conclusion).","author":[{"family":"Burton","given":"Kelley J."}],"issued":{"date-parts":[["2017"]]}}}],"schema":"https://github.com/citation-style-language/schema/raw/master/csl-citation.json"} </w:instrText>
      </w:r>
      <w:r>
        <w:fldChar w:fldCharType="separate"/>
      </w:r>
      <w:r>
        <w:rPr>
          <w:rFonts w:cs="Arial"/>
        </w:rPr>
        <w:t>(Burton, 2017)</w:t>
      </w:r>
      <w:r>
        <w:fldChar w:fldCharType="end"/>
      </w:r>
      <w:r>
        <w:t xml:space="preserve">, chemische Strukturformeln von Molekülverbindungen </w:t>
      </w:r>
      <w:r>
        <w:fldChar w:fldCharType="begin"/>
      </w:r>
      <w:r>
        <w:instrText xml:space="preserve"> ADDIN ZOTERO_ITEM CSL_CITATION {"citationID":"gL00ralN","properties":{"formattedCitation":"(Zheng et al., 2020)","plainCitation":"(Zheng et al., 2020)","noteIndex":0},"citationItems":[{"id":676,"uris":["http://zotero.org/users/9354499/items/YTDV8CCH"],"itemData":{"id":676,"type":"article-journal","abstract":"Pharmaceutical analysis, as the core curriculum of chemistry, chemical engineering, and pharmaceutical engineering, contains broad and in-depth knowledge that leads to massive learning and teaching loads. There are more than 100 analytical methods of medicines in this course. As such, this subject is a big challenge for both students and lecturers. A novel chemical structure teaching (CST) method was developed on the basis of our long-term teaching experience to cope with these challenges. It has been shown in practice that this CST method can significantly unload the stress of students and lecturers simultaneously. The survey about the improvement of students’ interests was carried out and listed in the form of questionnaire. The outcome of CST indicates that it can help students to form abilities of critical and logical thinking, motivate them to discuss with their peers and lecturers, and eventually improve comprehensive abilities such as synthesizing information, thinking logically, and analyzing problems independently as well as the average score. Furthermore, CST can be beneficial for lecturers who teach other relevant curricula in chemical or pharmaceutical engineering to improve the teaching outcome, such as organic chemistry, spectrum analysis, pharmaceutical synthesis, and medicinal chemistry. This CST model can also help students cultivate a life-long learning ability as active learners from the cognitive perspective view.","container-title":"Journal of Chemical Education","DOI":"10.1021/acs.jchemed.9b00551","ISSN":"0021-9584","issue":"2","journalAbbreviation":"J. Chem. Educ.","note":"publisher: American Chemical Society","page":"421-426","source":"ACS Publications","title":"Applying a Chemical Structure Teaching Method in the Pharmaceutical Analysis Curriculum to Improve Student Engagement and Learning","volume":"97","author":[{"family":"Zheng","given":"Hui"},{"family":"Hu","given":"Binjing"},{"family":"Sun","given":"Qiang"},{"family":"Cao","given":"Jun"},{"family":"Liu","given":"Fangmin"}],"issued":{"date-parts":[["2020",2,11]]}}}],"schema":"https://github.com/citation-style-language/schema/raw/master/csl-citation.json"} </w:instrText>
      </w:r>
      <w:r>
        <w:fldChar w:fldCharType="separate"/>
      </w:r>
      <w:r>
        <w:rPr>
          <w:rFonts w:cs="Arial"/>
        </w:rPr>
        <w:t>(Zheng et al., 2020)</w:t>
      </w:r>
      <w:r>
        <w:fldChar w:fldCharType="end"/>
      </w:r>
      <w:r>
        <w:t xml:space="preserve"> und triadische Transformationen in der neo-</w:t>
      </w:r>
      <w:proofErr w:type="spellStart"/>
      <w:r>
        <w:t>Riemannschen</w:t>
      </w:r>
      <w:proofErr w:type="spellEnd"/>
      <w:r>
        <w:t xml:space="preserve"> Theorie </w:t>
      </w:r>
      <w:r>
        <w:fldChar w:fldCharType="begin"/>
      </w:r>
      <w:r>
        <w:instrText xml:space="preserve"> ADDIN ZOTERO_ITEM CSL_CITATION {"citationID":"qoyGB4zb","properties":{"formattedCitation":"(Mamedov, 2019)","plainCitation":"(Mamedov, 2019)","noteIndex":0},"citationItems":[{"id":673,"uris":["http://zotero.org/users/9354499/items/CT7UFZ92"],"itemData":{"id":673,"type":"article-journal","container-title":"International Journal of Information and Education Technology","DOI":"10.18178/ijiet.2019.9.9.1273","journalAbbreviation":"International Journal of Information and Education Technology","page":"594-598","source":"ResearchGate","title":"Introducing Neo-Riemannian Theory in AP Curriculum through Liszt’s Liebestraum No. 3","volume":"9","author":[{"family":"Mamedov","given":"Nikita"}],"issued":{"date-parts":[["2019",1,1]]}}}],"schema":"https://github.com/citation-style-language/schema/raw/master/csl-citation.json"} </w:instrText>
      </w:r>
      <w:r>
        <w:fldChar w:fldCharType="separate"/>
      </w:r>
      <w:r>
        <w:rPr>
          <w:rFonts w:cs="Arial"/>
        </w:rPr>
        <w:t>(Mamedov, 2019)</w:t>
      </w:r>
      <w:r>
        <w:fldChar w:fldCharType="end"/>
      </w:r>
      <w:r>
        <w:t>.</w:t>
      </w:r>
    </w:p>
    <w:p>
      <w:pPr>
        <w:pStyle w:val="-WeLStandardtextEinzug-"/>
      </w:pPr>
      <w:r>
        <w:t xml:space="preserve">Um Herausforderung </w:t>
      </w:r>
      <w:r>
        <w:fldChar w:fldCharType="begin"/>
      </w:r>
      <w:r>
        <w:instrText xml:space="preserve"> REF _Ref107647556 \r \h </w:instrText>
      </w:r>
      <w:r>
        <w:fldChar w:fldCharType="separate"/>
      </w:r>
      <w:r>
        <w:t>2.2.1</w:t>
      </w:r>
      <w:r>
        <w:fldChar w:fldCharType="end"/>
      </w:r>
      <w:r>
        <w:t xml:space="preserve"> zu begegnen, ist die Einführung verschiedener interaktiver Bearbeitungsmodi in ALADIN geplant, wie beispielsweise ein Kollaborations- und Prüfungsmodus. Zudem soll ALADIN mittels einer LTI-Schnittstelle an Lehrmanagementsysteme wie OPAL und </w:t>
      </w:r>
      <w:proofErr w:type="spellStart"/>
      <w:r>
        <w:t>Moodle</w:t>
      </w:r>
      <w:proofErr w:type="spellEnd"/>
      <w:r>
        <w:t xml:space="preserve"> angebunden werden, um die Einbindung von ALADIN in die bestehende Lehre zu vereinfachen und ALADIN hochschulübergreifend nutzbar zu machen.</w:t>
      </w:r>
    </w:p>
    <w:p>
      <w:pPr>
        <w:pStyle w:val="-WeLStandardtextEinzug-"/>
      </w:pPr>
      <w:r>
        <w:t xml:space="preserve">Wie in Kapitel </w:t>
      </w:r>
      <w:r>
        <w:fldChar w:fldCharType="begin"/>
      </w:r>
      <w:r>
        <w:instrText xml:space="preserve"> REF _Ref107663183 \r \h </w:instrText>
      </w:r>
      <w:r>
        <w:fldChar w:fldCharType="separate"/>
      </w:r>
      <w:r>
        <w:t>1</w:t>
      </w:r>
      <w:r>
        <w:fldChar w:fldCharType="end"/>
      </w:r>
      <w:r>
        <w:t xml:space="preserve"> beschrieben, bietet ALADIN bereits eine deklarative Konfigurationssprache im JSON-Format, um interaktive Aufgaben(typen) und die zugrunde liegenden Aufgabengeneratoren zu modellieren und unterschiedliche Lösungsmethoden zur Lösung eines Aufgabentyps abzubilden </w:t>
      </w:r>
      <w:r>
        <w:fldChar w:fldCharType="begin"/>
      </w:r>
      <w:r>
        <w:instrText xml:space="preserve"> ADDIN ZOTERO_ITEM CSL_CITATION {"citationID":"vGlyMdj6","properties":{"formattedCitation":"(Christ,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Um das Erstellen neuer Aufgabentypen für Lehrkräfte zu erleichtern und den Herausforderung </w:t>
      </w:r>
      <w:r>
        <w:fldChar w:fldCharType="begin"/>
      </w:r>
      <w:r>
        <w:instrText xml:space="preserve"> REF _Ref107647464 \r \h </w:instrText>
      </w:r>
      <w:r>
        <w:fldChar w:fldCharType="separate"/>
      </w:r>
      <w:r>
        <w:t>2.2.2</w:t>
      </w:r>
      <w:r>
        <w:fldChar w:fldCharType="end"/>
      </w:r>
      <w:r>
        <w:t xml:space="preserve"> und </w:t>
      </w:r>
      <w:r>
        <w:fldChar w:fldCharType="begin"/>
      </w:r>
      <w:r>
        <w:instrText xml:space="preserve"> REF _Ref107647737 \r \h </w:instrText>
      </w:r>
      <w:r>
        <w:fldChar w:fldCharType="separate"/>
      </w:r>
      <w:r>
        <w:t>2.6.1</w:t>
      </w:r>
      <w:r>
        <w:fldChar w:fldCharType="end"/>
      </w:r>
      <w:r>
        <w:t xml:space="preserve"> entgegenzutreten, muss das Erstellen neuer Aufgabentypen vereinfacht werden. Dazu ist geplant, einen Editor zu implementieren, welcher eine grafische Konfiguration der in ALADIN vorhandenen UI-Elemente zur Modellierung eines interaktiven Aufgabentyps ermöglicht.</w:t>
      </w:r>
    </w:p>
    <w:p>
      <w:pPr>
        <w:pStyle w:val="-WeLStandardtextEinzug-"/>
      </w:pPr>
      <w:r>
        <w:t xml:space="preserve">Zur Bewältigung der Herausforderungen </w:t>
      </w:r>
      <w:r>
        <w:fldChar w:fldCharType="begin"/>
      </w:r>
      <w:r>
        <w:instrText xml:space="preserve"> REF _Ref105519108 \r \h </w:instrText>
      </w:r>
      <w:r>
        <w:fldChar w:fldCharType="separate"/>
      </w:r>
      <w:r>
        <w:t>2.6.2</w:t>
      </w:r>
      <w:r>
        <w:fldChar w:fldCharType="end"/>
      </w:r>
      <w:r>
        <w:t xml:space="preserve"> und </w:t>
      </w:r>
      <w:r>
        <w:fldChar w:fldCharType="begin"/>
      </w:r>
      <w:r>
        <w:instrText xml:space="preserve"> REF _Ref105519118 \r \h </w:instrText>
      </w:r>
      <w:r>
        <w:fldChar w:fldCharType="separate"/>
      </w:r>
      <w:r>
        <w:t>2.7</w:t>
      </w:r>
      <w:r>
        <w:fldChar w:fldCharType="end"/>
      </w:r>
      <w:r>
        <w:t xml:space="preserve"> wird die Tauglichkeit großer vortrainierter Sprachmodelle wie GPT-3 </w:t>
      </w:r>
      <w:r>
        <w:fldChar w:fldCharType="begin"/>
      </w:r>
      <w:r>
        <w: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schema":"https://github.com/citation-style-language/schema/raw/master/csl-citation.json"} </w:instrText>
      </w:r>
      <w:r>
        <w:fldChar w:fldCharType="separate"/>
      </w:r>
      <w:r>
        <w:rPr>
          <w:rFonts w:cs="Arial"/>
        </w:rPr>
        <w:t>(Brown et al., 2020)</w:t>
      </w:r>
      <w:r>
        <w:fldChar w:fldCharType="end"/>
      </w:r>
      <w:r>
        <w:t xml:space="preserve"> zur semi-automatischen Erzeugung semantischer Metamodelle und zur Generierung von textuellen Aufgaben- und Problembeschreibungen untersucht.</w:t>
      </w:r>
    </w:p>
    <w:p>
      <w:pPr>
        <w:pStyle w:val="-WeLberschrift1-"/>
      </w:pPr>
      <w:r>
        <w:t>Literatur</w:t>
      </w:r>
      <w:bookmarkEnd w:id="6"/>
      <w:bookmarkEnd w:id="7"/>
    </w:p>
    <w:p>
      <w:pPr>
        <w:pStyle w:val="Literaturverzeichnis"/>
        <w:rPr>
          <w:rFonts w:cs="Arial"/>
        </w:rPr>
      </w:pPr>
      <w:r>
        <w:rPr>
          <w:rStyle w:val="-WeLLiteraturverzeichnis-KursivZchn"/>
          <w:rFonts w:eastAsiaTheme="minorHAnsi"/>
        </w:rPr>
        <w:fldChar w:fldCharType="begin"/>
      </w:r>
      <w:r>
        <w:rPr>
          <w:rStyle w:val="-WeLLiteraturverzeichnis-KursivZchn"/>
        </w:rPr>
        <w:instrText xml:space="preserve"> ADDIN ZOTERO_BIBL {"uncited":[],"omitted":[],"custom":[]} CSL_BIBLIOGRAPHY </w:instrText>
      </w:r>
      <w:r>
        <w:rPr>
          <w:rStyle w:val="-WeLLiteraturverzeichnis-KursivZchn"/>
          <w:rFonts w:eastAsiaTheme="minorHAnsi"/>
        </w:rPr>
        <w:fldChar w:fldCharType="separate"/>
      </w:r>
      <w:r>
        <w:rPr>
          <w:rFonts w:cs="Arial"/>
        </w:rPr>
        <w:t xml:space="preserve">Bielefeld, B. (2017). Basics Terminplanung. In </w:t>
      </w:r>
      <w:r>
        <w:rPr>
          <w:rFonts w:cs="Arial"/>
          <w:i/>
          <w:iCs/>
        </w:rPr>
        <w:t>Basics Terminplanung</w:t>
      </w:r>
      <w:r>
        <w:rPr>
          <w:rFonts w:cs="Arial"/>
        </w:rPr>
        <w:t>. Birkhäuser. https://doi.org/10.1515/9783035612646</w:t>
      </w:r>
    </w:p>
    <w:p>
      <w:pPr>
        <w:pStyle w:val="Literaturverzeichnis"/>
        <w:rPr>
          <w:rFonts w:cs="Arial"/>
        </w:rPr>
      </w:pPr>
      <w:r>
        <w:rPr>
          <w:rFonts w:cs="Arial"/>
        </w:rPr>
        <w:t xml:space="preserve">Brown, T., Mann, B., Ryder, N., Subbiah, M., Kaplan, J. D., Dhariwal, P., Neelakantan, A., Shyam, P., Sastry, G., Askell, A., Agarwal, S., Herbert-Voss, A., Krueger, G., Henighan, T., Child, R., Ramesh, A., Ziegler, D., Wu, J., Winter, C., … Amodei, D. (2020). Language Models are Few-Shot Learners. </w:t>
      </w:r>
      <w:r>
        <w:rPr>
          <w:rFonts w:cs="Arial"/>
          <w:i/>
          <w:iCs/>
        </w:rPr>
        <w:t>Advances in Neural Information Processing Systems</w:t>
      </w:r>
      <w:r>
        <w:rPr>
          <w:rFonts w:cs="Arial"/>
        </w:rPr>
        <w:t xml:space="preserve">, </w:t>
      </w:r>
      <w:r>
        <w:rPr>
          <w:rFonts w:cs="Arial"/>
          <w:i/>
          <w:iCs/>
        </w:rPr>
        <w:t>33</w:t>
      </w:r>
      <w:r>
        <w:rPr>
          <w:rFonts w:cs="Arial"/>
        </w:rPr>
        <w:t>, 1877–1901. https://papers.nips.cc/paper/2020/hash/1457c0d6bfcb4967418bfb8ac142f64a-Abstract.html</w:t>
      </w:r>
    </w:p>
    <w:p>
      <w:pPr>
        <w:pStyle w:val="Literaturverzeichnis"/>
        <w:rPr>
          <w:rFonts w:cs="Arial"/>
        </w:rPr>
      </w:pPr>
      <w:r>
        <w:rPr>
          <w:rFonts w:cs="Arial"/>
        </w:rPr>
        <w:t xml:space="preserve">Burton, K. J. (2017). </w:t>
      </w:r>
      <w:r>
        <w:rPr>
          <w:rFonts w:cs="Arial"/>
          <w:i/>
          <w:iCs/>
        </w:rPr>
        <w:t>„Think Like a Lawyer“ Using a Legal Reasoning Grid and Criterion-Referenced Assessment Rubric on IRAC (Issue, Rule, Application, Conclusion).</w:t>
      </w:r>
      <w:r>
        <w:rPr>
          <w:rFonts w:cs="Arial"/>
        </w:rPr>
        <w:t xml:space="preserve"> https://doi.org/10.5204/JLD.V10I2.229</w:t>
      </w:r>
    </w:p>
    <w:p>
      <w:pPr>
        <w:pStyle w:val="Literaturverzeichnis"/>
        <w:rPr>
          <w:rFonts w:cs="Arial"/>
        </w:rPr>
      </w:pPr>
      <w:r>
        <w:rPr>
          <w:rFonts w:cs="Arial"/>
        </w:rPr>
        <w:t xml:space="preserve">Chi, T.-Y., Olfman, L., &amp; Lin, F. (2014). Exploring the Feasibility of Conducting Software Training in a Peer Learning Context with the Aid of Student-Produced Screencasts. </w:t>
      </w:r>
      <w:r>
        <w:rPr>
          <w:rFonts w:cs="Arial"/>
          <w:i/>
          <w:iCs/>
        </w:rPr>
        <w:t>2014 47th Hawaii International Conference on System Sciences</w:t>
      </w:r>
      <w:r>
        <w:rPr>
          <w:rFonts w:cs="Arial"/>
        </w:rPr>
        <w:t>, 4946–4955. https://doi.org/10.1109/HICSS.2014.607</w:t>
      </w:r>
    </w:p>
    <w:p>
      <w:pPr>
        <w:pStyle w:val="Literaturverzeichnis"/>
        <w:rPr>
          <w:rFonts w:cs="Arial"/>
        </w:rPr>
      </w:pPr>
      <w:r>
        <w:rPr>
          <w:rFonts w:cs="Arial"/>
        </w:rPr>
        <w:t xml:space="preserve">Christ, Paul, Laue, Ralf, &amp; Munkelt, Torsten. (in Druck). ALADIN – Generator für Aufgaben und Lösung(shilf)en aus der Informatik und angrenzenden Disziplinen. </w:t>
      </w:r>
      <w:r>
        <w:rPr>
          <w:rFonts w:cs="Arial"/>
          <w:i/>
          <w:iCs/>
        </w:rPr>
        <w:t>Workshop zur Modellierung in der Hochschulbildung (MoHoL 2022) co-located with Modellierung 2022, Hamburg, Germany</w:t>
      </w:r>
      <w:r>
        <w:rPr>
          <w:rFonts w:cs="Arial"/>
        </w:rPr>
        <w:t>.</w:t>
      </w:r>
    </w:p>
    <w:p>
      <w:pPr>
        <w:pStyle w:val="Literaturverzeichnis"/>
        <w:rPr>
          <w:rFonts w:cs="Arial"/>
        </w:rPr>
      </w:pPr>
      <w:r>
        <w:rPr>
          <w:rFonts w:cs="Arial"/>
        </w:rPr>
        <w:lastRenderedPageBreak/>
        <w:t xml:space="preserve">Hakim, A. R., Hasibuan, M. A., &amp; Andreswari, R. (2019). E-learning process analysis to determining student learning patterns using process mining approach. </w:t>
      </w:r>
      <w:r>
        <w:rPr>
          <w:rFonts w:cs="Arial"/>
          <w:i/>
          <w:iCs/>
        </w:rPr>
        <w:t>Journal of Physics: Conference Series</w:t>
      </w:r>
      <w:r>
        <w:rPr>
          <w:rFonts w:cs="Arial"/>
        </w:rPr>
        <w:t xml:space="preserve">, </w:t>
      </w:r>
      <w:r>
        <w:rPr>
          <w:rFonts w:cs="Arial"/>
          <w:i/>
          <w:iCs/>
        </w:rPr>
        <w:t>1193</w:t>
      </w:r>
      <w:r>
        <w:rPr>
          <w:rFonts w:cs="Arial"/>
        </w:rPr>
        <w:t>, 012020. https://doi.org/10.1088/1742-6596/1193/1/012020</w:t>
      </w:r>
    </w:p>
    <w:p>
      <w:pPr>
        <w:pStyle w:val="Literaturverzeichnis"/>
        <w:rPr>
          <w:rFonts w:cs="Arial"/>
        </w:rPr>
      </w:pPr>
      <w:r>
        <w:rPr>
          <w:rFonts w:cs="Arial"/>
        </w:rPr>
        <w:t xml:space="preserve">Kokkonen, T., &amp; Schalk, L. (2020). </w:t>
      </w:r>
      <w:r>
        <w:rPr>
          <w:rFonts w:cs="Arial"/>
          <w:i/>
          <w:iCs/>
        </w:rPr>
        <w:t>One Instructional Sequence Fits all? A Conceptual Analysis of the Applicability of Concreteness Fading in Mathematics, Physics, Chemistry, and Biology Education</w:t>
      </w:r>
      <w:r>
        <w:rPr>
          <w:rFonts w:cs="Arial"/>
        </w:rPr>
        <w:t>. https://doi.org/10.1007/s10648-020-09581-7</w:t>
      </w:r>
    </w:p>
    <w:p>
      <w:pPr>
        <w:pStyle w:val="Literaturverzeichnis"/>
        <w:rPr>
          <w:rFonts w:cs="Arial"/>
        </w:rPr>
      </w:pPr>
      <w:r>
        <w:rPr>
          <w:rFonts w:cs="Arial"/>
        </w:rPr>
        <w:t xml:space="preserve">Kris-Stephen, B., Kochskämper, D., Lips, A., Schröer, W., &amp; Thomas, S. (2021). </w:t>
      </w:r>
      <w:r>
        <w:rPr>
          <w:rFonts w:cs="Arial"/>
          <w:i/>
          <w:iCs/>
        </w:rPr>
        <w:t>Stu.diCo II – Die Corona Pandemie aus der Perspektive von Studierenden</w:t>
      </w:r>
      <w:r>
        <w:rPr>
          <w:rFonts w:cs="Arial"/>
        </w:rPr>
        <w:t>. https://doi.org/10.18442/194</w:t>
      </w:r>
    </w:p>
    <w:p>
      <w:pPr>
        <w:pStyle w:val="Literaturverzeichnis"/>
        <w:rPr>
          <w:rFonts w:cs="Arial"/>
        </w:rPr>
      </w:pPr>
      <w:r>
        <w:rPr>
          <w:rFonts w:cs="Arial"/>
        </w:rPr>
        <w:t xml:space="preserve">Lampinen, A. K., &amp; McClelland, J. L. (2018). Different presentations of a mathematical concept can support learning in complementary ways. </w:t>
      </w:r>
      <w:r>
        <w:rPr>
          <w:rFonts w:cs="Arial"/>
          <w:i/>
          <w:iCs/>
        </w:rPr>
        <w:t>Journal of Educational Psychology</w:t>
      </w:r>
      <w:r>
        <w:rPr>
          <w:rFonts w:cs="Arial"/>
        </w:rPr>
        <w:t xml:space="preserve">, </w:t>
      </w:r>
      <w:r>
        <w:rPr>
          <w:rFonts w:cs="Arial"/>
          <w:i/>
          <w:iCs/>
        </w:rPr>
        <w:t>110</w:t>
      </w:r>
      <w:r>
        <w:rPr>
          <w:rFonts w:cs="Arial"/>
        </w:rPr>
        <w:t>(5), 664–682. https://doi.org/10.1037/edu0000235</w:t>
      </w:r>
    </w:p>
    <w:p>
      <w:pPr>
        <w:pStyle w:val="Literaturverzeichnis"/>
        <w:rPr>
          <w:rFonts w:cs="Arial"/>
        </w:rPr>
      </w:pPr>
      <w:r>
        <w:rPr>
          <w:rFonts w:cs="Arial"/>
        </w:rPr>
        <w:t xml:space="preserve">Längrich, M., Schulze, J., &amp; Ghanbari, S. (2013). Anwendung eines allgemeinen Aufgabenbeschreibungsformates auf die Imperative Programmierung. </w:t>
      </w:r>
      <w:r>
        <w:rPr>
          <w:rFonts w:cs="Arial"/>
          <w:i/>
          <w:iCs/>
        </w:rPr>
        <w:t>grkg Humankybernetik</w:t>
      </w:r>
      <w:r>
        <w:rPr>
          <w:rFonts w:cs="Arial"/>
        </w:rPr>
        <w:t>, 64–76.</w:t>
      </w:r>
    </w:p>
    <w:p>
      <w:pPr>
        <w:pStyle w:val="Literaturverzeichnis"/>
        <w:rPr>
          <w:rFonts w:cs="Arial"/>
        </w:rPr>
      </w:pPr>
      <w:r>
        <w:rPr>
          <w:rFonts w:cs="Arial"/>
        </w:rPr>
        <w:t xml:space="preserve">Mamedov, N. (2019). Introducing Neo-Riemannian Theory in AP Curriculum through Liszt’s Liebestraum No. 3. </w:t>
      </w:r>
      <w:r>
        <w:rPr>
          <w:rFonts w:cs="Arial"/>
          <w:i/>
          <w:iCs/>
        </w:rPr>
        <w:t>International Journal of Information and Education Technology</w:t>
      </w:r>
      <w:r>
        <w:rPr>
          <w:rFonts w:cs="Arial"/>
        </w:rPr>
        <w:t xml:space="preserve">, </w:t>
      </w:r>
      <w:r>
        <w:rPr>
          <w:rFonts w:cs="Arial"/>
          <w:i/>
          <w:iCs/>
        </w:rPr>
        <w:t>9</w:t>
      </w:r>
      <w:r>
        <w:rPr>
          <w:rFonts w:cs="Arial"/>
        </w:rPr>
        <w:t>, 594–598. https://doi.org/10.18178/ijiet.2019.9.9.1273</w:t>
      </w:r>
    </w:p>
    <w:p>
      <w:pPr>
        <w:pStyle w:val="Literaturverzeichnis"/>
        <w:rPr>
          <w:rFonts w:cs="Arial"/>
        </w:rPr>
      </w:pPr>
      <w:r>
        <w:rPr>
          <w:rFonts w:cs="Arial"/>
        </w:rPr>
        <w:t xml:space="preserve">Matejka, J., &amp; Fitzmaurice, G. (2017). </w:t>
      </w:r>
      <w:r>
        <w:rPr>
          <w:rFonts w:cs="Arial"/>
          <w:i/>
          <w:iCs/>
        </w:rPr>
        <w:t>Same Stats, Different Graphs: Generating Datasets with Varied Appearance and Identical Statistics through Simulated Annealing</w:t>
      </w:r>
      <w:r>
        <w:rPr>
          <w:rFonts w:cs="Arial"/>
        </w:rPr>
        <w:t xml:space="preserve"> (S. 1294). https://doi.org/10.1145/3025453.3025912</w:t>
      </w:r>
    </w:p>
    <w:p>
      <w:pPr>
        <w:pStyle w:val="Literaturverzeichnis"/>
        <w:rPr>
          <w:rFonts w:cs="Arial"/>
        </w:rPr>
      </w:pPr>
      <w:r>
        <w:rPr>
          <w:rFonts w:cs="Arial"/>
        </w:rPr>
        <w:t xml:space="preserve">Schimanke, F., Mertens, R., Hallay, F., Enders, A., &amp; Vornberger, O. (2015). </w:t>
      </w:r>
      <w:r>
        <w:rPr>
          <w:rFonts w:cs="Arial"/>
          <w:i/>
          <w:iCs/>
        </w:rPr>
        <w:t>Using a Spaced-Repetition-Based Mobile Learning Game in Database Lectures</w:t>
      </w:r>
      <w:r>
        <w:rPr>
          <w:rFonts w:cs="Arial"/>
        </w:rPr>
        <w:t>.</w:t>
      </w:r>
    </w:p>
    <w:p>
      <w:pPr>
        <w:pStyle w:val="Literaturverzeichnis"/>
        <w:rPr>
          <w:rFonts w:cs="Arial"/>
        </w:rPr>
      </w:pPr>
      <w:r>
        <w:rPr>
          <w:rFonts w:cs="Arial"/>
        </w:rPr>
        <w:t xml:space="preserve">Siepermann, M., Siepermann, C., &amp; Lackes, R. (2013). </w:t>
      </w:r>
      <w:r>
        <w:rPr>
          <w:rFonts w:cs="Arial"/>
          <w:i/>
          <w:iCs/>
        </w:rPr>
        <w:t>Electronic Exercises for the Metra Potential Method</w:t>
      </w:r>
      <w:r>
        <w:rPr>
          <w:rFonts w:cs="Arial"/>
        </w:rPr>
        <w:t>. 435–442. https://www.scitepress.org/Link.aspx?doi=10.5220/0004421504350442</w:t>
      </w:r>
    </w:p>
    <w:p>
      <w:pPr>
        <w:pStyle w:val="Literaturverzeichnis"/>
        <w:rPr>
          <w:rFonts w:cs="Arial"/>
        </w:rPr>
      </w:pPr>
      <w:r>
        <w:rPr>
          <w:rFonts w:cs="Arial"/>
        </w:rPr>
        <w:t xml:space="preserve">Toll, C. (2010). </w:t>
      </w:r>
      <w:r>
        <w:rPr>
          <w:rFonts w:cs="Arial"/>
          <w:i/>
          <w:iCs/>
        </w:rPr>
        <w:t>Materialbedarfsermittlung mit graphentheoretischen Verfahren</w:t>
      </w:r>
      <w:r>
        <w:rPr>
          <w:rFonts w:cs="Arial"/>
        </w:rPr>
        <w:t xml:space="preserve"> (S. 95–100).</w:t>
      </w:r>
    </w:p>
    <w:p>
      <w:pPr>
        <w:pStyle w:val="Literaturverzeichnis"/>
        <w:rPr>
          <w:rFonts w:cs="Arial"/>
        </w:rPr>
      </w:pPr>
      <w:r>
        <w:rPr>
          <w:rFonts w:cs="Arial"/>
        </w:rPr>
        <w:t xml:space="preserve">Trninic, D., Kapur, M., &amp; Sinha, T. (2020). The Disappearing “Advantage of Abstract Examples in Learning Math”. </w:t>
      </w:r>
      <w:r>
        <w:rPr>
          <w:rFonts w:cs="Arial"/>
          <w:i/>
          <w:iCs/>
        </w:rPr>
        <w:t>Cognitive Science</w:t>
      </w:r>
      <w:r>
        <w:rPr>
          <w:rFonts w:cs="Arial"/>
        </w:rPr>
        <w:t xml:space="preserve">, </w:t>
      </w:r>
      <w:r>
        <w:rPr>
          <w:rFonts w:cs="Arial"/>
          <w:i/>
          <w:iCs/>
        </w:rPr>
        <w:t>44</w:t>
      </w:r>
      <w:r>
        <w:rPr>
          <w:rFonts w:cs="Arial"/>
        </w:rPr>
        <w:t>. https://doi.org/10.1111/cogs.12851</w:t>
      </w:r>
    </w:p>
    <w:p>
      <w:pPr>
        <w:pStyle w:val="Literaturverzeichnis"/>
        <w:rPr>
          <w:rFonts w:cs="Arial"/>
        </w:rPr>
      </w:pPr>
      <w:r>
        <w:rPr>
          <w:rFonts w:cs="Arial"/>
        </w:rPr>
        <w:t xml:space="preserve">Wang, S., Durrett, G., &amp; Erk, K. (2018). Modeling Semantic Plausibility by Injecting World Knowledge. </w:t>
      </w:r>
      <w:r>
        <w:rPr>
          <w:rFonts w:cs="Arial"/>
          <w:i/>
          <w:iCs/>
        </w:rPr>
        <w:t>NAACL</w:t>
      </w:r>
      <w:r>
        <w:rPr>
          <w:rFonts w:cs="Arial"/>
        </w:rPr>
        <w:t>. https://doi.org/10.18653/v1/N18-2049</w:t>
      </w:r>
    </w:p>
    <w:p>
      <w:pPr>
        <w:pStyle w:val="Literaturverzeichnis"/>
        <w:rPr>
          <w:rFonts w:cs="Arial"/>
        </w:rPr>
      </w:pPr>
      <w:r>
        <w:rPr>
          <w:rFonts w:cs="Arial"/>
        </w:rPr>
        <w:t xml:space="preserve">Zheng, H., Hu, B., Sun, Q., Cao, J., &amp; Liu, F. (2020). Applying a Chemical Structure Teaching Method in the Pharmaceutical Analysis Curriculum to Improve Student Engagement and Learning. </w:t>
      </w:r>
      <w:r>
        <w:rPr>
          <w:rFonts w:cs="Arial"/>
          <w:i/>
          <w:iCs/>
        </w:rPr>
        <w:t>Journal of Chemical Education</w:t>
      </w:r>
      <w:r>
        <w:rPr>
          <w:rFonts w:cs="Arial"/>
        </w:rPr>
        <w:t xml:space="preserve">, </w:t>
      </w:r>
      <w:r>
        <w:rPr>
          <w:rFonts w:cs="Arial"/>
          <w:i/>
          <w:iCs/>
        </w:rPr>
        <w:t>97</w:t>
      </w:r>
      <w:r>
        <w:rPr>
          <w:rFonts w:cs="Arial"/>
        </w:rPr>
        <w:t>(2), 421–426. https://doi.org/10.1021/acs.jchemed.9b00551</w:t>
      </w:r>
    </w:p>
    <w:p>
      <w:pPr>
        <w:pStyle w:val="-WeLLiteraturverzeichnis-"/>
      </w:pPr>
      <w:r>
        <w:rPr>
          <w:rStyle w:val="-WeLLiteraturverzeichnis-KursivZchn"/>
        </w:rPr>
        <w:fldChar w:fldCharType="end"/>
      </w:r>
    </w:p>
    <w:sectPr>
      <w:headerReference w:type="even" r:id="rId8"/>
      <w:headerReference w:type="default" r:id="rId9"/>
      <w:footerReference w:type="even" r:id="rId10"/>
      <w:footerReference w:type="default" r:id="rId11"/>
      <w:footerReference w:type="first" r:id="rId12"/>
      <w:type w:val="oddPage"/>
      <w:pgSz w:w="11906" w:h="16838" w:code="9"/>
      <w:pgMar w:top="1985" w:right="1701" w:bottom="1701" w:left="2268" w:header="1304" w:footer="22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IowanOldS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wis721 BT">
    <w:altName w:val="Segoe Scrip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p/>
  </w:footnote>
  <w:footnote w:type="continuationSeparator" w:id="0">
    <w:p>
      <w:r>
        <w:continuationSeparator/>
      </w:r>
    </w:p>
    <w:p/>
  </w:footnote>
  <w:footnote w:id="1">
    <w:p>
      <w:pPr>
        <w:pStyle w:val="Funotentext"/>
      </w:pPr>
      <w:r>
        <w:rPr>
          <w:rStyle w:val="Funotenzeichen"/>
        </w:rPr>
        <w:footnoteRef/>
      </w:r>
      <w:r>
        <w:t xml:space="preserve"> siehe </w:t>
      </w:r>
      <w:hyperlink r:id="rId1" w:history="1">
        <w:r>
          <w:rPr>
            <w:rStyle w:val="Hyperlink"/>
          </w:rPr>
          <w:t>https://stackoverflow.com/help/whats-reputation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WeLKopfzeile-"/>
      <w:jc w:val="right"/>
      <w:rPr>
        <w:color w:val="646463"/>
      </w:rPr>
    </w:pPr>
    <w:r>
      <w:rPr>
        <w:color w:val="646463"/>
      </w:rPr>
      <w:t>Workshop on e-Learning 2020</w:t>
    </w:r>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
      <w:rPr>
        <w:rFonts w:ascii="Trebuchet MS" w:hAnsi="Trebuchet MS"/>
        <w:b/>
        <w:caps/>
        <w:color w:val="808080"/>
      </w:rPr>
      <w:t>ALADIN II – GENERATOR FÜR AUFGABEN UND LÖSUNG(SHILF)EN AUS DER INFORMATIK UND ANGRENZENDEN DISZIPLINEN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2"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4"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4622"/>
    <w:multiLevelType w:val="hybridMultilevel"/>
    <w:tmpl w:val="AA9A8AFA"/>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6" w15:restartNumberingAfterBreak="0">
    <w:nsid w:val="0C1E7B0F"/>
    <w:multiLevelType w:val="hybridMultilevel"/>
    <w:tmpl w:val="28221EE2"/>
    <w:lvl w:ilvl="0" w:tplc="6EE610E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CC4B0D"/>
    <w:multiLevelType w:val="hybridMultilevel"/>
    <w:tmpl w:val="6DEA1CD4"/>
    <w:lvl w:ilvl="0" w:tplc="551A45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3"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4"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26" w15:restartNumberingAfterBreak="0">
    <w:nsid w:val="4DC42434"/>
    <w:multiLevelType w:val="multilevel"/>
    <w:tmpl w:val="45808F70"/>
    <w:numStyleLink w:val="ORDIX-Liste-Blank"/>
  </w:abstractNum>
  <w:abstractNum w:abstractNumId="27"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9" w15:restartNumberingAfterBreak="0">
    <w:nsid w:val="57397C0A"/>
    <w:multiLevelType w:val="hybridMultilevel"/>
    <w:tmpl w:val="F0CEB9F2"/>
    <w:lvl w:ilvl="0" w:tplc="04070001">
      <w:start w:val="1"/>
      <w:numFmt w:val="bullet"/>
      <w:lvlText w:val=""/>
      <w:lvlJc w:val="left"/>
      <w:pPr>
        <w:ind w:left="720" w:hanging="360"/>
      </w:pPr>
      <w:rPr>
        <w:rFonts w:ascii="Symbol" w:hAnsi="Symbol" w:hint="default"/>
      </w:rPr>
    </w:lvl>
    <w:lvl w:ilvl="1" w:tplc="2682C7A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81A2591"/>
    <w:multiLevelType w:val="hybridMultilevel"/>
    <w:tmpl w:val="D9C4F19C"/>
    <w:lvl w:ilvl="0" w:tplc="C0B2EF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A0D6A19"/>
    <w:multiLevelType w:val="hybridMultilevel"/>
    <w:tmpl w:val="257438FA"/>
    <w:lvl w:ilvl="0" w:tplc="8FB8EA7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C835B29"/>
    <w:multiLevelType w:val="multilevel"/>
    <w:tmpl w:val="45808F70"/>
    <w:numStyleLink w:val="ORDIX-Liste-Blank"/>
  </w:abstractNum>
  <w:abstractNum w:abstractNumId="33"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4" w15:restartNumberingAfterBreak="0">
    <w:nsid w:val="5FBE4693"/>
    <w:multiLevelType w:val="multilevel"/>
    <w:tmpl w:val="2C3C8960"/>
    <w:numStyleLink w:val="ORDIX-Liste"/>
  </w:abstractNum>
  <w:abstractNum w:abstractNumId="35" w15:restartNumberingAfterBreak="0">
    <w:nsid w:val="64846FEE"/>
    <w:multiLevelType w:val="hybridMultilevel"/>
    <w:tmpl w:val="1666B672"/>
    <w:lvl w:ilvl="0" w:tplc="FD5685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6F046D8"/>
    <w:multiLevelType w:val="hybridMultilevel"/>
    <w:tmpl w:val="0B3654F0"/>
    <w:lvl w:ilvl="0" w:tplc="6EA4F4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8"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25"/>
  </w:num>
  <w:num w:numId="7">
    <w:abstractNumId w:val="9"/>
  </w:num>
  <w:num w:numId="8">
    <w:abstractNumId w:val="7"/>
  </w:num>
  <w:num w:numId="9">
    <w:abstractNumId w:val="6"/>
  </w:num>
  <w:num w:numId="10">
    <w:abstractNumId w:val="5"/>
  </w:num>
  <w:num w:numId="11">
    <w:abstractNumId w:val="4"/>
  </w:num>
  <w:num w:numId="12">
    <w:abstractNumId w:val="37"/>
  </w:num>
  <w:num w:numId="13">
    <w:abstractNumId w:val="10"/>
  </w:num>
  <w:num w:numId="14">
    <w:abstractNumId w:val="22"/>
    <w:lvlOverride w:ilvl="0">
      <w:lvl w:ilvl="0">
        <w:start w:val="1"/>
        <w:numFmt w:val="bullet"/>
        <w:pStyle w:val="Listeeckig"/>
        <w:lvlText w:val=""/>
        <w:lvlJc w:val="left"/>
        <w:pPr>
          <w:ind w:left="851" w:hanging="284"/>
        </w:pPr>
        <w:rPr>
          <w:rFonts w:ascii="Wingdings" w:hAnsi="Wingdings" w:hint="default"/>
        </w:rPr>
      </w:lvl>
    </w:lvlOverride>
  </w:num>
  <w:num w:numId="15">
    <w:abstractNumId w:val="24"/>
    <w:lvlOverride w:ilvl="0">
      <w:lvl w:ilvl="0">
        <w:start w:val="1"/>
        <w:numFmt w:val="bullet"/>
        <w:pStyle w:val="ListeBlank"/>
        <w:lvlText w:val=""/>
        <w:lvlJc w:val="left"/>
        <w:pPr>
          <w:ind w:left="1418" w:hanging="284"/>
        </w:pPr>
        <w:rPr>
          <w:rFonts w:ascii="Wingdings" w:hAnsi="Wingdings" w:hint="default"/>
        </w:rPr>
      </w:lvl>
    </w:lvlOverride>
  </w:num>
  <w:num w:numId="16">
    <w:abstractNumId w:val="19"/>
  </w:num>
  <w:num w:numId="17">
    <w:abstractNumId w:val="17"/>
  </w:num>
  <w:num w:numId="18">
    <w:abstractNumId w:val="27"/>
  </w:num>
  <w:num w:numId="19">
    <w:abstractNumId w:val="22"/>
  </w:num>
  <w:num w:numId="20">
    <w:abstractNumId w:val="24"/>
  </w:num>
  <w:num w:numId="21">
    <w:abstractNumId w:val="23"/>
  </w:num>
  <w:num w:numId="22">
    <w:abstractNumId w:val="21"/>
  </w:num>
  <w:num w:numId="23">
    <w:abstractNumId w:val="33"/>
  </w:num>
  <w:num w:numId="24">
    <w:abstractNumId w:val="28"/>
  </w:num>
  <w:num w:numId="25">
    <w:abstractNumId w:val="38"/>
  </w:num>
  <w:num w:numId="26">
    <w:abstractNumId w:val="14"/>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13"/>
  </w:num>
  <w:num w:numId="30">
    <w:abstractNumId w:val="32"/>
  </w:num>
  <w:num w:numId="31">
    <w:abstractNumId w:val="26"/>
  </w:num>
  <w:num w:numId="32">
    <w:abstractNumId w:val="18"/>
  </w:num>
  <w:num w:numId="33">
    <w:abstractNumId w:val="12"/>
  </w:num>
  <w:num w:numId="34">
    <w:abstractNumId w:val="29"/>
  </w:num>
  <w:num w:numId="35">
    <w:abstractNumId w:val="15"/>
  </w:num>
  <w:num w:numId="36">
    <w:abstractNumId w:val="16"/>
  </w:num>
  <w:num w:numId="37">
    <w:abstractNumId w:val="20"/>
  </w:num>
  <w:num w:numId="38">
    <w:abstractNumId w:val="35"/>
  </w:num>
  <w:num w:numId="39">
    <w:abstractNumId w:val="36"/>
  </w:num>
  <w:num w:numId="40">
    <w:abstractNumId w:val="37"/>
  </w:num>
  <w:num w:numId="41">
    <w:abstractNumId w:val="37"/>
  </w:num>
  <w:num w:numId="42">
    <w:abstractNumId w:val="37"/>
  </w:num>
  <w:num w:numId="43">
    <w:abstractNumId w:val="37"/>
  </w:num>
  <w:num w:numId="44">
    <w:abstractNumId w:val="37"/>
  </w:num>
  <w:num w:numId="45">
    <w:abstractNumId w:val="30"/>
  </w:num>
  <w:num w:numId="46">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
    </o:shapedefaults>
    <o:shapelayout v:ext="edit">
      <o:idmap v:ext="edit" data="1"/>
    </o:shapelayout>
  </w:shapeDefaults>
  <w:decimalSymbol w:val=","/>
  <w:listSeparator w:val=";"/>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toa heading" w:semiHidden="1" w:unhideWhenUsed="1"/>
    <w:lsdException w:name="List" w:semiHidden="1" w:uiPriority="8"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pPr>
    <w:rPr>
      <w:rFonts w:ascii="Arial" w:hAnsi="Arial" w:cstheme="minorBidi"/>
      <w:lang w:eastAsia="en-US"/>
    </w:rPr>
  </w:style>
  <w:style w:type="paragraph" w:styleId="berschrift1">
    <w:name w:val="heading 1"/>
    <w:basedOn w:val="Standard"/>
    <w:next w:val="Text"/>
    <w:link w:val="berschrift1Zchn"/>
    <w:qFormat/>
    <w:pPr>
      <w:keepNext/>
      <w:pageBreakBefore/>
      <w:widowControl w:val="0"/>
      <w:numPr>
        <w:numId w:val="13"/>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13"/>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3"/>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13"/>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13"/>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13"/>
      </w:numPr>
      <w:tabs>
        <w:tab w:val="left" w:pos="1152"/>
      </w:tabs>
      <w:suppressAutoHyphens w:val="0"/>
      <w:spacing w:before="240" w:after="60"/>
      <w:outlineLvl w:val="5"/>
    </w:pPr>
    <w:rPr>
      <w:b/>
    </w:rPr>
  </w:style>
  <w:style w:type="paragraph" w:styleId="berschrift7">
    <w:name w:val="heading 7"/>
    <w:aliases w:val="A Buchtitel"/>
    <w:basedOn w:val="Standard"/>
    <w:next w:val="Text"/>
    <w:link w:val="berschrift7Zchn"/>
    <w:uiPriority w:val="3"/>
    <w:unhideWhenUsed/>
    <w:pPr>
      <w:keepNext/>
      <w:widowControl w:val="0"/>
      <w:numPr>
        <w:ilvl w:val="6"/>
        <w:numId w:val="13"/>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13"/>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13"/>
      </w:numPr>
      <w:tabs>
        <w:tab w:val="left" w:pos="1584"/>
      </w:tabs>
      <w:suppressAutoHyphens w:val="0"/>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Pr>
      <w:vertAlign w:val="superscript"/>
    </w:rPr>
  </w:style>
  <w:style w:type="paragraph" w:customStyle="1" w:styleId="-WeLBeitragsautoren-">
    <w:name w:val="- WeL Beitragsautoren -"/>
    <w:next w:val="-WeLBeitragsautorenAdresse-"/>
    <w:pPr>
      <w:spacing w:before="240"/>
      <w:ind w:left="1134"/>
      <w:contextualSpacing/>
    </w:pPr>
    <w:rPr>
      <w:rFonts w:ascii="Arial" w:hAnsi="Arial"/>
      <w:sz w:val="24"/>
    </w:rPr>
  </w:style>
  <w:style w:type="paragraph" w:customStyle="1" w:styleId="-WeLBeitragsautorenAdresse-">
    <w:name w:val="- WeL Beitragsautoren Adresse -"/>
    <w:next w:val="Standard"/>
    <w:pPr>
      <w:spacing w:before="240"/>
      <w:ind w:left="1134"/>
      <w:contextualSpacing/>
    </w:pPr>
    <w:rPr>
      <w:rFonts w:ascii="Arial" w:hAnsi="Arial"/>
      <w:sz w:val="22"/>
    </w:rPr>
  </w:style>
  <w:style w:type="character" w:styleId="Hyperlink">
    <w:name w:val="Hyperlink"/>
    <w:basedOn w:val="Absatz-Standardschriftart"/>
    <w:uiPriority w:val="99"/>
    <w:unhideWhenUsed/>
    <w:rPr>
      <w:color w:val="0000FF" w:themeColor="hyperlink"/>
      <w:u w:val="single"/>
    </w:rPr>
  </w:style>
  <w:style w:type="character" w:customStyle="1" w:styleId="Endnotenzeichen1">
    <w:name w:val="Endnotenzeichen1"/>
    <w:semiHidden/>
    <w:rPr>
      <w:vertAlign w:val="superscript"/>
    </w:rPr>
  </w:style>
  <w:style w:type="character" w:styleId="Endnotenzeichen">
    <w:name w:val="endnote reference"/>
    <w:basedOn w:val="Absatz-Standardschriftart"/>
    <w:uiPriority w:val="5"/>
    <w:unhideWhenUsed/>
    <w:rPr>
      <w:vertAlign w:val="superscript"/>
    </w:rPr>
  </w:style>
  <w:style w:type="paragraph" w:customStyle="1" w:styleId="-WeLberschrift-">
    <w:name w:val="- WeL Überschrift -"/>
    <w:next w:val="Standar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pPr>
      <w:ind w:firstLine="210"/>
    </w:pPr>
  </w:style>
  <w:style w:type="character" w:customStyle="1" w:styleId="-WeLStandardtext-Zchn">
    <w:name w:val="- WeL Standardtext - Zchn"/>
    <w:link w:val="-WeLStandardtext-"/>
    <w:rPr>
      <w:rFonts w:ascii="Arial" w:hAnsi="Arial"/>
      <w:color w:val="000000"/>
      <w:sz w:val="22"/>
      <w:szCs w:val="24"/>
      <w:lang w:bidi="ar-SA"/>
    </w:rPr>
  </w:style>
  <w:style w:type="paragraph" w:styleId="Liste">
    <w:name w:val="List"/>
    <w:basedOn w:val="Listeeckig"/>
    <w:uiPriority w:val="8"/>
    <w:pPr>
      <w:widowControl/>
      <w:ind w:left="284"/>
      <w:contextualSpacing/>
    </w:pPr>
  </w:style>
  <w:style w:type="paragraph" w:styleId="Kopfzeile">
    <w:name w:val="header"/>
    <w:basedOn w:val="Standard"/>
    <w:link w:val="KopfzeileZchn"/>
    <w:uiPriority w:val="8"/>
    <w:pPr>
      <w:tabs>
        <w:tab w:val="center" w:pos="4536"/>
        <w:tab w:val="right" w:pos="9072"/>
      </w:tabs>
      <w:spacing w:after="0"/>
    </w:pPr>
  </w:style>
  <w:style w:type="paragraph" w:styleId="Fuzeile">
    <w:name w:val="footer"/>
    <w:basedOn w:val="Standard"/>
    <w:link w:val="FuzeileZchn"/>
    <w:uiPriority w:val="8"/>
    <w:pPr>
      <w:tabs>
        <w:tab w:val="right" w:pos="9157"/>
      </w:tabs>
      <w:suppressAutoHyphens w:val="0"/>
      <w:spacing w:after="0"/>
    </w:pPr>
  </w:style>
  <w:style w:type="paragraph" w:styleId="Beschriftung">
    <w:name w:val="caption"/>
    <w:basedOn w:val="Standard"/>
    <w:next w:val="Text"/>
    <w:uiPriority w:val="3"/>
    <w:pPr>
      <w:spacing w:before="120"/>
    </w:pPr>
    <w:rPr>
      <w:b/>
      <w:bCs/>
      <w:szCs w:val="18"/>
    </w:rPr>
  </w:style>
  <w:style w:type="paragraph" w:styleId="Funotentext">
    <w:name w:val="footnote text"/>
    <w:aliases w:val="WIKO"/>
    <w:basedOn w:val="Standard"/>
    <w:link w:val="FunotentextZchn"/>
    <w:uiPriority w:val="99"/>
    <w:unhideWhenUsed/>
    <w:pPr>
      <w:spacing w:after="0"/>
    </w:pP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Standard"/>
    <w:pPr>
      <w:keepNext/>
      <w:suppressLineNumbers/>
      <w:spacing w:before="240"/>
    </w:pPr>
    <w:rPr>
      <w:rFonts w:eastAsia="Lucida Sans Unicode" w:cs="Tahoma"/>
      <w:bCs/>
      <w:sz w:val="28"/>
      <w:szCs w:val="32"/>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character" w:styleId="Seitenzahl">
    <w:name w:val="page number"/>
    <w:basedOn w:val="Absatz-Standardschriftart"/>
    <w:uiPriority w:val="99"/>
    <w:unhideWhenUsed/>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paragraph" w:styleId="Endnotentext">
    <w:name w:val="endnote text"/>
    <w:basedOn w:val="Standard"/>
    <w:link w:val="EndnotentextZchn"/>
    <w:uiPriority w:val="5"/>
    <w:unhideWhenUsed/>
    <w:pPr>
      <w:spacing w:after="0"/>
    </w:pPr>
  </w:style>
  <w:style w:type="paragraph" w:styleId="Textkrper2">
    <w:name w:val="Body Text 2"/>
    <w:basedOn w:val="Standard"/>
    <w:link w:val="Textkrper2Zchn"/>
    <w:uiPriority w:val="99"/>
    <w:unhideWhenUsed/>
    <w:pPr>
      <w:spacing w:line="480" w:lineRule="auto"/>
    </w:pPr>
  </w:style>
  <w:style w:type="character" w:styleId="Hervorhebung">
    <w:name w:val="Emphasis"/>
    <w:basedOn w:val="Absatz-Standardschriftart"/>
    <w:uiPriority w:val="20"/>
    <w:qFormat/>
    <w:rPr>
      <w:i/>
      <w:iCs/>
    </w:rPr>
  </w:style>
  <w:style w:type="paragraph" w:styleId="Index1">
    <w:name w:val="index 1"/>
    <w:basedOn w:val="Standard"/>
    <w:autoRedefine/>
    <w:uiPriority w:val="5"/>
    <w:pPr>
      <w:widowControl w:val="0"/>
      <w:spacing w:after="0"/>
      <w:ind w:left="568" w:hanging="284"/>
    </w:pPr>
  </w:style>
  <w:style w:type="paragraph" w:styleId="Indexberschrift">
    <w:name w:val="index heading"/>
    <w:basedOn w:val="Standard"/>
    <w:next w:val="Index1"/>
    <w:uiPriority w:val="5"/>
    <w:pPr>
      <w:spacing w:before="120"/>
    </w:pPr>
    <w:rPr>
      <w:rFonts w:eastAsiaTheme="majorEastAsia" w:cstheme="majorBidi"/>
      <w:b/>
      <w:bCs/>
      <w:sz w:val="22"/>
    </w:rPr>
  </w:style>
  <w:style w:type="paragraph" w:styleId="Listenfortsetzung">
    <w:name w:val="List Continue"/>
    <w:basedOn w:val="Standard"/>
    <w:uiPriority w:val="99"/>
    <w:unhideWhenUsed/>
    <w:pPr>
      <w:ind w:left="283"/>
      <w:contextualSpacing/>
    </w:pPr>
  </w:style>
  <w:style w:type="paragraph" w:styleId="Liste2">
    <w:name w:val="List 2"/>
    <w:basedOn w:val="Standard"/>
    <w:uiPriority w:val="8"/>
    <w:unhideWhenUsed/>
    <w:pPr>
      <w:ind w:left="566" w:hanging="283"/>
      <w:contextualSpacing/>
    </w:pPr>
  </w:style>
  <w:style w:type="paragraph" w:styleId="Liste3">
    <w:name w:val="List 3"/>
    <w:basedOn w:val="Standard"/>
    <w:uiPriority w:val="8"/>
    <w:unhideWhenUsed/>
    <w:pPr>
      <w:ind w:left="849" w:hanging="283"/>
      <w:contextualSpacing/>
    </w:pPr>
  </w:style>
  <w:style w:type="paragraph" w:styleId="Liste4">
    <w:name w:val="List 4"/>
    <w:basedOn w:val="Standard"/>
    <w:uiPriority w:val="8"/>
    <w:unhideWhenUsed/>
    <w:pPr>
      <w:ind w:left="1132" w:hanging="283"/>
      <w:contextualSpacing/>
    </w:pPr>
  </w:style>
  <w:style w:type="paragraph" w:styleId="Liste5">
    <w:name w:val="List 5"/>
    <w:basedOn w:val="Standard"/>
    <w:uiPriority w:val="8"/>
    <w:unhideWhenUsed/>
    <w:pPr>
      <w:ind w:left="1415" w:hanging="283"/>
      <w:contextualSpacing/>
    </w:pPr>
  </w:style>
  <w:style w:type="paragraph" w:styleId="Listenfortsetzung2">
    <w:name w:val="List Continue 2"/>
    <w:basedOn w:val="Standard"/>
    <w:uiPriority w:val="99"/>
    <w:unhideWhenUsed/>
    <w:pPr>
      <w:ind w:left="566"/>
      <w:contextualSpacing/>
    </w:pPr>
  </w:style>
  <w:style w:type="paragraph" w:styleId="Listenfortsetzung3">
    <w:name w:val="List Continue 3"/>
    <w:basedOn w:val="Standard"/>
    <w:uiPriority w:val="99"/>
    <w:unhideWhenUsed/>
    <w:pPr>
      <w:ind w:left="849"/>
      <w:contextualSpacing/>
    </w:pPr>
  </w:style>
  <w:style w:type="paragraph" w:styleId="Listenfortsetzung4">
    <w:name w:val="List Continue 4"/>
    <w:basedOn w:val="Standard"/>
    <w:uiPriority w:val="99"/>
    <w:unhideWhenUsed/>
    <w:pPr>
      <w:ind w:left="1132"/>
      <w:contextualSpacing/>
    </w:pPr>
  </w:style>
  <w:style w:type="paragraph" w:styleId="Listenfortsetzung5">
    <w:name w:val="List Continue 5"/>
    <w:basedOn w:val="Standard"/>
    <w:uiPriority w:val="99"/>
    <w:unhideWhenUsed/>
    <w:pPr>
      <w:ind w:left="1415"/>
      <w:contextualSpacing/>
    </w:pPr>
  </w:style>
  <w:style w:type="paragraph" w:styleId="Verzeichnis7">
    <w:name w:val="toc 7"/>
    <w:basedOn w:val="Standard"/>
    <w:next w:val="Standard"/>
    <w:autoRedefine/>
    <w:uiPriority w:val="4"/>
    <w:unhideWhenUsed/>
    <w:pPr>
      <w:spacing w:after="100"/>
      <w:ind w:left="1200"/>
    </w:pPr>
  </w:style>
  <w:style w:type="paragraph" w:styleId="Verzeichnis8">
    <w:name w:val="toc 8"/>
    <w:basedOn w:val="Standard"/>
    <w:next w:val="Standard"/>
    <w:autoRedefine/>
    <w:uiPriority w:val="4"/>
    <w:unhideWhenUsed/>
    <w:pPr>
      <w:spacing w:after="100"/>
      <w:ind w:left="1400"/>
    </w:pPr>
  </w:style>
  <w:style w:type="paragraph" w:styleId="Verzeichnis9">
    <w:name w:val="toc 9"/>
    <w:basedOn w:val="Standard"/>
    <w:next w:val="Standard"/>
    <w:autoRedefine/>
    <w:uiPriority w:val="4"/>
    <w:unhideWhenUsed/>
    <w:pPr>
      <w:spacing w:after="100"/>
      <w:ind w:left="1600"/>
    </w:pPr>
  </w:style>
  <w:style w:type="paragraph" w:styleId="Titel">
    <w:name w:val="Title"/>
    <w:basedOn w:val="Standard"/>
    <w:next w:val="Standard"/>
    <w:link w:val="TitelZchn"/>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rteilszitat">
    <w:name w:val="Urteilszitat"/>
    <w:basedOn w:val="Standard"/>
    <w:next w:val="Standard"/>
    <w:pPr>
      <w:overflowPunct w:val="0"/>
      <w:ind w:left="425" w:right="425"/>
      <w:textAlignment w:val="baseline"/>
    </w:pPr>
    <w:rPr>
      <w:rFonts w:ascii="IowanOldSt BT" w:hAnsi="IowanOldSt BT"/>
      <w:sz w:val="28"/>
      <w:vertAlign w:val="superscript"/>
    </w:rPr>
  </w:style>
  <w:style w:type="paragraph" w:styleId="Datum">
    <w:name w:val="Date"/>
    <w:basedOn w:val="Standard"/>
    <w:next w:val="Standard"/>
    <w:link w:val="DatumZchn"/>
    <w:uiPriority w:val="99"/>
    <w:unhideWhenUsed/>
  </w:style>
  <w:style w:type="paragraph" w:styleId="Dokumentstruktur">
    <w:name w:val="Document Map"/>
    <w:basedOn w:val="Standard"/>
    <w:link w:val="DokumentstrukturZchn"/>
    <w:uiPriority w:val="99"/>
    <w:unhideWhenUsed/>
    <w:pPr>
      <w:spacing w:after="0"/>
    </w:pPr>
    <w:rPr>
      <w:rFonts w:ascii="Tahoma" w:hAnsi="Tahoma" w:cs="Tahoma"/>
      <w:sz w:val="16"/>
      <w:szCs w:val="16"/>
    </w:rPr>
  </w:style>
  <w:style w:type="paragraph" w:styleId="E-Mail-Signatur">
    <w:name w:val="E-mail Signature"/>
    <w:basedOn w:val="Standard"/>
    <w:link w:val="E-Mail-SignaturZchn"/>
    <w:uiPriority w:val="99"/>
    <w:unhideWhenUsed/>
    <w:pPr>
      <w:spacing w:after="0"/>
    </w:pPr>
  </w:style>
  <w:style w:type="paragraph" w:styleId="Fu-Endnotenberschrift">
    <w:name w:val="Note Heading"/>
    <w:basedOn w:val="Standard"/>
    <w:next w:val="Standard"/>
    <w:link w:val="Fu-EndnotenberschriftZchn"/>
    <w:uiPriority w:val="99"/>
    <w:unhideWhenUsed/>
    <w:pPr>
      <w:spacing w:after="0"/>
    </w:pPr>
  </w:style>
  <w:style w:type="paragraph" w:styleId="Gruformel">
    <w:name w:val="Closing"/>
    <w:basedOn w:val="Standard"/>
    <w:link w:val="GruformelZchn"/>
    <w:uiPriority w:val="99"/>
    <w:unhideWhenUsed/>
    <w:pPr>
      <w:spacing w:after="0"/>
      <w:ind w:left="4252"/>
    </w:pPr>
  </w:style>
  <w:style w:type="paragraph" w:styleId="HTMLAdresse">
    <w:name w:val="HTML Address"/>
    <w:basedOn w:val="Standard"/>
    <w:link w:val="HTMLAdresseZchn"/>
    <w:uiPriority w:val="99"/>
    <w:unhideWhenUsed/>
    <w:pPr>
      <w:spacing w:after="0"/>
    </w:pPr>
    <w:rPr>
      <w:i/>
      <w:iCs/>
    </w:rPr>
  </w:style>
  <w:style w:type="paragraph" w:styleId="HTMLVorformatiert">
    <w:name w:val="HTML Preformatted"/>
    <w:basedOn w:val="Standard"/>
    <w:link w:val="HTMLVorformatiertZchn"/>
    <w:uiPriority w:val="99"/>
    <w:unhideWhenUsed/>
    <w:pPr>
      <w:spacing w:after="0"/>
    </w:pPr>
    <w:rPr>
      <w:rFonts w:ascii="Consolas" w:hAnsi="Consolas" w:cs="Consolas"/>
    </w:rPr>
  </w:style>
  <w:style w:type="paragraph" w:styleId="Index2">
    <w:name w:val="index 2"/>
    <w:basedOn w:val="Standard"/>
    <w:next w:val="Standard"/>
    <w:autoRedefine/>
    <w:uiPriority w:val="5"/>
    <w:unhideWhenUsed/>
    <w:pPr>
      <w:spacing w:after="0"/>
      <w:ind w:left="400" w:hanging="200"/>
    </w:pPr>
  </w:style>
  <w:style w:type="paragraph" w:styleId="Index3">
    <w:name w:val="index 3"/>
    <w:basedOn w:val="Standard"/>
    <w:next w:val="Standard"/>
    <w:autoRedefine/>
    <w:uiPriority w:val="5"/>
    <w:unhideWhenUsed/>
    <w:pPr>
      <w:spacing w:after="0"/>
      <w:ind w:left="600" w:hanging="200"/>
    </w:pPr>
  </w:style>
  <w:style w:type="paragraph" w:styleId="Index4">
    <w:name w:val="index 4"/>
    <w:basedOn w:val="Standard"/>
    <w:next w:val="Standard"/>
    <w:autoRedefine/>
    <w:uiPriority w:val="5"/>
    <w:unhideWhenUsed/>
    <w:pPr>
      <w:spacing w:after="0"/>
      <w:ind w:left="800" w:hanging="200"/>
    </w:pPr>
  </w:style>
  <w:style w:type="paragraph" w:styleId="Index5">
    <w:name w:val="index 5"/>
    <w:basedOn w:val="Standard"/>
    <w:next w:val="Standard"/>
    <w:autoRedefine/>
    <w:uiPriority w:val="5"/>
    <w:unhideWhenUsed/>
    <w:pPr>
      <w:spacing w:after="0"/>
      <w:ind w:left="1000" w:hanging="200"/>
    </w:pPr>
  </w:style>
  <w:style w:type="paragraph" w:styleId="Index6">
    <w:name w:val="index 6"/>
    <w:basedOn w:val="Standard"/>
    <w:next w:val="Standard"/>
    <w:autoRedefine/>
    <w:uiPriority w:val="5"/>
    <w:unhideWhenUsed/>
    <w:pPr>
      <w:spacing w:after="0"/>
      <w:ind w:left="1200" w:hanging="200"/>
    </w:pPr>
  </w:style>
  <w:style w:type="paragraph" w:styleId="Index7">
    <w:name w:val="index 7"/>
    <w:basedOn w:val="Standard"/>
    <w:next w:val="Standard"/>
    <w:autoRedefine/>
    <w:uiPriority w:val="5"/>
    <w:unhideWhenUsed/>
    <w:pPr>
      <w:spacing w:after="0"/>
      <w:ind w:left="1400" w:hanging="200"/>
    </w:pPr>
  </w:style>
  <w:style w:type="paragraph" w:styleId="Index8">
    <w:name w:val="index 8"/>
    <w:basedOn w:val="Standard"/>
    <w:next w:val="Standard"/>
    <w:autoRedefine/>
    <w:uiPriority w:val="5"/>
    <w:unhideWhenUsed/>
    <w:pPr>
      <w:spacing w:after="0"/>
      <w:ind w:left="1600" w:hanging="200"/>
    </w:pPr>
  </w:style>
  <w:style w:type="paragraph" w:styleId="Index9">
    <w:name w:val="index 9"/>
    <w:basedOn w:val="Standard"/>
    <w:next w:val="Standard"/>
    <w:autoRedefine/>
    <w:uiPriority w:val="5"/>
    <w:unhideWhenUsed/>
    <w:pPr>
      <w:spacing w:after="0"/>
      <w:ind w:left="1800" w:hanging="200"/>
    </w:pPr>
  </w:style>
  <w:style w:type="paragraph" w:styleId="Kommentartext">
    <w:name w:val="annotation text"/>
    <w:basedOn w:val="Standard"/>
    <w:link w:val="KommentartextZchn"/>
    <w:uiPriority w:val="99"/>
    <w:unhideWhenUsed/>
  </w:style>
  <w:style w:type="paragraph" w:styleId="Listennummer">
    <w:name w:val="List Number"/>
    <w:basedOn w:val="Standard"/>
    <w:uiPriority w:val="99"/>
    <w:unhideWhenUsed/>
    <w:pPr>
      <w:numPr>
        <w:numId w:val="1"/>
      </w:numPr>
      <w:contextualSpacing/>
    </w:pPr>
  </w:style>
  <w:style w:type="paragraph" w:styleId="Listennummer2">
    <w:name w:val="List Number 2"/>
    <w:basedOn w:val="Standard"/>
    <w:uiPriority w:val="99"/>
    <w:unhideWhenUsed/>
    <w:pPr>
      <w:numPr>
        <w:numId w:val="2"/>
      </w:numPr>
      <w:contextualSpacing/>
    </w:pPr>
  </w:style>
  <w:style w:type="paragraph" w:styleId="Listennummer3">
    <w:name w:val="List Number 3"/>
    <w:basedOn w:val="Standard"/>
    <w:uiPriority w:val="99"/>
    <w:unhideWhenUsed/>
    <w:pPr>
      <w:numPr>
        <w:numId w:val="3"/>
      </w:numPr>
      <w:contextualSpacing/>
    </w:pPr>
  </w:style>
  <w:style w:type="paragraph" w:styleId="Listennummer4">
    <w:name w:val="List Number 4"/>
    <w:basedOn w:val="Standard"/>
    <w:uiPriority w:val="99"/>
    <w:unhideWhenUsed/>
    <w:pPr>
      <w:numPr>
        <w:numId w:val="4"/>
      </w:numPr>
      <w:contextualSpacing/>
    </w:pPr>
  </w:style>
  <w:style w:type="paragraph" w:styleId="Listennummer5">
    <w:name w:val="List Number 5"/>
    <w:basedOn w:val="Standard"/>
    <w:uiPriority w:val="99"/>
    <w:unhideWhenUsed/>
    <w:pPr>
      <w:numPr>
        <w:numId w:val="5"/>
      </w:numPr>
      <w:contextualSpacing/>
    </w:pPr>
  </w:style>
  <w:style w:type="paragraph" w:styleId="StandardWeb">
    <w:name w:val="Normal (Web)"/>
    <w:basedOn w:val="Standard"/>
    <w:uiPriority w:val="99"/>
    <w:unhideWhenUsed/>
    <w:rPr>
      <w:rFonts w:ascii="Times New Roman" w:hAnsi="Times New Roman" w:cs="Times New Roman"/>
      <w:sz w:val="24"/>
      <w:szCs w:val="24"/>
    </w:rPr>
  </w:style>
  <w:style w:type="paragraph" w:styleId="Standardeinzug">
    <w:name w:val="Normal Indent"/>
    <w:basedOn w:val="Standard"/>
    <w:uiPriority w:val="99"/>
    <w:unhideWhenUsed/>
    <w:pPr>
      <w:ind w:left="708"/>
    </w:pPr>
  </w:style>
  <w:style w:type="paragraph" w:styleId="Umschlagabsenderadresse">
    <w:name w:val="envelope return"/>
    <w:basedOn w:val="Standard"/>
    <w:uiPriority w:val="99"/>
    <w:unhideWhenUsed/>
    <w:pPr>
      <w:spacing w:after="0"/>
    </w:pPr>
    <w:rPr>
      <w:rFonts w:asciiTheme="majorHAnsi" w:eastAsiaTheme="majorEastAsia" w:hAnsiTheme="majorHAnsi" w:cstheme="majorBidi"/>
    </w:rPr>
  </w:style>
  <w:style w:type="paragraph" w:styleId="Umschlagadresse">
    <w:name w:val="envelope address"/>
    <w:basedOn w:val="Standard"/>
    <w:uiPriority w:val="99"/>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unhideWhenUsed/>
    <w:pPr>
      <w:spacing w:after="0"/>
      <w:ind w:left="4252"/>
    </w:pPr>
  </w:style>
  <w:style w:type="paragraph" w:customStyle="1" w:styleId="-WeLAufzhlung-">
    <w:name w:val="- WeL Aufzählung -"/>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pPr>
      <w:tabs>
        <w:tab w:val="left" w:pos="454"/>
      </w:tabs>
      <w:outlineLvl w:val="5"/>
    </w:pPr>
    <w:rPr>
      <w:i/>
    </w:rPr>
  </w:style>
  <w:style w:type="paragraph" w:customStyle="1" w:styleId="-WeLReiheUmschlagtext-">
    <w:name w:val="- WeL Reihe Umschlagtext -"/>
    <w:pPr>
      <w:suppressAutoHyphens/>
      <w:spacing w:after="240"/>
      <w:ind w:right="737"/>
    </w:pPr>
    <w:rPr>
      <w:rFonts w:ascii="Arial" w:hAnsi="Arial" w:cs="Arial"/>
      <w:sz w:val="22"/>
      <w:szCs w:val="22"/>
    </w:rPr>
  </w:style>
  <w:style w:type="paragraph" w:customStyle="1" w:styleId="-WeLReihe-">
    <w:name w:val="- WeL Reihe -"/>
    <w:next w:val="-WeLReiheAutor-"/>
    <w:pPr>
      <w:spacing w:before="1940" w:after="7600" w:line="360" w:lineRule="auto"/>
      <w:ind w:left="1985"/>
    </w:pPr>
    <w:rPr>
      <w:rFonts w:ascii="Arial" w:hAnsi="Arial"/>
      <w:caps/>
      <w:spacing w:val="40"/>
      <w:sz w:val="24"/>
    </w:rPr>
  </w:style>
  <w:style w:type="paragraph" w:customStyle="1" w:styleId="-WeLReiheAutor-">
    <w:name w:val="- WeL Reihe Autor -"/>
    <w:next w:val="-WeLReiheTitel-"/>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pPr>
      <w:ind w:left="1134" w:hanging="567"/>
    </w:pPr>
    <w:rPr>
      <w:rFonts w:ascii="Trebuchet MS" w:hAnsi="Trebuchet MS"/>
      <w:b/>
      <w:sz w:val="32"/>
      <w:szCs w:val="32"/>
      <w:lang w:val="en-GB"/>
    </w:rPr>
  </w:style>
  <w:style w:type="paragraph" w:customStyle="1" w:styleId="-WeLReiheUntertitel-">
    <w:name w:val="- WeL Reihe Untertitel -"/>
    <w:pPr>
      <w:spacing w:before="240"/>
      <w:ind w:firstLine="567"/>
      <w:jc w:val="both"/>
    </w:pPr>
    <w:rPr>
      <w:rFonts w:ascii="Arial" w:hAnsi="Arial"/>
      <w:sz w:val="24"/>
      <w:szCs w:val="28"/>
    </w:rPr>
  </w:style>
  <w:style w:type="paragraph" w:customStyle="1" w:styleId="-WeLAbkVerz-">
    <w:name w:val="- WeL AbkVerz -"/>
    <w:basedOn w:val="-WeLStandardtext-"/>
    <w:pPr>
      <w:spacing w:after="0"/>
      <w:ind w:left="1418" w:hanging="1418"/>
      <w:jc w:val="left"/>
    </w:pPr>
  </w:style>
  <w:style w:type="paragraph" w:customStyle="1" w:styleId="-WeLBildunterschrift-">
    <w:name w:val="- WeL Bildunterschrift -"/>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pPr>
      <w:keepNext/>
      <w:spacing w:before="480" w:after="240"/>
    </w:pPr>
    <w:rPr>
      <w:b/>
      <w:color w:val="auto"/>
    </w:rPr>
  </w:style>
  <w:style w:type="paragraph" w:customStyle="1" w:styleId="-WeLFuzeile-">
    <w:name w:val="- WeL Fußzeile -"/>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pPr>
      <w:pageBreakBefore/>
      <w:outlineLvl w:val="0"/>
    </w:pPr>
    <w:rPr>
      <w:rFonts w:ascii="Arial" w:hAnsi="Arial"/>
      <w:b/>
      <w:caps/>
      <w:color w:val="87BD21"/>
      <w:sz w:val="36"/>
      <w:szCs w:val="24"/>
    </w:rPr>
  </w:style>
  <w:style w:type="paragraph" w:customStyle="1" w:styleId="-WeLKopfzeile-">
    <w:name w:val="- WeL Kopfzeile -"/>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pPr>
      <w:spacing w:after="160"/>
      <w:ind w:left="425" w:hanging="425"/>
    </w:pPr>
  </w:style>
  <w:style w:type="character" w:customStyle="1" w:styleId="-WeLLiteraturverzeichnis-Zchn">
    <w:name w:val="- WeL Literaturverzeichnis - Zchn"/>
    <w:link w:val="-WeLLiteraturverzeichnis-"/>
    <w:rPr>
      <w:rFonts w:ascii="Arial" w:hAnsi="Arial"/>
      <w:color w:val="000000"/>
      <w:sz w:val="22"/>
      <w:szCs w:val="24"/>
    </w:rPr>
  </w:style>
  <w:style w:type="paragraph" w:customStyle="1" w:styleId="-WeLSeitenumbruchoberhalb-">
    <w:name w:val="- WeL Seitenumbruch oberhalb -"/>
    <w:basedOn w:val="-WeLStandardtext-"/>
    <w:pPr>
      <w:pageBreakBefore/>
    </w:pPr>
  </w:style>
  <w:style w:type="paragraph" w:customStyle="1" w:styleId="Autor">
    <w:name w:val="Autor"/>
    <w:basedOn w:val="Funotentext"/>
    <w:rPr>
      <w:smallCaps/>
    </w:rPr>
  </w:style>
  <w:style w:type="paragraph" w:customStyle="1" w:styleId="-WeLberschrift1-">
    <w:name w:val="- WeL Überschrift 1 -"/>
    <w:next w:val="-WeLStandardtext-"/>
    <w:pPr>
      <w:keepNext/>
      <w:numPr>
        <w:ilvl w:val="1"/>
        <w:numId w:val="12"/>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pPr>
      <w:numPr>
        <w:ilvl w:val="4"/>
        <w:numId w:val="12"/>
      </w:numPr>
      <w:spacing w:before="80" w:after="60"/>
      <w:outlineLvl w:val="4"/>
    </w:pPr>
  </w:style>
  <w:style w:type="paragraph" w:customStyle="1" w:styleId="-WeLberschrift3-">
    <w:name w:val="- WeL Überschrift 3 -"/>
    <w:basedOn w:val="Standard"/>
    <w:next w:val="Standard"/>
    <w:pPr>
      <w:keepNext/>
      <w:tabs>
        <w:tab w:val="num" w:pos="680"/>
      </w:tabs>
      <w:spacing w:before="120" w:after="80"/>
      <w:ind w:left="680" w:hanging="680"/>
      <w:outlineLvl w:val="2"/>
    </w:pPr>
    <w:rPr>
      <w:b/>
      <w:bCs/>
    </w:rPr>
  </w:style>
  <w:style w:type="paragraph" w:customStyle="1" w:styleId="-WeLberschrift6-">
    <w:name w:val="- WeL Überschrift 6 -"/>
    <w:basedOn w:val="berschrift6"/>
    <w:next w:val="-WeLStandardtext-"/>
    <w:pPr>
      <w:numPr>
        <w:numId w:val="6"/>
      </w:numPr>
      <w:outlineLvl w:val="6"/>
    </w:pPr>
    <w:rPr>
      <w:b w:val="0"/>
    </w:rPr>
  </w:style>
  <w:style w:type="paragraph" w:customStyle="1" w:styleId="-WeLZwischenberschrift-">
    <w:name w:val="- WeL Zwischenüberschrift -"/>
    <w:basedOn w:val="-WeLStandardtext-"/>
    <w:next w:val="-WeLStandardtext-"/>
    <w:pPr>
      <w:keepNext/>
      <w:spacing w:before="100" w:beforeAutospacing="1" w:after="100" w:afterAutospacing="1"/>
    </w:pPr>
    <w:rPr>
      <w:b/>
      <w:bCs/>
      <w:i/>
      <w:iCs/>
    </w:rPr>
  </w:style>
  <w:style w:type="paragraph" w:customStyle="1" w:styleId="Beispiel">
    <w:name w:val="Beispiel"/>
    <w:autoRedefine/>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basedOn w:val="Absatz-Standardschriftart"/>
    <w:uiPriority w:val="99"/>
    <w:unhideWhenUsed/>
    <w:rPr>
      <w:color w:val="800080" w:themeColor="followedHyperlink"/>
      <w:u w:val="single"/>
    </w:rPr>
  </w:style>
  <w:style w:type="character" w:styleId="HTMLAkronym">
    <w:name w:val="HTML Acronym"/>
    <w:basedOn w:val="Absatz-Standardschriftart"/>
    <w:uiPriority w:val="99"/>
    <w:unhideWhenUsed/>
  </w:style>
  <w:style w:type="character" w:styleId="HTMLBeispiel">
    <w:name w:val="HTML Sample"/>
    <w:basedOn w:val="Absatz-Standardschriftart"/>
    <w:uiPriority w:val="99"/>
    <w:unhideWhenUsed/>
    <w:rPr>
      <w:rFonts w:ascii="Consolas" w:hAnsi="Consolas" w:cs="Consolas"/>
      <w:sz w:val="24"/>
      <w:szCs w:val="24"/>
    </w:rPr>
  </w:style>
  <w:style w:type="character" w:styleId="HTMLCode">
    <w:name w:val="HTML Code"/>
    <w:basedOn w:val="Absatz-Standardschriftart"/>
    <w:uiPriority w:val="99"/>
    <w:unhideWhenUsed/>
    <w:rPr>
      <w:rFonts w:ascii="Consolas" w:hAnsi="Consolas" w:cs="Consolas"/>
      <w:sz w:val="20"/>
      <w:szCs w:val="20"/>
    </w:rPr>
  </w:style>
  <w:style w:type="character" w:styleId="HTMLDefinition">
    <w:name w:val="HTML Definition"/>
    <w:basedOn w:val="Absatz-Standardschriftart"/>
    <w:uiPriority w:val="99"/>
    <w:unhideWhenUsed/>
    <w:rPr>
      <w:i/>
      <w:iCs/>
    </w:rPr>
  </w:style>
  <w:style w:type="character" w:styleId="HTMLSchreibmaschine">
    <w:name w:val="HTML Typewriter"/>
    <w:basedOn w:val="Absatz-Standardschriftart"/>
    <w:uiPriority w:val="99"/>
    <w:unhideWhenUsed/>
    <w:rPr>
      <w:rFonts w:ascii="Consolas" w:hAnsi="Consolas" w:cs="Consolas"/>
      <w:sz w:val="20"/>
      <w:szCs w:val="20"/>
    </w:rPr>
  </w:style>
  <w:style w:type="character" w:styleId="HTMLTastatur">
    <w:name w:val="HTML Keyboard"/>
    <w:basedOn w:val="Absatz-Standardschriftart"/>
    <w:uiPriority w:val="99"/>
    <w:unhideWhenUsed/>
    <w:rPr>
      <w:rFonts w:ascii="Consolas" w:hAnsi="Consolas" w:cs="Consolas"/>
      <w:sz w:val="20"/>
      <w:szCs w:val="20"/>
    </w:rPr>
  </w:style>
  <w:style w:type="character" w:styleId="HTMLVariable">
    <w:name w:val="HTML Variable"/>
    <w:basedOn w:val="Absatz-Standardschriftart"/>
    <w:uiPriority w:val="99"/>
    <w:unhideWhenUsed/>
    <w:rPr>
      <w:i/>
      <w:iCs/>
    </w:rPr>
  </w:style>
  <w:style w:type="character" w:styleId="HTMLZitat">
    <w:name w:val="HTML Cite"/>
    <w:basedOn w:val="Absatz-Standardschriftart"/>
    <w:uiPriority w:val="99"/>
    <w:unhideWhenUsed/>
    <w:rPr>
      <w:i/>
      <w:iCs/>
    </w:rPr>
  </w:style>
  <w:style w:type="paragraph" w:styleId="Kommentarthema">
    <w:name w:val="annotation subject"/>
    <w:basedOn w:val="Kommentartext"/>
    <w:next w:val="Kommentartext"/>
    <w:link w:val="KommentarthemaZchn"/>
    <w:uiPriority w:val="99"/>
    <w:unhideWhenUsed/>
    <w:rPr>
      <w:b/>
      <w:bCs/>
    </w:rPr>
  </w:style>
  <w:style w:type="character" w:styleId="Kommentarzeichen">
    <w:name w:val="annotation reference"/>
    <w:basedOn w:val="Absatz-Standardschriftart"/>
    <w:uiPriority w:val="99"/>
    <w:unhideWhenUsed/>
    <w:rPr>
      <w:sz w:val="16"/>
      <w:szCs w:val="16"/>
    </w:rPr>
  </w:style>
  <w:style w:type="paragraph" w:styleId="Sprechblasentext">
    <w:name w:val="Balloon Text"/>
    <w:basedOn w:val="Standard"/>
    <w:link w:val="SprechblasentextZchn"/>
    <w:uiPriority w:val="99"/>
    <w:unhideWhenUsed/>
    <w:pPr>
      <w:spacing w:after="0"/>
    </w:pPr>
    <w:rPr>
      <w:rFonts w:ascii="Tahoma" w:hAnsi="Tahoma" w:cs="Tahoma"/>
      <w:sz w:val="16"/>
      <w:szCs w:val="16"/>
    </w:rPr>
  </w:style>
  <w:style w:type="paragraph" w:customStyle="1" w:styleId="Tabelle">
    <w:name w:val="Tabelle"/>
    <w:pPr>
      <w:spacing w:after="360"/>
    </w:pPr>
    <w:rPr>
      <w:rFonts w:ascii="Swis721 BT" w:hAnsi="Swis721 BT" w:cs="Arial"/>
      <w:noProof/>
      <w:sz w:val="22"/>
      <w:szCs w:val="22"/>
    </w:rPr>
  </w:style>
  <w:style w:type="character" w:styleId="Zeilennummer">
    <w:name w:val="line number"/>
    <w:basedOn w:val="Absatz-Standardschriftart"/>
    <w:uiPriority w:val="99"/>
    <w:unhideWhenUsed/>
  </w:style>
  <w:style w:type="paragraph" w:customStyle="1" w:styleId="-WeLZusammenfassung-">
    <w:name w:val="- WeL Zusammenfassung -"/>
    <w:next w:val="Standard"/>
    <w:pPr>
      <w:spacing w:before="600" w:after="120"/>
    </w:pPr>
    <w:rPr>
      <w:rFonts w:ascii="Arial" w:hAnsi="Arial"/>
      <w:b/>
      <w:color w:val="808080"/>
      <w:sz w:val="28"/>
    </w:rPr>
  </w:style>
  <w:style w:type="paragraph" w:customStyle="1" w:styleId="-WeLZusammenfassungText-">
    <w:name w:val="- WeL Zusammenfassung Text -"/>
    <w:next w:val="Standar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Pr>
      <w:i/>
      <w:iCs/>
    </w:rPr>
  </w:style>
  <w:style w:type="character" w:customStyle="1" w:styleId="-WeLLiteraturverzeichnis-KursivZchn">
    <w:name w:val="- WeL Literaturverzeichnis - + Kursiv Zchn"/>
    <w:link w:val="-WeLLiteraturverzeichnis-Kursiv"/>
    <w:rPr>
      <w:rFonts w:ascii="Arial" w:hAnsi="Arial"/>
      <w:i/>
      <w:iCs/>
      <w:color w:val="000000"/>
      <w:sz w:val="22"/>
      <w:szCs w:val="24"/>
    </w:rPr>
  </w:style>
  <w:style w:type="table" w:styleId="Tabellenraster">
    <w:name w:val="Table Grid"/>
    <w:basedOn w:val="NormaleTabelle"/>
    <w:uiPriority w:val="59"/>
    <w:pPr>
      <w:ind w:left="284" w:hanging="284"/>
    </w:pPr>
    <w:rPr>
      <w:rFonts w:ascii="Arial"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Lberschrift2-">
    <w:name w:val="- WeL Überschrift 2 -"/>
    <w:next w:val="Standard"/>
    <w:pPr>
      <w:keepNext/>
      <w:numPr>
        <w:ilvl w:val="2"/>
        <w:numId w:val="12"/>
      </w:numPr>
      <w:tabs>
        <w:tab w:val="left" w:pos="680"/>
      </w:tabs>
      <w:spacing w:before="240" w:after="80"/>
      <w:outlineLvl w:val="2"/>
    </w:pPr>
    <w:rPr>
      <w:rFonts w:ascii="Arial" w:hAnsi="Arial"/>
      <w:b/>
      <w:sz w:val="24"/>
      <w:szCs w:val="24"/>
    </w:rPr>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hAnsi="Arial" w:cstheme="minorBidi"/>
      <w:lang w:eastAsia="en-US"/>
    </w:rPr>
  </w:style>
  <w:style w:type="paragraph" w:styleId="Aufzhlungszeichen">
    <w:name w:val="List Bullet"/>
    <w:basedOn w:val="Standard"/>
    <w:uiPriority w:val="99"/>
    <w:unhideWhenUsed/>
    <w:pPr>
      <w:numPr>
        <w:numId w:val="7"/>
      </w:numPr>
      <w:contextualSpacing/>
    </w:pPr>
  </w:style>
  <w:style w:type="paragraph" w:styleId="Aufzhlungszeichen2">
    <w:name w:val="List Bullet 2"/>
    <w:basedOn w:val="Standard"/>
    <w:uiPriority w:val="99"/>
    <w:semiHidden/>
    <w:unhideWhenUsed/>
    <w:pPr>
      <w:numPr>
        <w:numId w:val="8"/>
      </w:numPr>
      <w:contextualSpacing/>
    </w:pPr>
  </w:style>
  <w:style w:type="paragraph" w:styleId="Aufzhlungszeichen3">
    <w:name w:val="List Bullet 3"/>
    <w:basedOn w:val="Standard"/>
    <w:uiPriority w:val="99"/>
    <w:semiHidden/>
    <w:unhideWhenUsed/>
    <w:pPr>
      <w:numPr>
        <w:numId w:val="9"/>
      </w:numPr>
      <w:contextualSpacing/>
    </w:pPr>
  </w:style>
  <w:style w:type="paragraph" w:styleId="Aufzhlungszeichen4">
    <w:name w:val="List Bullet 4"/>
    <w:basedOn w:val="Standard"/>
    <w:uiPriority w:val="99"/>
    <w:semiHidden/>
    <w:unhideWhenUsed/>
    <w:pPr>
      <w:numPr>
        <w:numId w:val="10"/>
      </w:numPr>
      <w:contextualSpacing/>
    </w:pPr>
  </w:style>
  <w:style w:type="paragraph" w:styleId="Aufzhlungszeichen5">
    <w:name w:val="List Bullet 5"/>
    <w:basedOn w:val="Standard"/>
    <w:uiPriority w:val="99"/>
    <w:semiHidden/>
    <w:unhideWhenUsed/>
    <w:pPr>
      <w:numPr>
        <w:numId w:val="11"/>
      </w:numPr>
      <w:contextualSpacing/>
    </w:pPr>
  </w:style>
  <w:style w:type="paragraph" w:styleId="Blocktext">
    <w:name w:val="Block Text"/>
    <w:basedOn w:val="Standard"/>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uchtitel">
    <w:name w:val="Book Title"/>
    <w:basedOn w:val="Absatz-Standardschriftart"/>
    <w:uiPriority w:val="33"/>
    <w:qFormat/>
    <w:rPr>
      <w:b/>
      <w:bCs/>
      <w:smallCaps/>
      <w:spacing w:val="5"/>
    </w:rPr>
  </w:style>
  <w:style w:type="character" w:customStyle="1" w:styleId="DatumZchn">
    <w:name w:val="Datum Zchn"/>
    <w:basedOn w:val="Absatz-Standardschriftart"/>
    <w:link w:val="Datum"/>
    <w:uiPriority w:val="99"/>
    <w:rPr>
      <w:rFonts w:ascii="Arial" w:hAnsi="Arial" w:cstheme="minorBidi"/>
      <w:lang w:eastAsia="en-US"/>
    </w:rPr>
  </w:style>
  <w:style w:type="character" w:customStyle="1" w:styleId="DokumentstrukturZchn">
    <w:name w:val="Dokumentstruktur Zchn"/>
    <w:basedOn w:val="Absatz-Standardschriftart"/>
    <w:link w:val="Dokumentstruktur"/>
    <w:uiPriority w:val="99"/>
    <w:rPr>
      <w:rFonts w:ascii="Tahoma" w:hAnsi="Tahoma" w:cs="Tahoma"/>
      <w:sz w:val="16"/>
      <w:szCs w:val="16"/>
      <w:lang w:eastAsia="en-US"/>
    </w:rPr>
  </w:style>
  <w:style w:type="character" w:customStyle="1" w:styleId="E-Mail-SignaturZchn">
    <w:name w:val="E-Mail-Signatur Zchn"/>
    <w:basedOn w:val="Absatz-Standardschriftart"/>
    <w:link w:val="E-Mail-Signatur"/>
    <w:uiPriority w:val="99"/>
    <w:rPr>
      <w:rFonts w:ascii="Arial" w:hAnsi="Arial" w:cstheme="minorBidi"/>
      <w:lang w:eastAsia="en-US"/>
    </w:rPr>
  </w:style>
  <w:style w:type="character" w:customStyle="1" w:styleId="EndnotentextZchn">
    <w:name w:val="Endnotentext Zchn"/>
    <w:basedOn w:val="Absatz-Standardschriftart"/>
    <w:link w:val="Endnotentext"/>
    <w:uiPriority w:val="5"/>
    <w:rPr>
      <w:rFonts w:ascii="Arial" w:hAnsi="Arial" w:cstheme="minorBidi"/>
      <w:lang w:eastAsia="en-US"/>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character" w:customStyle="1" w:styleId="Fu-EndnotenberschriftZchn">
    <w:name w:val="Fuß/-Endnotenüberschrift Zchn"/>
    <w:basedOn w:val="Absatz-Standardschriftart"/>
    <w:link w:val="Fu-Endnotenberschrift"/>
    <w:uiPriority w:val="99"/>
    <w:rPr>
      <w:rFonts w:ascii="Arial" w:hAnsi="Arial" w:cstheme="minorBidi"/>
      <w:lang w:eastAsia="en-US"/>
    </w:rPr>
  </w:style>
  <w:style w:type="character" w:customStyle="1" w:styleId="FunotentextZchn">
    <w:name w:val="Fußnotentext Zchn"/>
    <w:aliases w:val="WIKO Zchn"/>
    <w:basedOn w:val="Absatz-Standardschriftart"/>
    <w:link w:val="Funotentext"/>
    <w:uiPriority w:val="99"/>
    <w:rPr>
      <w:rFonts w:ascii="Arial" w:hAnsi="Arial" w:cstheme="minorBidi"/>
      <w:lang w:eastAsia="en-US"/>
    </w:rPr>
  </w:style>
  <w:style w:type="character" w:customStyle="1" w:styleId="FuzeileZchn">
    <w:name w:val="Fußzeile Zchn"/>
    <w:basedOn w:val="Absatz-Standardschriftart"/>
    <w:link w:val="Fuzeile"/>
    <w:uiPriority w:val="8"/>
    <w:rPr>
      <w:rFonts w:ascii="Arial" w:hAnsi="Arial" w:cstheme="minorBidi"/>
      <w:lang w:eastAsia="en-US"/>
    </w:rPr>
  </w:style>
  <w:style w:type="character" w:customStyle="1" w:styleId="GruformelZchn">
    <w:name w:val="Grußformel Zchn"/>
    <w:basedOn w:val="Absatz-Standardschriftart"/>
    <w:link w:val="Gruformel"/>
    <w:uiPriority w:val="99"/>
    <w:rPr>
      <w:rFonts w:ascii="Arial" w:hAnsi="Arial" w:cstheme="minorBidi"/>
      <w:lang w:eastAsia="en-US"/>
    </w:rPr>
  </w:style>
  <w:style w:type="character" w:styleId="Hashtag">
    <w:name w:val="Hashtag"/>
    <w:basedOn w:val="Absatz-Standardschriftart"/>
    <w:uiPriority w:val="99"/>
    <w:semiHidden/>
    <w:unhideWhenUsed/>
    <w:rPr>
      <w:color w:val="2B579A"/>
      <w:shd w:val="clear" w:color="auto" w:fill="E1DFDD"/>
    </w:rPr>
  </w:style>
  <w:style w:type="character" w:customStyle="1" w:styleId="HTMLAdresseZchn">
    <w:name w:val="HTML Adresse Zchn"/>
    <w:basedOn w:val="Absatz-Standardschriftart"/>
    <w:link w:val="HTMLAdresse"/>
    <w:uiPriority w:val="99"/>
    <w:rPr>
      <w:rFonts w:ascii="Arial" w:hAnsi="Arial" w:cstheme="minorBidi"/>
      <w:i/>
      <w:iCs/>
      <w:lang w:eastAsia="en-US"/>
    </w:rPr>
  </w:style>
  <w:style w:type="character" w:customStyle="1" w:styleId="HTMLVorformatiertZchn">
    <w:name w:val="HTML Vorformatiert Zchn"/>
    <w:basedOn w:val="Absatz-Standardschriftart"/>
    <w:link w:val="HTMLVorformatiert"/>
    <w:uiPriority w:val="99"/>
    <w:rPr>
      <w:rFonts w:ascii="Consolas" w:hAnsi="Consolas" w:cs="Consolas"/>
      <w:lang w:eastAsia="en-US"/>
    </w:rPr>
  </w:style>
  <w:style w:type="character" w:customStyle="1" w:styleId="berschrift1Zchn">
    <w:name w:val="Überschrift 1 Zchn"/>
    <w:basedOn w:val="Absatz-Standardschriftart"/>
    <w:link w:val="berschrift1"/>
    <w:rPr>
      <w:rFonts w:ascii="Arial" w:hAnsi="Arial" w:cstheme="minorBidi"/>
      <w:b/>
      <w:kern w:val="28"/>
      <w:sz w:val="28"/>
      <w:lang w:eastAsia="en-US"/>
    </w:rPr>
  </w:style>
  <w:style w:type="paragraph" w:styleId="Inhaltsverzeichnisberschrift0">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365F91"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4F81BD" w:themeColor="accent1"/>
    </w:rPr>
  </w:style>
  <w:style w:type="character" w:styleId="IntensiverVerweis">
    <w:name w:val="Intense Reference"/>
    <w:basedOn w:val="Absatz-Standardschriftart"/>
    <w:uiPriority w:val="32"/>
    <w:qFormat/>
    <w:rPr>
      <w:b/>
      <w:bCs/>
      <w:smallCaps/>
      <w:color w:val="C0504D" w:themeColor="accent2"/>
      <w:spacing w:val="5"/>
      <w:u w:val="single"/>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Arial" w:hAnsi="Arial" w:cstheme="minorBidi"/>
      <w:b/>
      <w:bCs/>
      <w:i/>
      <w:iCs/>
      <w:color w:val="4F81BD" w:themeColor="accent1"/>
      <w:lang w:eastAsia="en-US"/>
    </w:rPr>
  </w:style>
  <w:style w:type="paragraph" w:styleId="KeinLeerraum">
    <w:name w:val="No Spacing"/>
    <w:uiPriority w:val="4"/>
    <w:pPr>
      <w:ind w:left="284" w:hanging="284"/>
    </w:pPr>
    <w:rPr>
      <w:rFonts w:ascii="Arial" w:hAnsi="Arial" w:cstheme="minorBidi"/>
      <w:lang w:eastAsia="en-US"/>
    </w:rPr>
  </w:style>
  <w:style w:type="character" w:customStyle="1" w:styleId="KommentartextZchn">
    <w:name w:val="Kommentartext Zchn"/>
    <w:basedOn w:val="Absatz-Standardschriftart"/>
    <w:link w:val="Kommentartext"/>
    <w:uiPriority w:val="99"/>
    <w:rPr>
      <w:rFonts w:ascii="Arial" w:hAnsi="Arial" w:cstheme="minorBidi"/>
      <w:lang w:eastAsia="en-US"/>
    </w:rPr>
  </w:style>
  <w:style w:type="character" w:customStyle="1" w:styleId="KommentarthemaZchn">
    <w:name w:val="Kommentarthema Zchn"/>
    <w:basedOn w:val="KommentartextZchn"/>
    <w:link w:val="Kommentarthema"/>
    <w:uiPriority w:val="99"/>
    <w:rPr>
      <w:rFonts w:ascii="Arial" w:hAnsi="Arial" w:cstheme="minorBidi"/>
      <w:b/>
      <w:bCs/>
      <w:lang w:eastAsia="en-US"/>
    </w:rPr>
  </w:style>
  <w:style w:type="character" w:customStyle="1" w:styleId="KopfzeileZchn">
    <w:name w:val="Kopfzeile Zchn"/>
    <w:basedOn w:val="Absatz-Standardschriftart"/>
    <w:link w:val="Kopfzeile"/>
    <w:uiPriority w:val="8"/>
    <w:rPr>
      <w:rFonts w:ascii="Arial" w:hAnsi="Arial" w:cstheme="minorBidi"/>
      <w:lang w:eastAsia="en-US"/>
    </w:rPr>
  </w:style>
  <w:style w:type="paragraph" w:styleId="Listenabsatz">
    <w:name w:val="List Paragraph"/>
    <w:basedOn w:val="Listeeckig"/>
    <w:uiPriority w:val="34"/>
    <w:qFormat/>
    <w:pPr>
      <w:ind w:left="720"/>
      <w:contextualSpacing/>
    </w:pPr>
  </w:style>
  <w:style w:type="paragraph" w:styleId="Literaturverzeichnis">
    <w:name w:val="Bibliography"/>
    <w:basedOn w:val="Standard"/>
    <w:next w:val="Standard"/>
    <w:uiPriority w:val="37"/>
    <w:unhideWhenUsed/>
    <w:pPr>
      <w:suppressAutoHyphens w:val="0"/>
    </w:pPr>
  </w:style>
  <w:style w:type="paragraph" w:styleId="Makrotext">
    <w:name w:val="macro"/>
    <w:link w:val="MakrotextZchn"/>
    <w:uiPriority w:val="99"/>
    <w:unhideWhenUsed/>
    <w:pPr>
      <w:tabs>
        <w:tab w:val="left" w:pos="480"/>
        <w:tab w:val="left" w:pos="960"/>
        <w:tab w:val="left" w:pos="1440"/>
        <w:tab w:val="left" w:pos="1920"/>
        <w:tab w:val="left" w:pos="2400"/>
        <w:tab w:val="left" w:pos="2880"/>
        <w:tab w:val="left" w:pos="3360"/>
        <w:tab w:val="left" w:pos="3840"/>
        <w:tab w:val="left" w:pos="4320"/>
      </w:tabs>
      <w:ind w:left="284" w:hanging="284"/>
    </w:pPr>
    <w:rPr>
      <w:rFonts w:ascii="Consolas" w:hAnsi="Consolas" w:cs="Consolas"/>
      <w:lang w:eastAsia="en-US"/>
    </w:rPr>
  </w:style>
  <w:style w:type="character" w:customStyle="1" w:styleId="MakrotextZchn">
    <w:name w:val="Makrotext Zchn"/>
    <w:basedOn w:val="Absatz-Standardschriftart"/>
    <w:link w:val="Makrotext"/>
    <w:uiPriority w:val="99"/>
    <w:rPr>
      <w:rFonts w:ascii="Consolas" w:hAnsi="Consolas" w:cs="Consolas"/>
      <w:lang w:eastAsia="en-US"/>
    </w:rPr>
  </w:style>
  <w:style w:type="paragraph" w:styleId="Nachrichtenkopf">
    <w:name w:val="Message Header"/>
    <w:basedOn w:val="Standard"/>
    <w:link w:val="NachrichtenkopfZchn"/>
    <w:uiPriority w:val="99"/>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rPr>
      <w:rFonts w:asciiTheme="majorHAnsi" w:eastAsiaTheme="majorEastAsia" w:hAnsiTheme="majorHAnsi" w:cstheme="majorBidi"/>
      <w:sz w:val="24"/>
      <w:szCs w:val="24"/>
      <w:shd w:val="pct20" w:color="auto" w:fill="auto"/>
      <w:lang w:eastAsia="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hAnsi="Consolas" w:cs="Consolas"/>
      <w:sz w:val="21"/>
      <w:szCs w:val="21"/>
      <w:lang w:eastAsia="en-US"/>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808080" w:themeColor="text1" w:themeTint="7F"/>
    </w:rPr>
  </w:style>
  <w:style w:type="character" w:styleId="SchwacherVerweis">
    <w:name w:val="Subtle Reference"/>
    <w:basedOn w:val="Absatz-Standardschriftart"/>
    <w:uiPriority w:val="31"/>
    <w:qFormat/>
    <w:rPr>
      <w:smallCaps/>
      <w:color w:val="C0504D" w:themeColor="accent2"/>
      <w:u w:val="single"/>
    </w:rPr>
  </w:style>
  <w:style w:type="character" w:customStyle="1" w:styleId="SprechblasentextZchn">
    <w:name w:val="Sprechblasentext Zchn"/>
    <w:basedOn w:val="Absatz-Standardschriftart"/>
    <w:link w:val="Sprechblasentext"/>
    <w:uiPriority w:val="99"/>
    <w:rPr>
      <w:rFonts w:ascii="Tahoma" w:hAnsi="Tahoma" w:cs="Tahoma"/>
      <w:sz w:val="16"/>
      <w:szCs w:val="16"/>
      <w:lang w:eastAsia="en-US"/>
    </w:r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hAnsi="Arial" w:cstheme="minorBidi"/>
      <w:lang w:eastAsia="en-US"/>
    </w:rPr>
  </w:style>
  <w:style w:type="character" w:customStyle="1" w:styleId="Textkrper2Zchn">
    <w:name w:val="Textkörper 2 Zchn"/>
    <w:basedOn w:val="Absatz-Standardschriftart"/>
    <w:link w:val="Textkrper2"/>
    <w:uiPriority w:val="99"/>
    <w:rPr>
      <w:rFonts w:ascii="Arial" w:hAnsi="Arial" w:cstheme="minorBidi"/>
      <w:lang w:eastAsia="en-US"/>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hAnsi="Arial" w:cstheme="minorBidi"/>
      <w:sz w:val="16"/>
      <w:szCs w:val="16"/>
      <w:lang w:eastAsia="en-US"/>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hAnsi="Arial" w:cstheme="minorBidi"/>
      <w:lang w:eastAsia="en-US"/>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hAnsi="Arial" w:cstheme="minorBidi"/>
      <w:sz w:val="16"/>
      <w:szCs w:val="16"/>
      <w:lang w:eastAsia="en-US"/>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hAnsi="Arial" w:cstheme="minorBidi"/>
      <w:lang w:eastAsia="en-US"/>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cstheme="minorBidi"/>
      <w:lang w:eastAsia="en-US"/>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hAnsi="Arial" w:cstheme="minorBidi"/>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erschrift2Zchn">
    <w:name w:val="Überschrift 2 Zchn"/>
    <w:basedOn w:val="Absatz-Standardschriftart"/>
    <w:link w:val="berschrift2"/>
    <w:rPr>
      <w:rFonts w:ascii="Arial" w:hAnsi="Arial" w:cstheme="minorBidi"/>
      <w:b/>
      <w:lang w:eastAsia="en-US"/>
    </w:rPr>
  </w:style>
  <w:style w:type="character" w:customStyle="1" w:styleId="berschrift3Zchn">
    <w:name w:val="Überschrift 3 Zchn"/>
    <w:basedOn w:val="Absatz-Standardschriftart"/>
    <w:link w:val="berschrift3"/>
    <w:rPr>
      <w:rFonts w:ascii="Arial" w:hAnsi="Arial" w:cstheme="minorBidi"/>
      <w:b/>
      <w:lang w:eastAsia="en-US"/>
    </w:rPr>
  </w:style>
  <w:style w:type="character" w:customStyle="1" w:styleId="berschrift4Zchn">
    <w:name w:val="Überschrift 4 Zchn"/>
    <w:basedOn w:val="Absatz-Standardschriftart"/>
    <w:link w:val="berschrift4"/>
    <w:rPr>
      <w:rFonts w:ascii="Arial" w:hAnsi="Arial" w:cstheme="minorBidi"/>
      <w:b/>
      <w:lang w:eastAsia="en-US"/>
    </w:rPr>
  </w:style>
  <w:style w:type="character" w:customStyle="1" w:styleId="berschrift5Zchn">
    <w:name w:val="Überschrift 5 Zchn"/>
    <w:basedOn w:val="Absatz-Standardschriftart"/>
    <w:link w:val="berschrift5"/>
    <w:rPr>
      <w:rFonts w:ascii="Arial" w:hAnsi="Arial" w:cstheme="minorBidi"/>
      <w:b/>
      <w:lang w:eastAsia="en-US"/>
    </w:rPr>
  </w:style>
  <w:style w:type="character" w:customStyle="1" w:styleId="berschrift6Zchn">
    <w:name w:val="Überschrift 6 Zchn"/>
    <w:basedOn w:val="Absatz-Standardschriftart"/>
    <w:link w:val="berschrift6"/>
    <w:uiPriority w:val="3"/>
    <w:rPr>
      <w:rFonts w:ascii="Arial" w:hAnsi="Arial" w:cstheme="minorBidi"/>
      <w:b/>
      <w:lang w:eastAsia="en-US"/>
    </w:rPr>
  </w:style>
  <w:style w:type="character" w:customStyle="1" w:styleId="berschrift7Zchn">
    <w:name w:val="Überschrift 7 Zchn"/>
    <w:aliases w:val="A Buchtitel Zchn"/>
    <w:basedOn w:val="Absatz-Standardschriftart"/>
    <w:link w:val="berschrift7"/>
    <w:uiPriority w:val="3"/>
    <w:rPr>
      <w:rFonts w:ascii="Arial" w:hAnsi="Arial" w:cstheme="minorBidi"/>
      <w:b/>
      <w:lang w:eastAsia="en-US"/>
    </w:rPr>
  </w:style>
  <w:style w:type="character" w:customStyle="1" w:styleId="berschrift8Zchn">
    <w:name w:val="Überschrift 8 Zchn"/>
    <w:basedOn w:val="Absatz-Standardschriftart"/>
    <w:link w:val="berschrift8"/>
    <w:uiPriority w:val="3"/>
    <w:rPr>
      <w:rFonts w:ascii="Arial" w:hAnsi="Arial" w:cstheme="minorBidi"/>
      <w:b/>
      <w:lang w:eastAsia="en-US"/>
    </w:rPr>
  </w:style>
  <w:style w:type="character" w:customStyle="1" w:styleId="berschrift9Zchn">
    <w:name w:val="Überschrift 9 Zchn"/>
    <w:basedOn w:val="Absatz-Standardschriftart"/>
    <w:link w:val="berschrift9"/>
    <w:uiPriority w:val="3"/>
    <w:rPr>
      <w:rFonts w:ascii="Arial" w:hAnsi="Arial" w:cstheme="minorBidi"/>
      <w:b/>
      <w:lang w:eastAsia="en-US"/>
    </w:rPr>
  </w:style>
  <w:style w:type="character" w:customStyle="1" w:styleId="UnterschriftZchn">
    <w:name w:val="Unterschrift Zchn"/>
    <w:basedOn w:val="Absatz-Standardschriftart"/>
    <w:link w:val="Unterschrift"/>
    <w:uiPriority w:val="99"/>
    <w:rPr>
      <w:rFonts w:ascii="Arial" w:hAnsi="Arial" w:cstheme="minorBidi"/>
      <w:lang w:eastAsia="en-US"/>
    </w:rPr>
  </w:style>
  <w:style w:type="character" w:customStyle="1" w:styleId="UntertitelZchn">
    <w:name w:val="Untertitel Zchn"/>
    <w:basedOn w:val="Absatz-Standardschriftart"/>
    <w:link w:val="Untertitel"/>
    <w:rPr>
      <w:rFonts w:ascii="Arial" w:eastAsiaTheme="majorEastAsia" w:hAnsi="Arial" w:cstheme="majorBidi"/>
      <w:b/>
      <w:iCs/>
      <w:noProof/>
      <w:szCs w:val="24"/>
      <w:lang w:eastAsia="en-US"/>
    </w:rPr>
  </w:style>
  <w:style w:type="paragraph" w:styleId="Zitat">
    <w:name w:val="Quote"/>
    <w:basedOn w:val="Standard"/>
    <w:next w:val="Standard"/>
    <w:link w:val="ZitatZchn"/>
    <w:uiPriority w:val="29"/>
    <w:unhideWhenUsed/>
    <w:qFormat/>
    <w:rPr>
      <w:i/>
      <w:iCs/>
      <w:color w:val="000000" w:themeColor="text1"/>
    </w:rPr>
  </w:style>
  <w:style w:type="character" w:customStyle="1" w:styleId="ZitatZchn">
    <w:name w:val="Zitat Zchn"/>
    <w:basedOn w:val="Absatz-Standardschriftart"/>
    <w:link w:val="Zitat"/>
    <w:uiPriority w:val="29"/>
    <w:rPr>
      <w:rFonts w:ascii="Arial" w:hAnsi="Arial" w:cstheme="minorBidi"/>
      <w:i/>
      <w:iCs/>
      <w:color w:val="000000" w:themeColor="text1"/>
      <w:lang w:eastAsia="en-US"/>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14"/>
      </w:numPr>
    </w:pPr>
  </w:style>
  <w:style w:type="numbering" w:customStyle="1" w:styleId="ORDIX-Liste-Blank">
    <w:name w:val="ORDIX-Liste-Blank"/>
    <w:uiPriority w:val="99"/>
    <w:pPr>
      <w:numPr>
        <w:numId w:val="15"/>
      </w:numPr>
    </w:pPr>
  </w:style>
  <w:style w:type="paragraph" w:customStyle="1" w:styleId="Listeeckig">
    <w:name w:val="Liste (eckig)"/>
    <w:basedOn w:val="Text"/>
    <w:qFormat/>
    <w:pPr>
      <w:widowControl w:val="0"/>
      <w:numPr>
        <w:numId w:val="14"/>
      </w:numPr>
      <w:jc w:val="left"/>
    </w:pPr>
  </w:style>
  <w:style w:type="paragraph" w:customStyle="1" w:styleId="ListeBlank">
    <w:name w:val="Liste (Blank)"/>
    <w:basedOn w:val="Text"/>
    <w:qFormat/>
    <w:pPr>
      <w:widowControl w:val="0"/>
      <w:numPr>
        <w:numId w:val="15"/>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16"/>
      </w:numPr>
    </w:pPr>
  </w:style>
  <w:style w:type="numbering" w:styleId="1ai">
    <w:name w:val="Outline List 1"/>
    <w:basedOn w:val="KeineListe"/>
    <w:uiPriority w:val="99"/>
    <w:semiHidden/>
    <w:unhideWhenUsed/>
    <w:pPr>
      <w:numPr>
        <w:numId w:val="17"/>
      </w:numPr>
    </w:pPr>
  </w:style>
  <w:style w:type="numbering" w:styleId="ArtikelAbschnitt">
    <w:name w:val="Outline List 3"/>
    <w:basedOn w:val="KeineListe"/>
    <w:uiPriority w:val="99"/>
    <w:semiHidden/>
    <w:unhideWhenUsed/>
    <w:pPr>
      <w:numPr>
        <w:numId w:val="18"/>
      </w:numPr>
    </w:pPr>
  </w:style>
  <w:style w:type="table" w:customStyle="1" w:styleId="DunkleListe1">
    <w:name w:val="Dunkle Liste1"/>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FarbigeListe1">
    <w:name w:val="Farbige Liste1"/>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HelleListe1">
    <w:name w:val="Helle Liste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pPr>
      <w:ind w:left="284" w:hanging="284"/>
    </w:pPr>
    <w:rPr>
      <w:rFonts w:ascii="Arial" w:hAnsi="Arial"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pPr>
      <w:ind w:left="284" w:hanging="284"/>
    </w:pPr>
    <w:rPr>
      <w:rFonts w:ascii="Arial" w:hAnsi="Arial"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pPr>
      <w:ind w:left="284" w:hanging="284"/>
    </w:pPr>
    <w:rPr>
      <w:rFonts w:ascii="Arial" w:hAnsi="Arial"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pPr>
      <w:ind w:left="284" w:hanging="284"/>
    </w:pPr>
    <w:rPr>
      <w:rFonts w:ascii="Arial" w:hAnsi="Arial"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pPr>
      <w:ind w:left="284" w:hanging="284"/>
    </w:pPr>
    <w:rPr>
      <w:rFonts w:ascii="Arial" w:hAnsi="Arial"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ittlereListe11">
    <w:name w:val="Mittlere Liste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elle3D-Effekt1">
    <w:name w:val="Table 3D effects 1"/>
    <w:basedOn w:val="NormaleTabelle"/>
    <w:uiPriority w:val="99"/>
    <w:semiHidden/>
    <w:unhideWhenUsed/>
    <w:pPr>
      <w:spacing w:after="120"/>
      <w:ind w:left="284" w:hanging="284"/>
    </w:pPr>
    <w:rPr>
      <w:rFonts w:ascii="Arial" w:hAnsi="Arial"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ind w:left="284" w:hanging="284"/>
    </w:pPr>
    <w:rPr>
      <w:rFonts w:ascii="Arial" w:hAnsi="Arial"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ind w:left="284" w:hanging="284"/>
    </w:pPr>
    <w:rPr>
      <w:rFonts w:ascii="Arial" w:hAnsi="Arial"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ind w:left="284" w:hanging="284"/>
    </w:pPr>
    <w:rPr>
      <w:rFonts w:ascii="Arial" w:hAnsi="Arial"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ind w:left="284" w:hanging="284"/>
    </w:pPr>
    <w:rPr>
      <w:rFonts w:ascii="Arial" w:hAnsi="Arial"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ind w:left="284" w:hanging="284"/>
    </w:pPr>
    <w:rPr>
      <w:rFonts w:ascii="Arial" w:hAnsi="Arial"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ind w:left="284" w:hanging="284"/>
    </w:pPr>
    <w:rPr>
      <w:rFonts w:ascii="Arial" w:hAnsi="Arial"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ind w:left="284" w:hanging="284"/>
    </w:pPr>
    <w:rPr>
      <w:rFonts w:ascii="Arial" w:hAnsi="Arial"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ind w:left="284" w:hanging="284"/>
    </w:pPr>
    <w:rPr>
      <w:rFonts w:ascii="Arial" w:hAnsi="Arial"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ind w:left="284" w:hanging="284"/>
    </w:pPr>
    <w:rPr>
      <w:rFonts w:ascii="Arial" w:hAnsi="Arial"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ind w:left="284" w:hanging="284"/>
    </w:pPr>
    <w:rPr>
      <w:rFonts w:ascii="Arial" w:hAnsi="Arial"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ind w:left="284" w:hanging="284"/>
    </w:pPr>
    <w:rPr>
      <w:rFonts w:ascii="Arial" w:hAnsi="Arial"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ind w:left="284" w:hanging="284"/>
    </w:pPr>
    <w:rPr>
      <w:rFonts w:ascii="Arial" w:hAnsi="Arial"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ind w:left="284" w:hanging="284"/>
    </w:pPr>
    <w:rPr>
      <w:rFonts w:ascii="Arial" w:hAnsi="Arial"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ind w:left="284" w:hanging="284"/>
    </w:pPr>
    <w:rPr>
      <w:rFonts w:ascii="Arial" w:hAnsi="Arial"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ind w:left="284" w:hanging="284"/>
    </w:pPr>
    <w:rPr>
      <w:rFonts w:ascii="Arial" w:hAnsi="Arial"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ind w:left="284" w:hanging="284"/>
    </w:pPr>
    <w:rPr>
      <w:rFonts w:ascii="Arial" w:hAnsi="Arial"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ind w:left="284" w:hanging="284"/>
    </w:pPr>
    <w:rPr>
      <w:rFonts w:ascii="Arial" w:hAnsi="Arial"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ind w:left="284" w:hanging="284"/>
    </w:pPr>
    <w:rPr>
      <w:rFonts w:ascii="Arial" w:hAnsi="Arial"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ind w:left="284" w:hanging="284"/>
    </w:pPr>
    <w:rPr>
      <w:rFonts w:ascii="Arial" w:hAnsi="Arial"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ind w:left="284" w:hanging="284"/>
    </w:pPr>
    <w:rPr>
      <w:rFonts w:ascii="Arial" w:hAnsi="Arial"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ind w:left="284" w:hanging="284"/>
    </w:pPr>
    <w:rPr>
      <w:rFonts w:ascii="Arial" w:hAnsi="Arial"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ind w:left="284" w:hanging="284"/>
    </w:pPr>
    <w:rPr>
      <w:rFonts w:ascii="Arial" w:hAnsi="Arial"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ind w:left="284" w:hanging="284"/>
    </w:pPr>
    <w:rPr>
      <w:rFonts w:ascii="Arial" w:hAnsi="Arial"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after="120"/>
      <w:ind w:left="284" w:hanging="284"/>
    </w:pPr>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FarbigeListe2">
    <w:name w:val="Farbige Liste2"/>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2">
    <w:name w:val="Farbige Schattierung2"/>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Raster2">
    <w:name w:val="Farbiges Raster2"/>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HelleListe2">
    <w:name w:val="Helle Liste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2">
    <w:name w:val="Helle Liste - Akzent 1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2">
    <w:name w:val="Helle Schattierung2"/>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2">
    <w:name w:val="Helle Schattierung - Akzent 12"/>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Raster2">
    <w:name w:val="Helles Raster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2">
    <w:name w:val="Helles Raster - Akzent 1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Liste12">
    <w:name w:val="Mittlere Liste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2">
    <w:name w:val="Mittlere Liste 1 - Akzent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Liste22">
    <w:name w:val="Mittlere Liste 22"/>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2">
    <w:name w:val="Mittleres Raster 22"/>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FarbigeListe">
    <w:name w:val="Colorful List"/>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
    <w:name w:val="Light List"/>
    <w:basedOn w:val="NormaleTabelle"/>
    <w:uiPriority w:val="61"/>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Raster">
    <w:name w:val="Light Grid"/>
    <w:basedOn w:val="NormaleTabelle"/>
    <w:uiPriority w:val="62"/>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Liste1">
    <w:name w:val="Medium Lis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
    <w:name w:val="Medium Lis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2">
    <w:name w:val="Medium Grid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000000"/>
      <w:sz w:val="22"/>
      <w:szCs w:val="22"/>
    </w:rPr>
  </w:style>
  <w:style w:type="character" w:customStyle="1" w:styleId="fontstyle21">
    <w:name w:val="fontstyle21"/>
    <w:basedOn w:val="Absatz-Standardschriftart"/>
    <w:rPr>
      <w:rFonts w:ascii="Arial-BoldMT" w:hAnsi="Arial-BoldMT" w:hint="default"/>
      <w:b/>
      <w:bCs/>
      <w:i w:val="0"/>
      <w:iCs w:val="0"/>
      <w:color w:val="000000"/>
      <w:sz w:val="22"/>
      <w:szCs w:val="22"/>
    </w:rPr>
  </w:style>
  <w:style w:type="paragraph" w:styleId="berarbeitung">
    <w:name w:val="Revision"/>
    <w:hidden/>
    <w:uiPriority w:val="99"/>
    <w:semiHidden/>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159016">
      <w:bodyDiv w:val="1"/>
      <w:marLeft w:val="0"/>
      <w:marRight w:val="0"/>
      <w:marTop w:val="0"/>
      <w:marBottom w:val="0"/>
      <w:divBdr>
        <w:top w:val="none" w:sz="0" w:space="0" w:color="auto"/>
        <w:left w:val="none" w:sz="0" w:space="0" w:color="auto"/>
        <w:bottom w:val="none" w:sz="0" w:space="0" w:color="auto"/>
        <w:right w:val="none" w:sz="0" w:space="0" w:color="auto"/>
      </w:divBdr>
    </w:div>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help/whats-reput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92AB5-FCBA-4619-B0C0-788C3B4C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8232</Words>
  <Characters>51866</Characters>
  <Application>Microsoft Office Word</Application>
  <DocSecurity>0</DocSecurity>
  <Lines>432</Lines>
  <Paragraphs>119</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59979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12</cp:revision>
  <cp:lastPrinted>2022-07-02T12:09:00Z</cp:lastPrinted>
  <dcterms:created xsi:type="dcterms:W3CDTF">2022-07-02T11:21:00Z</dcterms:created>
  <dcterms:modified xsi:type="dcterms:W3CDTF">2022-07-02T12:23:00Z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id="46IBl4p4"/&gt;&lt;style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