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PPO Agent Evaluation 3 Jan, 2020 - 2 Jan, 2024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Benchmark is CLOSE | Generated by </w:t>
      </w:r>
      <w:hyperlink r:id="rId6">
        <w:r w:rsidDel="00000000" w:rsidR="00000000" w:rsidRPr="00000000">
          <w:rPr>
            <w:i w:val="0"/>
            <w:iCs w:val="0"/>
            <w:color w:val="0099cc"/>
            <w:sz w:val="24"/>
            <w:szCs w:val="24"/>
            <w:rtl w:val="0"/>
          </w:rPr>
          <w:t xml:space="preserve">QuantStats</w:t>
        </w:r>
      </w:hyperlink>
      <w:r w:rsidDel="00000000" w:rsidR="00000000" w:rsidRPr="00000000">
        <w:rPr>
          <w:rtl w:val="0"/>
        </w:rPr>
        <w:t xml:space="preserve"> (v. 0.0.77)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2025-11-25T16:50:04.668608 image/svg+xml Matplotlib v3.10.0, https://matplotlib.org/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2025-11-25T16:50:04.997151 image/svg+xml Matplotlib v3.10.0, https://matplotlib.org/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2025-11-25T16:50:05.343137 image/svg+xml Matplotlib v3.10.0, https://matplotlib.org/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2025-11-25T16:50:05.636786 image/svg+xml Matplotlib v3.10.0, https://matplotlib.org/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2025-11-25T16:50:05.930124 image/svg+xml Matplotlib v3.10.0, https://matplotlib.org/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2025-11-25T16:50:06.121964 image/svg+xml Matplotlib v3.10.0, https://matplotlib.org/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2025-11-25T16:50:06.357390 image/svg+xml Matplotlib v3.10.0, https://matplotlib.org/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2025-11-25T16:50:06.666323 image/svg+xml Matplotlib v3.10.0, https://matplotlib.org/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2025-11-25T16:50:06.936915 image/svg+xml Matplotlib v3.10.0, https://matplotlib.org/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2025-11-25T16:50:07.118773 image/svg+xml Matplotlib v3.10.0, https://matplotlib.org/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2025-11-25T16:50:07.358286 image/svg+xml Matplotlib v3.10.0, https://matplotlib.org/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2025-11-25T16:50:07.571482 image/svg+xml Matplotlib v3.10.0, https://matplotlib.org/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2025-11-25T16:50:07.860374 image/svg+xml Matplotlib v3.10.0, https://matplotlib.org/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2025-11-25T16:50:08.229507 image/svg+xml Matplotlib v3.10.0, https://matplotlib.org/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Performance Metrics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0" w:before="45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Risk-Free Rate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Time in Market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Cumulative Return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45.58%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268.31%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CAGR﹪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38.62%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Sharpe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Prob. Sharpe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85.03%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Smart Sharpe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Sortino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Smart Sortino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Sortino/√2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Smart Sortino/√2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Omega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Drawdown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-33.92%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-56.05%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DD Date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2020-03-23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2020-03-19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DD Period Start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2020-02-20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2020-01-22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DD Period End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2020-08-17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2020-06-05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Longest DD Days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Volatility (ann.)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23.0%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44.21%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R^2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Information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Calmar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Skew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-0.48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Kurtosis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11.82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19.92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Expected Daily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0.04%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Expected Monthly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0.77%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Expected Yearly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29.79%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Kelly Criterion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-3.95%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Risk of Ruin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Daily Value-at-Risk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-2.34%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-4.41%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Expected Shortfall (cVaR)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-7.66%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-7.66%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Consecutive Wins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Max Consecutive Losses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Gain/Pain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Gain/Pain (1M)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Payoff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Profit Factor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Common Sense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CPC Index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Tail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Outlier Win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6.25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Outlier Loss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3.34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MTD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-0.57%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-0.44%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10.61%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30.27%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6M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6.57%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11.93%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YTD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-0.57%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-0.44%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23.53%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34.38%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3Y (ann.)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8.16%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5Y (ann.)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10Y (ann.)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All-time (ann.)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9.86%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38.62%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Best Day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9.38%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15.69%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Worst Day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-11.98%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-30.87%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Best Month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12.68%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39.82%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Worst Month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-12.51%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-29.6%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Best Year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26.89%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113.95%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Worst Year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-19.44%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-0.7%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Avg. Drawdown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-2.33%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-7.68%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Avg. Drawdown Days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Recovery Factor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Ulcer Index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Serenity Index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Avg. Up Month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5.4%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12.04%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Avg. Down Month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-5.42%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-9.5%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Win Days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52.88%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52.19%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Win Month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59.18%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61.22%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Win Quarter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64.71%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64.71%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Win Year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60.0%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60.0%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Alpha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Correlation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-15.67%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Treynor Ratio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-890.81%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rPr/>
      </w:pPr>
      <w:r w:rsidDel="00000000" w:rsidR="00000000" w:rsidRPr="00000000">
        <w:rPr>
          <w:rtl w:val="0"/>
        </w:rPr>
        <w:t xml:space="preserve">EOY Returns vs Benchmark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Won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0" w:before="45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15.29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113.95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7.45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26.89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29.01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-19.44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-0.70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24.23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34.97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-0.57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-0.44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rPr/>
      </w:pPr>
      <w:r w:rsidDel="00000000" w:rsidR="00000000" w:rsidRPr="00000000">
        <w:rPr>
          <w:rtl w:val="0"/>
        </w:rPr>
        <w:t xml:space="preserve">Worst 10 Drawdowns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Started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Recovered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Drawdown</w:t>
            </w:r>
          </w:p>
        </w:tc>
        <w:tc>
          <w:tcPr>
            <w:shd w:fill="auto" w:val="clear"/>
            <w:tcMar>
              <w:top w:w="90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9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0" w:before="45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2020-01-22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2020-06-05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-56.05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2021-11-05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2022-08-08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-29.83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2023-02-06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2024-01-02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-28.75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2022-08-18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2023-01-17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-24.34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2021-04-27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2021-10-01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-22.20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2020-09-02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2020-10-12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-18.59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2020-07-14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2020-08-17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-15.98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2020-06-12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2020-07-06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-11.26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2020-12-30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2021-03-05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-7.57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2020-11-09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2020-11-18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-6.59</w:t>
            </w:r>
          </w:p>
        </w:tc>
        <w:tc>
          <w:tcPr>
            <w:shd w:fill="auto" w:val="clear"/>
            <w:tcMar>
              <w:top w:w="60.0" w:type="dxa"/>
              <w:left w:w="75.0" w:type="dxa"/>
              <w:bottom w:w="4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5" w:before="6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450" w:before="45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</w:pPr>
    <w:rPr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</w:pPr>
    <w:rPr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0" w:lineRule="auto"/>
      <w:ind w:left="0" w:right="0" w:firstLine="0"/>
    </w:pPr>
    <w:rPr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</w:pPr>
    <w:rPr>
      <w:i w:val="0"/>
      <w:iCs w:val="0"/>
      <w:color w:val="80808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quantstat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