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OBSERVERA!!!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Ström switch On/Off har följande polaritet: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Fotosensor / Strain gauge / Pressure sensor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GPIO hög (1) stänger AV strömmen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GPIO låg (0) slår PÅ strömmen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Batterimätning / Ultraljud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GPIO hög (1) slår PÅ strömmen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GPIO låg (0) stänger AV strömmen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Bluetooth / IMU sparar ström genom en intern sleep funktion så dom har ej någon power supply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Switch som går att slå på/av via GPIO output.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Pin description för centerboard och roder. (Ultraljud och tryckgivaren är endast för centerboard, resten är samma)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PA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PA0 - ADC1_IN0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Pressure sensor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PA1 - GPIO_Output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Pressure sensor ON/OFF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PA2 - ADC1_IN2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Strain gauge 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PA3 - ADC1_IN3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Strain gauge 2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PA5 - TIM2_CH1 (input capture)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Ultrasonic capture signal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PA8 - GPIO_Input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Avläsning av connection status för bluetooth modul 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PA9 - USART1_TX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Bluetooth1 RX kopplat till detta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PA10 - USART1_RX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Bluetooth1 TX kopplat till detta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PA13 - SWDIO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PA14 - SWCLK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PB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PB0 - GPIO_Output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Led 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PB1 - GPIO_Output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Led 2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PB2 - GPIO_Output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Led 3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PB3 - SWO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PB10 - TIM2_CH3 (output)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Ultrasonic sensor output PWM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PC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PC0 - ADC1_IN10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ADC mätning av batteri spänningsnivåer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PC1 - GPIO_Output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Batterimätning ON/OFF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PC2 - GPIO_Output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Strain gauge ON/OFF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PC9 - GPIO_Output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Reset pin för bluetooth modul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