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pPr>
      <w:r>
        <w:t>基于混合神经网络的MINST识别算法</w:t>
      </w:r>
    </w:p>
    <w:p w14:paraId="1CD9C5C2" w14:textId="723CD96A" w:rsidR="00D3542D" w:rsidRDefault="00D3542D" w:rsidP="00DE0F02">
      <w:pPr>
        <w:pStyle w:val="Heading2"/>
      </w:pPr>
      <w:r>
        <w:t>功能介绍</w:t>
      </w:r>
    </w:p>
    <w:p w14:paraId="150E600F" w14:textId="3D23AAA6" w:rsidR="00D3542D" w:rsidRDefault="00D3542D" w:rsidP="00D3542D">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&gt;整体网络图 figure_all</w:t>
      </w:r>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其中输入数据处理（IN_PRO）是将原始数据处理成神经网络容易识别的且经过标准化的数据集。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在这里神经网络部分（NN）分为输入层（IN）卷积层（C1），次抽样层（S1），隐藏层（H1），输出层（OUT）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输出处理则将大量的原始，为优化结果而标准化的数据处理成可以利用，统计的直观数据。在这里输出处理只有一部分（OUT_PRO）。</w:t>
      </w:r>
    </w:p>
    <w:p w14:paraId="4B92EA18" w14:textId="77777777" w:rsidR="00D3542D" w:rsidRDefault="00D3542D" w:rsidP="00D3542D"/>
    <w:p w14:paraId="34A0A937" w14:textId="4446BCA8" w:rsidR="00D3542D" w:rsidRDefault="00D3542D" w:rsidP="0097249B">
      <w:pPr>
        <w:pStyle w:val="Heading2"/>
      </w:pPr>
      <w:r>
        <w:t>详细介绍</w:t>
      </w:r>
    </w:p>
    <w:p w14:paraId="18857D56" w14:textId="7DFB9FC4" w:rsidR="00D3542D" w:rsidRDefault="00D3542D" w:rsidP="00D3542D">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&gt;输入处理图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32000张PNG图片，其中每个图片的分辨率为28*28，图片为灰度图片）；训练数据的标签，即这32000张图片所显示的具体数字的答案；测试数据（10000张图片，图片格式与训练数据相同）以及测试数据的标签。</w:t>
      </w:r>
    </w:p>
    <w:p w14:paraId="5229B804" w14:textId="157F0B15" w:rsidR="00D3542D" w:rsidRDefault="00D3542D" w:rsidP="00D3542D"/>
    <w:p w14:paraId="0575701F" w14:textId="6A5D72D6" w:rsidR="00D3542D" w:rsidRDefault="00D3542D" w:rsidP="00FB35BA">
      <w:pPr>
        <w:pStyle w:val="littleheading"/>
      </w:pPr>
      <w:r>
        <w:t>对训练</w:t>
      </w:r>
      <w:r w:rsidR="00E6532E">
        <w:rPr>
          <w:rFonts w:hint="eastAsia"/>
        </w:rPr>
        <w:t>与测试</w:t>
      </w:r>
      <w:r>
        <w:t>数据的处理：</w:t>
      </w:r>
    </w:p>
    <w:p w14:paraId="732EE6BE" w14:textId="717DF037" w:rsidR="00CD3521" w:rsidRDefault="00D3542D" w:rsidP="00D3542D">
      <w:r>
        <w:t>训练数据原始为图片，先用python的Image库将整个图片加载成矩阵</w:t>
      </w:r>
      <w:r>
        <w:rPr>
          <w:rFonts w:hint="eastAsia"/>
        </w:rPr>
        <w:t>，由于输入的图片均为灰阶图片，所以根据Image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r>
        <w:t>然后</w:t>
      </w:r>
      <w:r w:rsidR="00F26E99">
        <w:rPr>
          <w:rFonts w:hint="eastAsia"/>
        </w:rPr>
        <w:t>对这个矩阵进行标准化，标准化的意思是，通过线性或者非线性转换，将矩阵的最大值-最小值范围控制在0-1之间且让最大值和最小值尽量分别接近0与1。对于本文针对的灰阶矩阵，其最大值为255，最小值为0，所以我们可以通过把每个数字除以255的方式将其标准化。</w:t>
      </w:r>
    </w:p>
    <w:p w14:paraId="708303ED" w14:textId="27723E5F" w:rsidR="00F26E99" w:rsidRPr="00F26E99" w:rsidRDefault="00F26E99" w:rsidP="00D3542D">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D3542D">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 w14:paraId="6953F89E" w14:textId="008DB553" w:rsidR="00E6532E" w:rsidRDefault="00E6532E" w:rsidP="00E6532E">
      <w:pPr>
        <w:pStyle w:val="littleheading"/>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1与9之间的相关性应和1与2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p>
    <w:p w14:paraId="3C710E51" w14:textId="77777777" w:rsidR="002A5EF1" w:rsidRDefault="002A5EF1" w:rsidP="001C0531"/>
    <w:p w14:paraId="583F0D7F" w14:textId="005A9ADB" w:rsidR="002A5EF1" w:rsidRDefault="008C78B1" w:rsidP="0097249B">
      <w:pPr>
        <w:pStyle w:val="littleheading"/>
      </w:pPr>
      <w:r>
        <w:rPr>
          <w:rFonts w:hint="eastAsia"/>
        </w:rPr>
        <w:t>独热编码：</w:t>
      </w:r>
    </w:p>
    <w:p w14:paraId="12A1AF32" w14:textId="2204C06B" w:rsidR="00A65DA3" w:rsidRDefault="0053323A" w:rsidP="001C0531">
      <w:r>
        <w:rPr>
          <w:rFonts w:hint="eastAsia"/>
        </w:rPr>
        <w:t>独热编码直观来说就是用</w:t>
      </w:r>
      <w:r w:rsidR="00A328F7">
        <w:rPr>
          <w:rFonts w:hint="eastAsia"/>
        </w:rPr>
        <w:t>总状态数的比特数，其中一个比特为0其他比特为1的方法来表示状态的一种码制。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r>
        <w:rPr>
          <w:rFonts w:hint="eastAsia"/>
        </w:rPr>
        <w:t>在本文的算法中，总状态数即为10。下面是编码表：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143798">
      <w:pPr>
        <w:pStyle w:val="Caption"/>
        <w:jc w:val="center"/>
        <w:rPr>
          <w:rFonts w:hint="eastAsia"/>
        </w:rPr>
      </w:pPr>
      <w:r>
        <w:t>表格</w:t>
      </w:r>
      <w:r w:rsidR="00506828">
        <w:rPr>
          <w:rFonts w:hint="eastAsia"/>
        </w:rPr>
        <w:t xml:space="preserve"> 1-a</w:t>
      </w:r>
    </w:p>
    <w:p w14:paraId="73FC8CFE" w14:textId="7850BCBD" w:rsidR="00143798" w:rsidRDefault="00143798" w:rsidP="00143798">
      <w:r>
        <w:rPr>
          <w:rFonts w:hint="eastAsia"/>
        </w:rPr>
        <w:t>经过编码后的标签由于其向量积均为0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pPr>
      <w:r>
        <w:rPr>
          <w:rFonts w:hint="eastAsia"/>
        </w:rPr>
        <w:t>卷积层（C1）</w:t>
      </w:r>
    </w:p>
    <w:p w14:paraId="6DF8840E" w14:textId="493E7B40" w:rsidR="00F96BA2" w:rsidRDefault="006E07F4" w:rsidP="00506828">
      <w:pPr>
        <w:pStyle w:val="littleheading"/>
        <w:rPr>
          <w:rFonts w:hint="eastAsia"/>
        </w:rPr>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5D531B">
      <w:pPr>
        <w:pStyle w:val="littleheading"/>
        <w:rPr>
          <w:rFonts w:hint="eastAsia"/>
          <w:b w:val="0"/>
        </w:rPr>
      </w:pPr>
      <w:r>
        <w:rPr>
          <w:rFonts w:hint="eastAsia"/>
          <w:b w:val="0"/>
        </w:rPr>
        <w:t>卷积神经网络是深度学习与计算机视觉中极其重要的网络结构之一，许多及其成功的模型都是基于</w:t>
      </w:r>
      <w:r w:rsidR="005D531B">
        <w:rPr>
          <w:rFonts w:hint="eastAsia"/>
          <w:b w:val="0"/>
        </w:rPr>
        <w:t>CNN的，特别是基于ImageNet等的各种图像物体识别算法。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卷积神经网络算法相对于传统的图像处理算法有很多优点，其中一个就是其巧妙的避免了复杂耗时的预处理工作（如人工特征的提取），原始图像数据经过CNN可以直接进入下一步的运</w:t>
      </w:r>
      <w:r w:rsidR="005D531B" w:rsidRPr="00490EA2">
        <w:rPr>
          <w:rFonts w:hint="eastAsia"/>
          <w:b w:val="0"/>
          <w:bCs/>
        </w:rPr>
        <w:t>算，不需要人工的参与。</w:t>
      </w:r>
    </w:p>
    <w:p w14:paraId="511B9036" w14:textId="589C8F60" w:rsidR="00490EA2" w:rsidRDefault="00490EA2" w:rsidP="005D531B">
      <w:pPr>
        <w:rPr>
          <w:rFonts w:hint="eastAsia"/>
        </w:rPr>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图像识别的过程中，图像往往会被看成一个或多个的二维矩阵，本文用到的MINST图像库</w:t>
      </w:r>
      <w:r>
        <w:rPr>
          <w:rFonts w:hint="eastAsia"/>
        </w:rPr>
        <w:t>中，图像库中每一个图片就可以看成是28 * 28 的二维矩阵，因为它是黑白图片，只有一个颜色通道。如果是彩色图片就会有RGB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5D531B">
      <w:pPr>
        <w:rPr>
          <w:rFonts w:hint="eastAsia"/>
        </w:rPr>
      </w:pPr>
      <w:r>
        <w:rPr>
          <w:rFonts w:hint="eastAsia"/>
        </w:rPr>
        <w:t>（图片）</w:t>
      </w:r>
    </w:p>
    <w:p w14:paraId="547A058A" w14:textId="673238D0" w:rsidR="00893A39" w:rsidRDefault="00893A39" w:rsidP="006E07F4">
      <w:pPr>
        <w:rPr>
          <w:rFonts w:hint="eastAsia"/>
        </w:rPr>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4733DE">
      <w:pPr>
        <w:pStyle w:val="littleheading"/>
        <w:rPr>
          <w:rFonts w:hint="eastAsia"/>
        </w:rPr>
      </w:pPr>
      <w:r>
        <w:rPr>
          <w:rFonts w:hint="eastAsia"/>
        </w:rPr>
        <w:t>局部连接：</w:t>
      </w:r>
    </w:p>
    <w:p w14:paraId="5888381A" w14:textId="70F3F204" w:rsidR="0061297B" w:rsidRDefault="0061297B" w:rsidP="006E07F4">
      <w:pPr>
        <w:rPr>
          <w:rFonts w:ascii="Calibri" w:hAnsi="Calibri" w:cs="Calibri" w:hint="eastAsia"/>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6E07F4">
      <w:pPr>
        <w:rPr>
          <w:rFonts w:ascii="Calibri" w:hAnsi="Calibri" w:cs="Calibri" w:hint="eastAsia"/>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4733DE">
      <w:pPr>
        <w:pStyle w:val="littleheading"/>
        <w:rPr>
          <w:rFonts w:hint="eastAsia"/>
        </w:rPr>
      </w:pPr>
      <w:r>
        <w:rPr>
          <w:rFonts w:hint="eastAsia"/>
        </w:rPr>
        <w:t>权值共享：</w:t>
      </w:r>
    </w:p>
    <w:p w14:paraId="1CC2AA4D" w14:textId="7A249175" w:rsidR="00E65A7B" w:rsidRPr="00E65A7B" w:rsidRDefault="004733DE" w:rsidP="00E65A7B">
      <w:pPr>
        <w:rPr>
          <w:rFonts w:hint="eastAsia"/>
        </w:rPr>
      </w:pPr>
      <w:r>
        <w:rPr>
          <w:rFonts w:hint="eastAsia"/>
        </w:rPr>
        <w:t>权值共享是卷积神经网络</w:t>
      </w:r>
      <w:r w:rsidR="00793B0C">
        <w:rPr>
          <w:rFonts w:hint="eastAsia"/>
        </w:rPr>
        <w:t>中很巧妙的处理方方式，</w:t>
      </w:r>
      <w:bookmarkStart w:id="0" w:name="_GoBack"/>
      <w:bookmarkEnd w:id="0"/>
    </w:p>
    <w:sectPr w:rsidR="00E65A7B" w:rsidRPr="00E65A7B"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143798"/>
    <w:rsid w:val="001C0531"/>
    <w:rsid w:val="002139D7"/>
    <w:rsid w:val="00236EDC"/>
    <w:rsid w:val="00284DFC"/>
    <w:rsid w:val="00290B55"/>
    <w:rsid w:val="002A5EF1"/>
    <w:rsid w:val="004733DE"/>
    <w:rsid w:val="00490EA2"/>
    <w:rsid w:val="00506828"/>
    <w:rsid w:val="0053323A"/>
    <w:rsid w:val="005C2D74"/>
    <w:rsid w:val="005D531B"/>
    <w:rsid w:val="0061297B"/>
    <w:rsid w:val="006E07F4"/>
    <w:rsid w:val="007440DD"/>
    <w:rsid w:val="00793B0C"/>
    <w:rsid w:val="007C6A89"/>
    <w:rsid w:val="008129C2"/>
    <w:rsid w:val="00814F6F"/>
    <w:rsid w:val="00833A2D"/>
    <w:rsid w:val="00843057"/>
    <w:rsid w:val="00893A39"/>
    <w:rsid w:val="008C78B1"/>
    <w:rsid w:val="008F4E55"/>
    <w:rsid w:val="00942E68"/>
    <w:rsid w:val="0097249B"/>
    <w:rsid w:val="00A328F7"/>
    <w:rsid w:val="00A65DA3"/>
    <w:rsid w:val="00BC433A"/>
    <w:rsid w:val="00C80096"/>
    <w:rsid w:val="00CA3822"/>
    <w:rsid w:val="00CA4036"/>
    <w:rsid w:val="00CA66B1"/>
    <w:rsid w:val="00CB7283"/>
    <w:rsid w:val="00CD3521"/>
    <w:rsid w:val="00D3542D"/>
    <w:rsid w:val="00D76EFA"/>
    <w:rsid w:val="00D83E9D"/>
    <w:rsid w:val="00DA059A"/>
    <w:rsid w:val="00DE0F02"/>
    <w:rsid w:val="00E11256"/>
    <w:rsid w:val="00E6532E"/>
    <w:rsid w:val="00E65A7B"/>
    <w:rsid w:val="00EB785A"/>
    <w:rsid w:val="00F26E99"/>
    <w:rsid w:val="00F96BA2"/>
    <w:rsid w:val="00FB35B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widowControl/>
      <w:spacing w:before="100" w:beforeAutospacing="1" w:after="100" w:afterAutospacing="1"/>
      <w:jc w:val="left"/>
    </w:pPr>
    <w:rPr>
      <w:rFonts w:ascii="Times New Roman" w:hAnsi="Times New Roman" w:cs="Times New Roman"/>
      <w:kern w:val="0"/>
    </w:r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4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F35BFE-288F-C547-AF03-B27BF74D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431</Words>
  <Characters>2460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基于混合神经网络的MINST识别算法</vt:lpstr>
      <vt:lpstr>    功能介绍</vt:lpstr>
      <vt:lpstr>    整体架构介绍</vt:lpstr>
      <vt:lpstr>    详细介绍</vt:lpstr>
      <vt:lpstr>        输入数据处理部分</vt:lpstr>
      <vt:lpstr>        卷积层（C1）</vt:lpstr>
    </vt:vector>
  </TitlesOfParts>
  <LinksUpToDate>false</LinksUpToDate>
  <CharactersWithSpaces>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3</cp:revision>
  <dcterms:created xsi:type="dcterms:W3CDTF">2017-05-23T03:40:00Z</dcterms:created>
  <dcterms:modified xsi:type="dcterms:W3CDTF">2017-05-23T12:41:00Z</dcterms:modified>
</cp:coreProperties>
</file>