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</w:r>
    </w:p>
    <w:p>
      <w:pPr>
        <w:jc w:val="center"/>
      </w:pPr>
      <w:r>
        <w:rPr>
          <w:rFonts w:ascii="Microsoft YaHei" w:hAnsi="Microsoft YaHei" w:eastAsia="Microsoft YaHei"/>
          <w:b/>
          <w:color w:val="1A3C6E"/>
          <w:sz w:val="56"/>
        </w:rPr>
        <w:t>机械设计行业术语速查</w:t>
      </w:r>
    </w:p>
    <w:p>
      <w:pPr>
        <w:jc w:val="center"/>
      </w:pPr>
      <w:r>
        <w:rPr>
          <w:rFonts w:ascii="Microsoft YaHei" w:hAnsi="Microsoft YaHei" w:eastAsia="Microsoft YaHei"/>
          <w:color w:val="5B5B5B"/>
          <w:sz w:val="28"/>
        </w:rPr>
        <w:t>Mechanical Design Terminology Quick Reference</w:t>
      </w:r>
    </w:p>
    <w:p>
      <w:pPr>
        <w:jc w:val="center"/>
      </w:pPr>
      <w:r>
        <w:rPr>
          <w:rFonts w:ascii="Microsoft YaHei" w:hAnsi="Microsoft YaHei" w:eastAsia="Microsoft YaHei"/>
          <w:color w:val="1A3C6E"/>
          <w:sz w:val="20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22"/>
        </w:rPr>
        <w:t>帮助理解项目沟通中的专业词汇，提升机械设计领域协作效率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A3C6E"/>
          <w:sz w:val="36"/>
        </w:rPr>
        <w:t>术语速查表</w:t>
      </w:r>
    </w:p>
    <w:p>
      <w:pPr>
        <w:spacing w:after="240"/>
      </w:pPr>
      <w:r>
        <w:rPr>
          <w:rFonts w:ascii="Microsoft YaHei" w:hAnsi="Microsoft YaHei" w:eastAsia="Microsoft YaHei"/>
          <w:color w:val="555555"/>
          <w:sz w:val="22"/>
        </w:rPr>
        <w:t>以下整理了机械设计领域最常用的 12 个核心术语，涵盖英文名称与详细释义：</w:t>
      </w:r>
    </w:p>
    <w:p>
      <w:pPr>
        <w:pStyle w:val="Heading2"/>
        <w:spacing w:before="320" w:after="80"/>
      </w:pPr>
      <w:r>
        <w:rPr>
          <w:rFonts w:ascii="Microsoft YaHei" w:hAnsi="Microsoft YaHei" w:eastAsia="Microsoft YaHei"/>
          <w:b/>
          <w:color w:val="1A3C6E"/>
          <w:sz w:val="28"/>
        </w:rPr>
        <w:t>1. BOM（物料清单）</w:t>
      </w:r>
    </w:p>
    <w:p>
      <w:pPr>
        <w:ind w:left="283"/>
      </w:pPr>
      <w:r>
        <w:rPr>
          <w:rFonts w:ascii="Microsoft YaHei" w:hAnsi="Microsoft YaHei" w:eastAsia="Microsoft YaHei"/>
          <w:b/>
          <w:color w:val="2E75B6"/>
          <w:sz w:val="22"/>
        </w:rPr>
        <w:t>📖 Bill of Materials</w:t>
      </w:r>
    </w:p>
    <w:p>
      <w:pPr>
        <w:spacing w:after="160"/>
        <w:ind w:left="283"/>
      </w:pPr>
      <w:r>
        <w:rPr>
          <w:rFonts w:ascii="Microsoft YaHei" w:hAnsi="Microsoft YaHei" w:eastAsia="Microsoft YaHei"/>
          <w:color w:val="333333"/>
          <w:sz w:val="22"/>
        </w:rPr>
        <w:t>列出产品所有组成零部件、材料及其数量的清单，是生产制造的核心文档。</w:t>
      </w:r>
    </w:p>
    <w:p>
      <w:pPr>
        <w:pStyle w:val="Heading2"/>
        <w:spacing w:before="320" w:after="80"/>
      </w:pPr>
      <w:r>
        <w:rPr>
          <w:rFonts w:ascii="Microsoft YaHei" w:hAnsi="Microsoft YaHei" w:eastAsia="Microsoft YaHei"/>
          <w:b/>
          <w:color w:val="1A3C6E"/>
          <w:sz w:val="28"/>
        </w:rPr>
        <w:t>2. GD&amp;T（几何尺寸与公差）</w:t>
      </w:r>
    </w:p>
    <w:p>
      <w:pPr>
        <w:ind w:left="283"/>
      </w:pPr>
      <w:r>
        <w:rPr>
          <w:rFonts w:ascii="Microsoft YaHei" w:hAnsi="Microsoft YaHei" w:eastAsia="Microsoft YaHei"/>
          <w:b/>
          <w:color w:val="2E75B6"/>
          <w:sz w:val="22"/>
        </w:rPr>
        <w:t>📖 Geometric Dimensioning &amp; Tolerancing</w:t>
      </w:r>
    </w:p>
    <w:p>
      <w:pPr>
        <w:spacing w:after="160"/>
        <w:ind w:left="283"/>
      </w:pPr>
      <w:r>
        <w:rPr>
          <w:rFonts w:ascii="Microsoft YaHei" w:hAnsi="Microsoft YaHei" w:eastAsia="Microsoft YaHei"/>
          <w:color w:val="333333"/>
          <w:sz w:val="22"/>
        </w:rPr>
        <w:t>用于在工程图纸上精确描述零件几何特征的标注体系。</w:t>
      </w:r>
    </w:p>
    <w:p>
      <w:pPr>
        <w:pStyle w:val="Heading2"/>
        <w:spacing w:before="320" w:after="80"/>
      </w:pPr>
      <w:r>
        <w:rPr>
          <w:rFonts w:ascii="Microsoft YaHei" w:hAnsi="Microsoft YaHei" w:eastAsia="Microsoft YaHei"/>
          <w:b/>
          <w:color w:val="1A3C6E"/>
          <w:sz w:val="28"/>
        </w:rPr>
        <w:t>3. DFMA（面向制造与装配的设计）</w:t>
      </w:r>
    </w:p>
    <w:p>
      <w:pPr>
        <w:ind w:left="283"/>
      </w:pPr>
      <w:r>
        <w:rPr>
          <w:rFonts w:ascii="Microsoft YaHei" w:hAnsi="Microsoft YaHei" w:eastAsia="Microsoft YaHei"/>
          <w:b/>
          <w:color w:val="2E75B6"/>
          <w:sz w:val="22"/>
        </w:rPr>
        <w:t>📖 Design for Manufacturing and Assembly</w:t>
      </w:r>
    </w:p>
    <w:p>
      <w:pPr>
        <w:spacing w:after="160"/>
        <w:ind w:left="283"/>
      </w:pPr>
      <w:r>
        <w:rPr>
          <w:rFonts w:ascii="Microsoft YaHei" w:hAnsi="Microsoft YaHei" w:eastAsia="Microsoft YaHei"/>
          <w:color w:val="333333"/>
          <w:sz w:val="22"/>
        </w:rPr>
        <w:t>在设计阶段就考虑制造工艺和装配效率的方法论。</w:t>
      </w:r>
    </w:p>
    <w:p>
      <w:pPr>
        <w:pStyle w:val="Heading2"/>
        <w:spacing w:before="320" w:after="80"/>
      </w:pPr>
      <w:r>
        <w:rPr>
          <w:rFonts w:ascii="Microsoft YaHei" w:hAnsi="Microsoft YaHei" w:eastAsia="Microsoft YaHei"/>
          <w:b/>
          <w:color w:val="1A3C6E"/>
          <w:sz w:val="28"/>
        </w:rPr>
        <w:t>4. 逆向工程</w:t>
      </w:r>
    </w:p>
    <w:p>
      <w:pPr>
        <w:ind w:left="283"/>
      </w:pPr>
      <w:r>
        <w:rPr>
          <w:rFonts w:ascii="Microsoft YaHei" w:hAnsi="Microsoft YaHei" w:eastAsia="Microsoft YaHei"/>
          <w:b/>
          <w:color w:val="2E75B6"/>
          <w:sz w:val="22"/>
        </w:rPr>
        <w:t>📖 Reverse Engineering</w:t>
      </w:r>
    </w:p>
    <w:p>
      <w:pPr>
        <w:spacing w:after="160"/>
        <w:ind w:left="283"/>
      </w:pPr>
      <w:r>
        <w:rPr>
          <w:rFonts w:ascii="Microsoft YaHei" w:hAnsi="Microsoft YaHei" w:eastAsia="Microsoft YaHei"/>
          <w:color w:val="333333"/>
          <w:sz w:val="22"/>
        </w:rPr>
        <w:t>通过对已有产品测量、分析，重新建立三维模型的技术，常用于旧件复刻、进口替代。</w:t>
      </w:r>
    </w:p>
    <w:p>
      <w:pPr>
        <w:pStyle w:val="Heading2"/>
        <w:spacing w:before="320" w:after="80"/>
      </w:pPr>
      <w:r>
        <w:rPr>
          <w:rFonts w:ascii="Microsoft YaHei" w:hAnsi="Microsoft YaHei" w:eastAsia="Microsoft YaHei"/>
          <w:b/>
          <w:color w:val="1A3C6E"/>
          <w:sz w:val="28"/>
        </w:rPr>
        <w:t>5. FEA（有限元分析）</w:t>
      </w:r>
    </w:p>
    <w:p>
      <w:pPr>
        <w:ind w:left="283"/>
      </w:pPr>
      <w:r>
        <w:rPr>
          <w:rFonts w:ascii="Microsoft YaHei" w:hAnsi="Microsoft YaHei" w:eastAsia="Microsoft YaHei"/>
          <w:b/>
          <w:color w:val="2E75B6"/>
          <w:sz w:val="22"/>
        </w:rPr>
        <w:t>📖 Finite Element Analysis</w:t>
      </w:r>
    </w:p>
    <w:p>
      <w:pPr>
        <w:spacing w:after="160"/>
        <w:ind w:left="283"/>
      </w:pPr>
      <w:r>
        <w:rPr>
          <w:rFonts w:ascii="Microsoft YaHei" w:hAnsi="Microsoft YaHei" w:eastAsia="Microsoft YaHei"/>
          <w:color w:val="333333"/>
          <w:sz w:val="22"/>
        </w:rPr>
        <w:t>将复杂结构离散为有限单元，通过数值计算分析应力、变形等力学行为。</w:t>
      </w:r>
    </w:p>
    <w:p>
      <w:pPr>
        <w:pStyle w:val="Heading2"/>
        <w:spacing w:before="320" w:after="80"/>
      </w:pPr>
      <w:r>
        <w:rPr>
          <w:rFonts w:ascii="Microsoft YaHei" w:hAnsi="Microsoft YaHei" w:eastAsia="Microsoft YaHei"/>
          <w:b/>
          <w:color w:val="1A3C6E"/>
          <w:sz w:val="28"/>
        </w:rPr>
        <w:t>6. CAE（计算机辅助工程）</w:t>
      </w:r>
    </w:p>
    <w:p>
      <w:pPr>
        <w:ind w:left="283"/>
      </w:pPr>
      <w:r>
        <w:rPr>
          <w:rFonts w:ascii="Microsoft YaHei" w:hAnsi="Microsoft YaHei" w:eastAsia="Microsoft YaHei"/>
          <w:b/>
          <w:color w:val="2E75B6"/>
          <w:sz w:val="22"/>
        </w:rPr>
        <w:t>📖 Computer-Aided Engineering</w:t>
      </w:r>
    </w:p>
    <w:p>
      <w:pPr>
        <w:spacing w:after="160"/>
        <w:ind w:left="283"/>
      </w:pPr>
      <w:r>
        <w:rPr>
          <w:rFonts w:ascii="Microsoft YaHei" w:hAnsi="Microsoft YaHei" w:eastAsia="Microsoft YaHei"/>
          <w:color w:val="333333"/>
          <w:sz w:val="22"/>
        </w:rPr>
        <w:t>利用计算机软件进行工程分析与仿真，涵盖结构、热、流体等多类分析。</w:t>
      </w:r>
    </w:p>
    <w:p>
      <w:pPr>
        <w:pStyle w:val="Heading2"/>
        <w:spacing w:before="320" w:after="80"/>
      </w:pPr>
      <w:r>
        <w:rPr>
          <w:rFonts w:ascii="Microsoft YaHei" w:hAnsi="Microsoft YaHei" w:eastAsia="Microsoft YaHei"/>
          <w:b/>
          <w:color w:val="1A3C6E"/>
          <w:sz w:val="28"/>
        </w:rPr>
        <w:t>7. PLM（产品全生命周期管理）</w:t>
      </w:r>
    </w:p>
    <w:p>
      <w:pPr>
        <w:ind w:left="283"/>
      </w:pPr>
      <w:r>
        <w:rPr>
          <w:rFonts w:ascii="Microsoft YaHei" w:hAnsi="Microsoft YaHei" w:eastAsia="Microsoft YaHei"/>
          <w:b/>
          <w:color w:val="2E75B6"/>
          <w:sz w:val="22"/>
        </w:rPr>
        <w:t>📖 Product Lifecycle Management</w:t>
      </w:r>
    </w:p>
    <w:p>
      <w:pPr>
        <w:spacing w:after="160"/>
        <w:ind w:left="283"/>
      </w:pPr>
      <w:r>
        <w:rPr>
          <w:rFonts w:ascii="Microsoft YaHei" w:hAnsi="Microsoft YaHei" w:eastAsia="Microsoft YaHei"/>
          <w:color w:val="333333"/>
          <w:sz w:val="22"/>
        </w:rPr>
        <w:t>覆盖从概念设计到报废回收的全流程数据管理体系。</w:t>
      </w:r>
    </w:p>
    <w:p>
      <w:pPr>
        <w:pStyle w:val="Heading2"/>
        <w:spacing w:before="320" w:after="80"/>
      </w:pPr>
      <w:r>
        <w:rPr>
          <w:rFonts w:ascii="Microsoft YaHei" w:hAnsi="Microsoft YaHei" w:eastAsia="Microsoft YaHei"/>
          <w:b/>
          <w:color w:val="1A3C6E"/>
          <w:sz w:val="28"/>
        </w:rPr>
        <w:t>8. 工装夹具</w:t>
      </w:r>
    </w:p>
    <w:p>
      <w:pPr>
        <w:ind w:left="283"/>
      </w:pPr>
      <w:r>
        <w:rPr>
          <w:rFonts w:ascii="Microsoft YaHei" w:hAnsi="Microsoft YaHei" w:eastAsia="Microsoft YaHei"/>
          <w:b/>
          <w:color w:val="2E75B6"/>
          <w:sz w:val="22"/>
        </w:rPr>
        <w:t>📖 Fixture / Jig</w:t>
      </w:r>
    </w:p>
    <w:p>
      <w:pPr>
        <w:spacing w:after="160"/>
        <w:ind w:left="283"/>
      </w:pPr>
      <w:r>
        <w:rPr>
          <w:rFonts w:ascii="Microsoft YaHei" w:hAnsi="Microsoft YaHei" w:eastAsia="Microsoft YaHei"/>
          <w:color w:val="333333"/>
          <w:sz w:val="22"/>
        </w:rPr>
        <w:t>用于固定、定位工件的辅助装置，保障加工/装配过程的精度与一致性。</w:t>
      </w:r>
    </w:p>
    <w:p>
      <w:pPr>
        <w:pStyle w:val="Heading2"/>
        <w:spacing w:before="320" w:after="80"/>
      </w:pPr>
      <w:r>
        <w:rPr>
          <w:rFonts w:ascii="Microsoft YaHei" w:hAnsi="Microsoft YaHei" w:eastAsia="Microsoft YaHei"/>
          <w:b/>
          <w:color w:val="1A3C6E"/>
          <w:sz w:val="28"/>
        </w:rPr>
        <w:t>9. 非标设备</w:t>
      </w:r>
    </w:p>
    <w:p>
      <w:pPr>
        <w:ind w:left="283"/>
      </w:pPr>
      <w:r>
        <w:rPr>
          <w:rFonts w:ascii="Microsoft YaHei" w:hAnsi="Microsoft YaHei" w:eastAsia="Microsoft YaHei"/>
          <w:b/>
          <w:color w:val="2E75B6"/>
          <w:sz w:val="22"/>
        </w:rPr>
        <w:t>📖 Non-standard Equipment</w:t>
      </w:r>
    </w:p>
    <w:p>
      <w:pPr>
        <w:spacing w:after="160"/>
        <w:ind w:left="283"/>
      </w:pPr>
      <w:r>
        <w:rPr>
          <w:rFonts w:ascii="Microsoft YaHei" w:hAnsi="Microsoft YaHei" w:eastAsia="Microsoft YaHei"/>
          <w:color w:val="333333"/>
          <w:sz w:val="22"/>
        </w:rPr>
        <w:t>根据特定生产需求定制的专用设备，区别于通用标准化设备。</w:t>
      </w:r>
    </w:p>
    <w:p>
      <w:pPr>
        <w:pStyle w:val="Heading2"/>
        <w:spacing w:before="320" w:after="80"/>
      </w:pPr>
      <w:r>
        <w:rPr>
          <w:rFonts w:ascii="Microsoft YaHei" w:hAnsi="Microsoft YaHei" w:eastAsia="Microsoft YaHei"/>
          <w:b/>
          <w:color w:val="1A3C6E"/>
          <w:sz w:val="28"/>
        </w:rPr>
        <w:t>10. STEP（三维模型交换格式）</w:t>
      </w:r>
    </w:p>
    <w:p>
      <w:pPr>
        <w:ind w:left="283"/>
      </w:pPr>
      <w:r>
        <w:rPr>
          <w:rFonts w:ascii="Microsoft YaHei" w:hAnsi="Microsoft YaHei" w:eastAsia="Microsoft YaHei"/>
          <w:b/>
          <w:color w:val="2E75B6"/>
          <w:sz w:val="22"/>
        </w:rPr>
        <w:t>📖 Standard for Exchange of Product Data</w:t>
      </w:r>
    </w:p>
    <w:p>
      <w:pPr>
        <w:spacing w:after="160"/>
        <w:ind w:left="283"/>
      </w:pPr>
      <w:r>
        <w:rPr>
          <w:rFonts w:ascii="Microsoft YaHei" w:hAnsi="Microsoft YaHei" w:eastAsia="Microsoft YaHei"/>
          <w:color w:val="333333"/>
          <w:sz w:val="22"/>
        </w:rPr>
        <w:t>国际标准三维模型交换格式（ISO 10303），是跨软件协作最通用的中间格式。</w:t>
      </w:r>
    </w:p>
    <w:p>
      <w:pPr>
        <w:pStyle w:val="Heading2"/>
        <w:spacing w:before="320" w:after="80"/>
      </w:pPr>
      <w:r>
        <w:rPr>
          <w:rFonts w:ascii="Microsoft YaHei" w:hAnsi="Microsoft YaHei" w:eastAsia="Microsoft YaHei"/>
          <w:b/>
          <w:color w:val="1A3C6E"/>
          <w:sz w:val="28"/>
        </w:rPr>
        <w:t>11. 公差配合</w:t>
      </w:r>
    </w:p>
    <w:p>
      <w:pPr>
        <w:ind w:left="283"/>
      </w:pPr>
      <w:r>
        <w:rPr>
          <w:rFonts w:ascii="Microsoft YaHei" w:hAnsi="Microsoft YaHei" w:eastAsia="Microsoft YaHei"/>
          <w:b/>
          <w:color w:val="2E75B6"/>
          <w:sz w:val="22"/>
        </w:rPr>
        <w:t>📖 Tolerance &amp; Fit</w:t>
      </w:r>
    </w:p>
    <w:p>
      <w:pPr>
        <w:spacing w:after="160"/>
        <w:ind w:left="283"/>
      </w:pPr>
      <w:r>
        <w:rPr>
          <w:rFonts w:ascii="Microsoft YaHei" w:hAnsi="Microsoft YaHei" w:eastAsia="Microsoft YaHei"/>
          <w:color w:val="333333"/>
          <w:sz w:val="22"/>
        </w:rPr>
        <w:t>描述配合零件间尺寸关系的标准体系，分为间隙配合、过渡配合、过盈配合三类。</w:t>
      </w:r>
    </w:p>
    <w:p>
      <w:pPr>
        <w:pStyle w:val="Heading2"/>
        <w:spacing w:before="320" w:after="80"/>
      </w:pPr>
      <w:r>
        <w:rPr>
          <w:rFonts w:ascii="Microsoft YaHei" w:hAnsi="Microsoft YaHei" w:eastAsia="Microsoft YaHei"/>
          <w:b/>
          <w:color w:val="1A3C6E"/>
          <w:sz w:val="28"/>
        </w:rPr>
        <w:t>12. 表面粗糙度</w:t>
      </w:r>
    </w:p>
    <w:p>
      <w:pPr>
        <w:ind w:left="283"/>
      </w:pPr>
      <w:r>
        <w:rPr>
          <w:rFonts w:ascii="Microsoft YaHei" w:hAnsi="Microsoft YaHei" w:eastAsia="Microsoft YaHei"/>
          <w:b/>
          <w:color w:val="2E75B6"/>
          <w:sz w:val="22"/>
        </w:rPr>
        <w:t>📖 Surface Roughness (Ra)</w:t>
      </w:r>
    </w:p>
    <w:p>
      <w:pPr>
        <w:spacing w:after="160"/>
        <w:ind w:left="283"/>
      </w:pPr>
      <w:r>
        <w:rPr>
          <w:rFonts w:ascii="Microsoft YaHei" w:hAnsi="Microsoft YaHei" w:eastAsia="Microsoft YaHei"/>
          <w:color w:val="333333"/>
          <w:sz w:val="22"/>
        </w:rPr>
        <w:t>描述零件加工表面微观不平度的参数，Ra值越小，表面越光滑。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AAAAAA"/>
        <w:sz w:val="18"/>
      </w:rPr>
      <w:t xml:space="preserve">机械设计行业术语速查 ｜ 第 </w:t>
    </w:r>
    <w:r>
      <w:fldChar w:fldCharType="begin"/>
    </w:r>
    <w:r>
      <w:instrText xml:space="preserve"> PAGE </w:instrText>
    </w:r>
    <w:r>
      <w:fldChar w:fldCharType="end"/>
    </w:r>
    <w:r>
      <w:rPr>
        <w:rFonts w:ascii="Microsoft YaHei" w:hAnsi="Microsoft YaHei" w:eastAsia="Microsoft YaHei"/>
        <w:color w:val="AAAAA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