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68" w:line="240" w:lineRule="auto"/>
        <w:ind w:left="23" w:firstLine="0"/>
        <w:jc w:val="center"/>
        <w:rPr>
          <w:rFonts w:ascii="Work Sans" w:cs="Work Sans" w:eastAsia="Work Sans" w:hAnsi="Work Sans"/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333333"/>
          <w:sz w:val="28"/>
          <w:szCs w:val="28"/>
          <w:rtl w:val="0"/>
        </w:rPr>
        <w:t xml:space="preserve">PLAYBOOK DATA BREACH</w:t>
      </w:r>
    </w:p>
    <w:p w:rsidR="00000000" w:rsidDel="00000000" w:rsidP="00000000" w:rsidRDefault="00000000" w:rsidRPr="00000000" w14:paraId="00000002">
      <w:pPr>
        <w:widowControl w:val="0"/>
        <w:spacing w:before="463" w:line="240" w:lineRule="auto"/>
        <w:ind w:left="20" w:firstLine="0"/>
        <w:rPr>
          <w:rFonts w:ascii="Work Sans" w:cs="Work Sans" w:eastAsia="Work Sans" w:hAnsi="Work Sans"/>
          <w:color w:val="333333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20"/>
          <w:szCs w:val="20"/>
          <w:rtl w:val="0"/>
        </w:rPr>
        <w:t xml:space="preserve">Fase 1: Immediate Response (0-4 ore)</w:t>
      </w:r>
      <w:r w:rsidDel="00000000" w:rsidR="00000000" w:rsidRPr="00000000">
        <w:rPr>
          <w:rFonts w:ascii="Work Sans" w:cs="Work Sans" w:eastAsia="Work Sans" w:hAnsi="Work Sans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before="349" w:line="276" w:lineRule="auto"/>
        <w:ind w:left="13" w:right="127" w:hanging="1.9999999999999996"/>
        <w:jc w:val="both"/>
        <w:rPr>
          <w:rFonts w:ascii="Work Sans" w:cs="Work Sans" w:eastAsia="Work Sans" w:hAnsi="Work Sans"/>
          <w:color w:val="333333"/>
          <w:sz w:val="18"/>
          <w:szCs w:val="18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18"/>
          <w:szCs w:val="18"/>
          <w:rtl w:val="0"/>
        </w:rPr>
        <w:t xml:space="preserve">Step 1.1:</w:t>
      </w:r>
      <w:r w:rsidDel="00000000" w:rsidR="00000000" w:rsidRPr="00000000">
        <w:rPr>
          <w:rFonts w:ascii="Work Sans" w:cs="Work Sans" w:eastAsia="Work Sans" w:hAnsi="Work Sans"/>
          <w:color w:val="333333"/>
          <w:sz w:val="18"/>
          <w:szCs w:val="18"/>
          <w:rtl w:val="0"/>
        </w:rPr>
        <w:t xml:space="preserve"> Containment della Fonte - [ ] Identificare e isolare il sistema o account compromesso - [ ] Bloccare ulteriori accessi non autorizzati - [ ] Preservare log e evidenze per investigation - [ ] Implementare monitoring aggiuntivo sui sistemi correlati.</w:t>
      </w:r>
    </w:p>
    <w:p w:rsidR="00000000" w:rsidDel="00000000" w:rsidP="00000000" w:rsidRDefault="00000000" w:rsidRPr="00000000" w14:paraId="00000004">
      <w:pPr>
        <w:widowControl w:val="0"/>
        <w:spacing w:before="254" w:line="276" w:lineRule="auto"/>
        <w:ind w:left="23" w:right="127" w:hanging="11"/>
        <w:jc w:val="both"/>
        <w:rPr>
          <w:rFonts w:ascii="Work Sans" w:cs="Work Sans" w:eastAsia="Work Sans" w:hAnsi="Work Sans"/>
          <w:color w:val="333333"/>
          <w:sz w:val="18"/>
          <w:szCs w:val="18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18"/>
          <w:szCs w:val="18"/>
          <w:rtl w:val="0"/>
        </w:rPr>
        <w:t xml:space="preserve">Step 1.2:</w:t>
      </w:r>
      <w:r w:rsidDel="00000000" w:rsidR="00000000" w:rsidRPr="00000000">
        <w:rPr>
          <w:rFonts w:ascii="Work Sans" w:cs="Work Sans" w:eastAsia="Work Sans" w:hAnsi="Work Sans"/>
          <w:color w:val="333333"/>
          <w:sz w:val="18"/>
          <w:szCs w:val="18"/>
          <w:rtl w:val="0"/>
        </w:rPr>
        <w:t xml:space="preserve"> Assessment Preliminare del Scope - [ ] Identificare tipi di dati potenzialmente compromessi - [ ] Stimare numero di record o individui impattati - [ ] Determinare timeframe della compromissione - [ ] Identificare sistemi, database, e repository coinvolti.</w:t>
      </w:r>
    </w:p>
    <w:p w:rsidR="00000000" w:rsidDel="00000000" w:rsidP="00000000" w:rsidRDefault="00000000" w:rsidRPr="00000000" w14:paraId="00000005">
      <w:pPr>
        <w:widowControl w:val="0"/>
        <w:spacing w:before="269" w:line="276" w:lineRule="auto"/>
        <w:ind w:left="25" w:right="144" w:hanging="14"/>
        <w:jc w:val="both"/>
        <w:rPr>
          <w:rFonts w:ascii="Work Sans" w:cs="Work Sans" w:eastAsia="Work Sans" w:hAnsi="Work Sans"/>
          <w:color w:val="333333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18"/>
          <w:szCs w:val="18"/>
          <w:rtl w:val="0"/>
        </w:rPr>
        <w:t xml:space="preserve">Step 1.3:</w:t>
      </w:r>
      <w:r w:rsidDel="00000000" w:rsidR="00000000" w:rsidRPr="00000000">
        <w:rPr>
          <w:rFonts w:ascii="Work Sans" w:cs="Work Sans" w:eastAsia="Work Sans" w:hAnsi="Work Sans"/>
          <w:color w:val="333333"/>
          <w:sz w:val="18"/>
          <w:szCs w:val="18"/>
          <w:rtl w:val="0"/>
        </w:rPr>
        <w:t xml:space="preserve"> Notification Interna - [ ] Notificare immediatamente il team legale - [ ] Informare il CISO e management appropriato - [ ] Attivare il team di incident response - [ ] Stabilire canali di comunicazione sicuri</w:t>
      </w:r>
      <w:r w:rsidDel="00000000" w:rsidR="00000000" w:rsidRPr="00000000">
        <w:rPr>
          <w:rFonts w:ascii="Work Sans" w:cs="Work Sans" w:eastAsia="Work Sans" w:hAnsi="Work Sans"/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376" w:line="276" w:lineRule="auto"/>
        <w:ind w:left="20" w:firstLine="0"/>
        <w:rPr>
          <w:rFonts w:ascii="Work Sans Medium" w:cs="Work Sans Medium" w:eastAsia="Work Sans Medium" w:hAnsi="Work Sans Medium"/>
          <w:color w:val="333333"/>
          <w:sz w:val="20"/>
          <w:szCs w:val="20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20"/>
          <w:szCs w:val="20"/>
          <w:rtl w:val="0"/>
        </w:rPr>
        <w:t xml:space="preserve">Fase 2: Investigation e Assessment (4-72 ore) </w:t>
      </w:r>
    </w:p>
    <w:p w:rsidR="00000000" w:rsidDel="00000000" w:rsidP="00000000" w:rsidRDefault="00000000" w:rsidRPr="00000000" w14:paraId="00000007">
      <w:pPr>
        <w:widowControl w:val="0"/>
        <w:spacing w:before="349" w:line="276" w:lineRule="auto"/>
        <w:ind w:left="13" w:right="142" w:hanging="1.9999999999999996"/>
        <w:jc w:val="both"/>
        <w:rPr>
          <w:rFonts w:ascii="Work Sans" w:cs="Work Sans" w:eastAsia="Work Sans" w:hAnsi="Work Sans"/>
          <w:color w:val="333333"/>
          <w:sz w:val="18"/>
          <w:szCs w:val="18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18"/>
          <w:szCs w:val="18"/>
          <w:rtl w:val="0"/>
        </w:rPr>
        <w:t xml:space="preserve">Step 2.1:</w:t>
      </w:r>
      <w:r w:rsidDel="00000000" w:rsidR="00000000" w:rsidRPr="00000000">
        <w:rPr>
          <w:rFonts w:ascii="Work Sans" w:cs="Work Sans" w:eastAsia="Work Sans" w:hAnsi="Work Sans"/>
          <w:color w:val="333333"/>
          <w:sz w:val="18"/>
          <w:szCs w:val="18"/>
          <w:rtl w:val="0"/>
        </w:rPr>
        <w:t xml:space="preserve"> Forensic Analysis - [ ] Condurre analisi forense dettagliata dei sistemi compromessi - [ ] Ricostruire timeline completa dell'incidente - [ ] Identificare root cause e vettore di attacco - [ ] Determinare full scope della compromissione </w:t>
      </w:r>
    </w:p>
    <w:p w:rsidR="00000000" w:rsidDel="00000000" w:rsidP="00000000" w:rsidRDefault="00000000" w:rsidRPr="00000000" w14:paraId="00000008">
      <w:pPr>
        <w:widowControl w:val="0"/>
        <w:spacing w:before="271" w:line="276" w:lineRule="auto"/>
        <w:ind w:left="1" w:right="123" w:firstLine="9"/>
        <w:jc w:val="both"/>
        <w:rPr>
          <w:rFonts w:ascii="Work Sans" w:cs="Work Sans" w:eastAsia="Work Sans" w:hAnsi="Work Sans"/>
          <w:color w:val="333333"/>
          <w:sz w:val="18"/>
          <w:szCs w:val="18"/>
        </w:rPr>
      </w:pPr>
      <w:r w:rsidDel="00000000" w:rsidR="00000000" w:rsidRPr="00000000">
        <w:rPr>
          <w:rFonts w:ascii="Work Sans Medium" w:cs="Work Sans Medium" w:eastAsia="Work Sans Medium" w:hAnsi="Work Sans Medium"/>
          <w:color w:val="333333"/>
          <w:sz w:val="18"/>
          <w:szCs w:val="18"/>
          <w:rtl w:val="0"/>
        </w:rPr>
        <w:t xml:space="preserve">Step 2.2:</w:t>
      </w:r>
      <w:r w:rsidDel="00000000" w:rsidR="00000000" w:rsidRPr="00000000">
        <w:rPr>
          <w:rFonts w:ascii="Work Sans" w:cs="Work Sans" w:eastAsia="Work Sans" w:hAnsi="Work Sans"/>
          <w:color w:val="333333"/>
          <w:sz w:val="18"/>
          <w:szCs w:val="18"/>
          <w:rtl w:val="0"/>
        </w:rPr>
        <w:t xml:space="preserve"> Legal e Regulatory Assessment - [ ] Identificare obblighi di notification applicabili (GDPR, settoriali) - [ ] Determinare timeframe per notifications richieste - [ ] Valutare necessità di coinvolgimento law enforcement - [ ] Preparare documentazione per regulatory authorities</w:t>
      </w:r>
    </w:p>
    <w:p w:rsidR="00000000" w:rsidDel="00000000" w:rsidP="00000000" w:rsidRDefault="00000000" w:rsidRPr="00000000" w14:paraId="00000009">
      <w:pPr>
        <w:widowControl w:val="0"/>
        <w:spacing w:before="273" w:line="320" w:lineRule="auto"/>
        <w:ind w:left="8" w:right="121" w:firstLine="1.9999999999999996"/>
        <w:jc w:val="both"/>
        <w:rPr>
          <w:rFonts w:ascii="Work Sans" w:cs="Work Sans" w:eastAsia="Work Sans" w:hAnsi="Work Sans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spacing w:line="240" w:lineRule="auto"/>
      <w:ind w:right="-40.8661417322827"/>
      <w:rPr/>
    </w:pPr>
    <w:r w:rsidDel="00000000" w:rsidR="00000000" w:rsidRPr="00000000">
      <w:rPr>
        <w:rFonts w:ascii="Work Sans" w:cs="Work Sans" w:eastAsia="Work Sans" w:hAnsi="Work Sans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Work Sans" w:cs="Work Sans" w:eastAsia="Work Sans" w:hAnsi="Work Sans"/>
        <w:b w:val="1"/>
        <w:bCs w:val="1"/>
        <w:sz w:val="20"/>
        <w:szCs w:val="20"/>
        <w:rtl w:val="0"/>
      </w:rPr>
      <w:t xml:space="preserve"> </w:t>
    </w:r>
    <w:r w:rsidDel="00000000" w:rsidR="00000000" w:rsidRPr="00000000">
      <w:rPr>
        <w:rFonts w:ascii="Work Sans" w:cs="Work Sans" w:eastAsia="Work Sans" w:hAnsi="Work Sans"/>
        <w:sz w:val="20"/>
        <w:szCs w:val="20"/>
        <w:rtl w:val="0"/>
      </w:rPr>
      <w:t xml:space="preserve">CARTA INTESTATA CLIENTE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after="120" w:before="120" w:line="336" w:lineRule="auto"/>
      <w:jc w:val="center"/>
      <w:rPr>
        <w:rFonts w:ascii="Work Sans" w:cs="Work Sans" w:eastAsia="Work Sans" w:hAnsi="Work Sans"/>
        <w:sz w:val="20"/>
        <w:szCs w:val="20"/>
      </w:rPr>
    </w:pPr>
    <w:r w:rsidDel="00000000" w:rsidR="00000000" w:rsidRPr="00000000">
      <w:rPr>
        <w:rFonts w:ascii="Work Sans" w:cs="Work Sans" w:eastAsia="Work Sans" w:hAnsi="Work Sans"/>
        <w:sz w:val="20"/>
        <w:szCs w:val="20"/>
        <w:rtl w:val="0"/>
      </w:rPr>
      <w:t xml:space="preserve">CARTA INTESTATA CLIENTE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Medium-regular.ttf"/><Relationship Id="rId2" Type="http://schemas.openxmlformats.org/officeDocument/2006/relationships/font" Target="fonts/WorkSansMedium-bold.ttf"/><Relationship Id="rId3" Type="http://schemas.openxmlformats.org/officeDocument/2006/relationships/font" Target="fonts/WorkSansMedium-italic.ttf"/><Relationship Id="rId4" Type="http://schemas.openxmlformats.org/officeDocument/2006/relationships/font" Target="fonts/WorkSansMedium-boldItalic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