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line="288" w:lineRule="auto"/>
        <w:jc w:val="center"/>
      </w:pPr>
      <w:r>
        <w:rPr>
          <w:rFonts w:ascii="Times New Roman" w:hAnsi="Times New Roman" w:eastAsia="Songti SC"/>
          <w:b/>
          <w:color w:val="0B2545"/>
          <w:sz w:val="42"/>
        </w:rPr>
        <w:t>MAIS-MVP v1/v2 Adaptive Learning Comparative Report</w:t>
      </w:r>
    </w:p>
    <w:p>
      <w:pPr>
        <w:spacing w:before="0" w:after="520" w:line="300" w:lineRule="auto"/>
        <w:jc w:val="center"/>
      </w:pPr>
      <w:r>
        <w:rPr>
          <w:rFonts w:ascii="Times New Roman" w:hAnsi="Times New Roman" w:eastAsia="Songti SC"/>
          <w:i/>
          <w:color w:val="1F4D78"/>
          <w:sz w:val="28"/>
        </w:rPr>
        <w:t>From Bayesian Knowledge Tracing to Guarded LLM Reranking</w:t>
      </w:r>
    </w:p>
    <w:tbl>
      <w:tblPr>
        <w:tblW w:type="auto" w:w="0"/>
        <w:jc w:val="center"/>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Pr>
      <w:tblGrid>
        <w:gridCol w:w="4680"/>
        <w:gridCol w:w="4680"/>
      </w:tblGrid>
      <w:tr>
        <w:tc>
          <w:tcPr>
            <w:tcW w:type="dxa" w:w="2381"/>
            <w:tcMar>
              <w:top w:w="110" w:type="dxa"/>
              <w:start w:w="140" w:type="dxa"/>
              <w:bottom w:w="110" w:type="dxa"/>
              <w:end w:w="140" w:type="dxa"/>
            </w:tcMar>
            <w:shd w:fill="E8EEF5"/>
          </w:tcPr>
          <w:p>
            <w:r>
              <w:rPr>
                <w:rFonts w:ascii="Times New Roman" w:hAnsi="Times New Roman" w:eastAsia="Songti SC"/>
                <w:b/>
                <w:color w:val="0B2545"/>
                <w:sz w:val="21"/>
              </w:rPr>
              <w:t>Project</w:t>
            </w:r>
          </w:p>
        </w:tc>
        <w:tc>
          <w:tcPr>
            <w:tcW w:type="dxa" w:w="6916"/>
            <w:tcMar>
              <w:top w:w="110" w:type="dxa"/>
              <w:start w:w="140" w:type="dxa"/>
              <w:bottom w:w="110" w:type="dxa"/>
              <w:end w:w="140" w:type="dxa"/>
            </w:tcMar>
          </w:tcPr>
          <w:p>
            <w:r>
              <w:rPr>
                <w:rFonts w:ascii="Times New Roman" w:hAnsi="Times New Roman" w:eastAsia="Songti SC"/>
                <w:b w:val="0"/>
                <w:color w:val="000000"/>
                <w:sz w:val="21"/>
              </w:rPr>
              <w:t>MAIS-MVP: A bilingual mathematics learning application for Hong Kong P1-S6 students</w:t>
            </w:r>
          </w:p>
        </w:tc>
      </w:tr>
      <w:tr>
        <w:tc>
          <w:tcPr>
            <w:tcW w:type="dxa" w:w="2381"/>
            <w:tcMar>
              <w:top w:w="110" w:type="dxa"/>
              <w:start w:w="140" w:type="dxa"/>
              <w:bottom w:w="110" w:type="dxa"/>
              <w:end w:w="140" w:type="dxa"/>
            </w:tcMar>
            <w:shd w:fill="E8EEF5"/>
          </w:tcPr>
          <w:p>
            <w:r>
              <w:rPr>
                <w:rFonts w:ascii="Times New Roman" w:hAnsi="Times New Roman" w:eastAsia="Songti SC"/>
                <w:b/>
                <w:color w:val="0B2545"/>
                <w:sz w:val="21"/>
              </w:rPr>
              <w:t>Report date</w:t>
            </w:r>
          </w:p>
        </w:tc>
        <w:tc>
          <w:tcPr>
            <w:tcW w:type="dxa" w:w="6916"/>
            <w:tcMar>
              <w:top w:w="110" w:type="dxa"/>
              <w:start w:w="140" w:type="dxa"/>
              <w:bottom w:w="110" w:type="dxa"/>
              <w:end w:w="140" w:type="dxa"/>
            </w:tcMar>
          </w:tcPr>
          <w:p>
            <w:r>
              <w:rPr>
                <w:rFonts w:ascii="Times New Roman" w:hAnsi="Times New Roman" w:eastAsia="Songti SC"/>
                <w:b w:val="0"/>
                <w:color w:val="000000"/>
                <w:sz w:val="21"/>
              </w:rPr>
              <w:t>2026-05-15</w:t>
            </w:r>
          </w:p>
        </w:tc>
      </w:tr>
      <w:tr>
        <w:tc>
          <w:tcPr>
            <w:tcW w:type="dxa" w:w="2381"/>
            <w:tcMar>
              <w:top w:w="110" w:type="dxa"/>
              <w:start w:w="140" w:type="dxa"/>
              <w:bottom w:w="110" w:type="dxa"/>
              <w:end w:w="140" w:type="dxa"/>
            </w:tcMar>
            <w:shd w:fill="E8EEF5"/>
          </w:tcPr>
          <w:p>
            <w:r>
              <w:rPr>
                <w:rFonts w:ascii="Times New Roman" w:hAnsi="Times New Roman" w:eastAsia="Songti SC"/>
                <w:b/>
                <w:color w:val="0B2545"/>
                <w:sz w:val="21"/>
              </w:rPr>
              <w:t>Report type</w:t>
            </w:r>
          </w:p>
        </w:tc>
        <w:tc>
          <w:tcPr>
            <w:tcW w:type="dxa" w:w="6916"/>
            <w:tcMar>
              <w:top w:w="110" w:type="dxa"/>
              <w:start w:w="140" w:type="dxa"/>
              <w:bottom w:w="110" w:type="dxa"/>
              <w:end w:w="140" w:type="dxa"/>
            </w:tcMar>
          </w:tcPr>
          <w:p>
            <w:r>
              <w:rPr>
                <w:rFonts w:ascii="Times New Roman" w:hAnsi="Times New Roman" w:eastAsia="Songti SC"/>
                <w:b w:val="0"/>
                <w:color w:val="000000"/>
                <w:sz w:val="21"/>
              </w:rPr>
              <w:t>Academic technical and educational analysis report</w:t>
            </w:r>
          </w:p>
        </w:tc>
      </w:tr>
      <w:tr>
        <w:tc>
          <w:tcPr>
            <w:tcW w:type="dxa" w:w="2381"/>
            <w:tcMar>
              <w:top w:w="110" w:type="dxa"/>
              <w:start w:w="140" w:type="dxa"/>
              <w:bottom w:w="110" w:type="dxa"/>
              <w:end w:w="140" w:type="dxa"/>
            </w:tcMar>
            <w:shd w:fill="E8EEF5"/>
          </w:tcPr>
          <w:p>
            <w:r>
              <w:rPr>
                <w:rFonts w:ascii="Times New Roman" w:hAnsi="Times New Roman" w:eastAsia="Songti SC"/>
                <w:b/>
                <w:color w:val="0B2545"/>
                <w:sz w:val="21"/>
              </w:rPr>
              <w:t>Citation style</w:t>
            </w:r>
          </w:p>
        </w:tc>
        <w:tc>
          <w:tcPr>
            <w:tcW w:type="dxa" w:w="6916"/>
            <w:tcMar>
              <w:top w:w="110" w:type="dxa"/>
              <w:start w:w="140" w:type="dxa"/>
              <w:bottom w:w="110" w:type="dxa"/>
              <w:end w:w="140" w:type="dxa"/>
            </w:tcMar>
          </w:tcPr>
          <w:p>
            <w:r>
              <w:rPr>
                <w:rFonts w:ascii="Times New Roman" w:hAnsi="Times New Roman" w:eastAsia="Songti SC"/>
                <w:b w:val="0"/>
                <w:color w:val="000000"/>
                <w:sz w:val="21"/>
              </w:rPr>
              <w:t>APA 7th author-date; references limited to academic journals or conferences</w:t>
            </w:r>
          </w:p>
        </w:tc>
      </w:tr>
      <w:tr>
        <w:tc>
          <w:tcPr>
            <w:tcW w:type="dxa" w:w="2381"/>
            <w:tcMar>
              <w:top w:w="110" w:type="dxa"/>
              <w:start w:w="140" w:type="dxa"/>
              <w:bottom w:w="110" w:type="dxa"/>
              <w:end w:w="140" w:type="dxa"/>
            </w:tcMar>
            <w:shd w:fill="E8EEF5"/>
          </w:tcPr>
          <w:p>
            <w:r>
              <w:rPr>
                <w:rFonts w:ascii="Times New Roman" w:hAnsi="Times New Roman" w:eastAsia="Songti SC"/>
                <w:b/>
                <w:color w:val="0B2545"/>
                <w:sz w:val="21"/>
              </w:rPr>
              <w:t>Scope</w:t>
            </w:r>
          </w:p>
        </w:tc>
        <w:tc>
          <w:tcPr>
            <w:tcW w:type="dxa" w:w="6916"/>
            <w:tcMar>
              <w:top w:w="110" w:type="dxa"/>
              <w:start w:w="140" w:type="dxa"/>
              <w:bottom w:w="110" w:type="dxa"/>
              <w:end w:w="140" w:type="dxa"/>
            </w:tcMar>
          </w:tcPr>
          <w:p>
            <w:r>
              <w:rPr>
                <w:rFonts w:ascii="Times New Roman" w:hAnsi="Times New Roman" w:eastAsia="Songti SC"/>
                <w:b w:val="0"/>
                <w:color w:val="000000"/>
                <w:sz w:val="21"/>
              </w:rPr>
              <w:t>Theory review plus MAIS-MVP implementation mapping; no feature-code modification</w:t>
            </w:r>
          </w:p>
        </w:tc>
      </w:tr>
    </w:tbl>
    <w:tbl>
      <w:tblPr>
        <w:tblW w:type="auto" w:w="0"/>
        <w:jc w:val="center"/>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9360"/>
      </w:tblGrid>
      <w:tr>
        <w:tc>
          <w:tcPr>
            <w:tcW w:type="dxa" w:w="9360"/>
            <w:shd w:fill="F4F7FA"/>
            <w:tcMar>
              <w:top w:w="120" w:type="dxa"/>
              <w:start w:w="180" w:type="dxa"/>
              <w:bottom w:w="120" w:type="dxa"/>
              <w:end w:w="180" w:type="dxa"/>
            </w:tcMar>
          </w:tcPr>
          <w:p>
            <w:pPr>
              <w:spacing w:before="0" w:after="60" w:line="300" w:lineRule="auto"/>
            </w:pPr>
            <w:r>
              <w:rPr>
                <w:rFonts w:ascii="Times New Roman" w:hAnsi="Times New Roman" w:eastAsia="Heiti SC"/>
                <w:b/>
                <w:color w:val="1F4D78"/>
                <w:sz w:val="21"/>
              </w:rPr>
              <w:t>Core judgment</w:t>
            </w:r>
          </w:p>
          <w:p>
            <w:pPr>
              <w:spacing w:before="0" w:after="0" w:line="312" w:lineRule="auto"/>
            </w:pPr>
            <w:r>
              <w:rPr>
                <w:rFonts w:ascii="Times New Roman" w:hAnsi="Times New Roman" w:eastAsia="Songti SC"/>
                <w:sz w:val="21"/>
              </w:rPr>
              <w:t>v1 is an interpretable, low-cost, offline-capable deterministic adaptive core; v2 adds a guarded LLM reranking layer on top of v1. The two versions are not substitutes. They form a layered architecture that combines rule-grounded trust with generative explanation and ranking capability.</w:t>
            </w:r>
          </w:p>
        </w:tc>
      </w:tr>
    </w:tbl>
    <w:p>
      <w:pPr>
        <w:spacing w:before="0" w:after="80" w:line="324" w:lineRule="auto"/>
      </w:pPr>
    </w:p>
    <w:p>
      <w:r>
        <w:br w:type="page"/>
      </w:r>
    </w:p>
    <w:p>
      <w:pPr>
        <w:pStyle w:val="Heading1"/>
        <w:spacing w:before="280" w:after="120" w:line="283" w:lineRule="auto"/>
        <w:jc w:val="left"/>
      </w:pPr>
      <w:r>
        <w:rPr>
          <w:rFonts w:ascii="Times New Roman" w:hAnsi="Times New Roman" w:eastAsia="Heiti SC"/>
          <w:b/>
          <w:color w:val="1F4D78"/>
          <w:sz w:val="32"/>
        </w:rPr>
        <w:t>Abstract</w:t>
      </w:r>
    </w:p>
    <w:p>
      <w:pPr>
        <w:spacing w:before="0" w:after="120" w:line="324" w:lineRule="auto"/>
      </w:pPr>
      <w:r>
        <w:rPr>
          <w:rFonts w:ascii="Times New Roman" w:hAnsi="Times New Roman" w:eastAsia="Songti SC"/>
          <w:sz w:val="22"/>
        </w:rPr>
        <w:t>This report compares two adaptive learning versions in MAIS-MVP: v1, adaptive learning without an LLM, and v2, adaptive learning with an LLM. v1 is defined as an adaptive engine based on Bayesian Knowledge Tracing (BKT), knowledge components, prerequisite relations, spaced review, and deterministic policy rules. v2 is defined as a hybrid adaptive engine that introduces a Large Language Model (LLM) on top of the v1 candidate set for constrained reranking, explanation generation, and teacher audit notes.</w:t>
      </w:r>
    </w:p>
    <w:p>
      <w:pPr>
        <w:spacing w:before="0" w:after="120" w:line="324" w:lineRule="auto"/>
      </w:pPr>
      <w:r>
        <w:rPr>
          <w:rFonts w:ascii="Times New Roman" w:hAnsi="Times New Roman" w:eastAsia="Songti SC"/>
          <w:sz w:val="22"/>
        </w:rPr>
        <w:t>From an educational measurement perspective, v1 is strongest in explainability, stability, low cost, and auditable mastery probabilities. Its limitations are relatively static parameters and weaker semantic diagnosis of misconceptions. v2 can integrate learning events, mistakes, candidate evidence, and natural-language feedback into a more teacher-like bilingual rationale. Its risks include hallucination, bias, privacy exposure, cost, latency, and provider dependency. Therefore, v2 should not allow the LLM to directly generate instructional pathways; it should rely on BKT guardrails, candidate validation, fallback, and teacher-in-the-loop governance.</w:t>
      </w:r>
    </w:p>
    <w:p>
      <w:pPr>
        <w:spacing w:before="0" w:after="120" w:line="324" w:lineRule="auto"/>
      </w:pPr>
      <w:r>
        <w:rPr>
          <w:rFonts w:ascii="Times New Roman" w:hAnsi="Times New Roman" w:eastAsia="Songti SC"/>
          <w:sz w:val="22"/>
        </w:rPr>
        <w:t>The report concludes with a v3 roadmap: BKT as the interpretable safety floor, combined with retrieval-augmented generation (RAG), an educational knowledge graph, teacher-in-the-loop controls, offline evaluation, and classroom A/B testing. The goal is to move from recommending a next step to building a verifiable, auditable, and reversible instructional decision-making system.</w:t>
      </w:r>
    </w:p>
    <w:p>
      <w:pPr>
        <w:pStyle w:val="Heading1"/>
        <w:spacing w:before="280" w:after="120" w:line="283" w:lineRule="auto"/>
        <w:jc w:val="left"/>
      </w:pPr>
      <w:r>
        <w:rPr>
          <w:rFonts w:ascii="Times New Roman" w:hAnsi="Times New Roman" w:eastAsia="Heiti SC"/>
          <w:b/>
          <w:color w:val="1F4D78"/>
          <w:sz w:val="32"/>
        </w:rPr>
        <w:t>Table of Contents</w:t>
      </w:r>
    </w:p>
    <w:p>
      <w:r>
        <w:rPr>
          <w:rFonts w:ascii="Times New Roman" w:hAnsi="Times New Roman" w:eastAsia="Songti SC"/>
          <w:sz w:val="22"/>
        </w:rPr>
        <w:fldChar w:fldCharType="begin"/>
        <w:instrText xml:space="preserve">TOC \o "1-3" \h \z \u</w:instrText>
        <w:fldChar w:fldCharType="separate"/>
        <w:t>The table of contents will update automatically in Microsoft Word or LibreOffice.</w:t>
        <w:fldChar w:fldCharType="end"/>
      </w:r>
    </w:p>
    <w:p>
      <w:pPr>
        <w:spacing w:before="0" w:after="200" w:line="324" w:lineRule="auto"/>
      </w:pPr>
      <w:r>
        <w:rPr>
          <w:rFonts w:ascii="Times New Roman" w:hAnsi="Times New Roman" w:eastAsia="Songti SC"/>
          <w:sz w:val="22"/>
        </w:rPr>
        <w:t>Note. If page numbers do not appear automatically, update fields in Microsoft Word or LibreOffice. The document uses true Heading styles.</w:t>
      </w:r>
    </w:p>
    <w:p>
      <w:r>
        <w:br w:type="page"/>
      </w:r>
    </w:p>
    <w:p>
      <w:pPr>
        <w:pStyle w:val="Heading1"/>
        <w:spacing w:before="280" w:after="120" w:line="283" w:lineRule="auto"/>
        <w:jc w:val="left"/>
      </w:pPr>
      <w:r>
        <w:rPr>
          <w:rFonts w:ascii="Times New Roman" w:hAnsi="Times New Roman" w:eastAsia="Heiti SC"/>
          <w:b/>
          <w:color w:val="1F4D78"/>
          <w:sz w:val="32"/>
        </w:rPr>
        <w:t>Section 1. v1: Adaptive Learning Without LLM</w:t>
      </w:r>
    </w:p>
    <w:p>
      <w:pPr>
        <w:pStyle w:val="Heading2"/>
        <w:spacing w:before="180" w:after="120" w:line="283" w:lineRule="auto"/>
        <w:jc w:val="left"/>
      </w:pPr>
      <w:r>
        <w:rPr>
          <w:rFonts w:ascii="Times New Roman" w:hAnsi="Times New Roman" w:eastAsia="Heiti SC"/>
          <w:b/>
          <w:color w:val="1F4D78"/>
          <w:sz w:val="26"/>
        </w:rPr>
        <w:t>1.1 Conceptual introduction: Deterministic adaptive learning is not non-adaptive</w:t>
      </w:r>
    </w:p>
    <w:p>
      <w:pPr>
        <w:spacing w:before="0" w:after="120" w:line="324" w:lineRule="auto"/>
      </w:pPr>
      <w:r>
        <w:rPr>
          <w:rFonts w:ascii="Times New Roman" w:hAnsi="Times New Roman" w:eastAsia="Songti SC"/>
          <w:sz w:val="22"/>
        </w:rPr>
        <w:t>In the MAIS-MVP context, v1 adaptive learning without an LLM is not a fixed syllabus or a simple rule-based jump table. It is deterministic adaptive learning centered on a student model. Its core unit is not an entire mathematics course but a knowledge component (KC). A KC may represent the foundation, fluency, or transfer stage of a topic. This approach is consistent with the knowledge-learning-instruction framework, which argues that instructional design should connect knowledge, learning processes, and instructional action rather than merely follow textbook chapters (Koedinger et al., 2012).</w:t>
      </w:r>
    </w:p>
    <w:p>
      <w:pPr>
        <w:spacing w:before="0" w:after="120" w:line="324" w:lineRule="auto"/>
      </w:pPr>
      <w:r>
        <w:rPr>
          <w:rFonts w:ascii="Times New Roman" w:hAnsi="Times New Roman" w:eastAsia="Songti SC"/>
          <w:sz w:val="22"/>
        </w:rPr>
        <w:t>BKT treats whether a student has mastered a KC as a latent state and treats correct answers, incorrect answers, hint use, and mistake records as observable evidence. Every new item response updates the mastery probability and maps that probability to instructional actions such as review, repair, practice, lesson, or challenge. The original knowledge tracing model proposed by Corbett and Anderson (1995) was designed precisely for modeling the acquisition of procedural knowledge; its value is to transform item-level correctness into a time-varying probability of skill mastery.</w:t>
      </w:r>
    </w:p>
    <w:p>
      <w:pPr>
        <w:spacing w:before="0" w:after="120" w:line="324" w:lineRule="auto"/>
      </w:pPr>
      <w:r>
        <w:rPr>
          <w:rFonts w:ascii="Times New Roman" w:hAnsi="Times New Roman" w:eastAsia="Songti SC"/>
          <w:sz w:val="22"/>
        </w:rPr>
        <w:t>In the current MAIS-MVP implementation, v1 can be summarized as follows: construct KCs for P1-S6 mathematics topics; update pMastery, correctStreak, wrongStreak, nextReviewAt, and related states from responses; then choose the next step through deterministic candidate ranking. This version does not call an LLM, does not incur provider cost, and does not stop working when an external model is unavailable.</w:t>
      </w:r>
    </w:p>
    <w:p>
      <w:pPr>
        <w:pStyle w:val="Heading2"/>
        <w:spacing w:before="180" w:after="120" w:line="283" w:lineRule="auto"/>
        <w:jc w:val="left"/>
      </w:pPr>
      <w:r>
        <w:rPr>
          <w:rFonts w:ascii="Times New Roman" w:hAnsi="Times New Roman" w:eastAsia="Heiti SC"/>
          <w:b/>
          <w:color w:val="1F4D78"/>
          <w:sz w:val="26"/>
        </w:rPr>
        <w:t>1.2 Literature review: BKT, KT extensions, and ITS effectiveness</w:t>
      </w:r>
    </w:p>
    <w:p>
      <w:pPr>
        <w:spacing w:before="0" w:after="120" w:line="324" w:lineRule="auto"/>
      </w:pPr>
      <w:r>
        <w:rPr>
          <w:rFonts w:ascii="Times New Roman" w:hAnsi="Times New Roman" w:eastAsia="Songti SC"/>
          <w:sz w:val="22"/>
        </w:rPr>
        <w:t>BKT's classic contribution is to formulate student modeling as an updateable probabilistic inference problem. Early BKT assumes each KC has an initial mastery probability, a learning transition probability, a slip probability, and a guess probability. Later work relaxes the assumption that all students share the same parameters. Pardos and Heffernan (2010) modeled individualization in a Bayesian-network implementation of knowledge tracing. Yudelson et al. (2013) further developed individualized BKT so student and skill differences can enter parameter estimation. Pardos and Heffernan's KT-IDEM model introduced item difficulty into knowledge tracing, addressing the fact that items within the same KC can vary substantially in difficulty (Pardos &amp; Heffernan, 2011).</w:t>
      </w:r>
    </w:p>
    <w:p>
      <w:pPr>
        <w:spacing w:before="0" w:after="120" w:line="324" w:lineRule="auto"/>
      </w:pPr>
      <w:r>
        <w:rPr>
          <w:rFonts w:ascii="Times New Roman" w:hAnsi="Times New Roman" w:eastAsia="Songti SC"/>
          <w:sz w:val="22"/>
        </w:rPr>
        <w:t>Beyond BKT, Performance Factors Analysis represents practice history through cumulative successes and failures rather than latent states (Pavlik et al., 2009). The deep-learning path was advanced by Deep Knowledge Tracing, which uses recurrent neural networks to learn representations from long student-response sequences (Piech et al., 2015). Dynamic Key-Value Memory Networks then stored knowledge concepts in addressable memory structures (Zhang et al., 2017). However, deep KT is not universally superior. Khajah et al. (2016) questioned how deep knowledge tracing needs to be, and Gervet et al. (2020) showed that whether deep learning is best depends on data scale, feature quality, and evaluation design.</w:t>
      </w:r>
    </w:p>
    <w:p>
      <w:pPr>
        <w:spacing w:before="0" w:after="120" w:line="324" w:lineRule="auto"/>
      </w:pPr>
      <w:r>
        <w:rPr>
          <w:rFonts w:ascii="Times New Roman" w:hAnsi="Times New Roman" w:eastAsia="Songti SC"/>
          <w:sz w:val="22"/>
        </w:rPr>
        <w:t>Evidence from intelligent tutoring systems (ITS) also supports the viability of non-LLM adaptive learning. VanLehn (2011) compared human tutoring, ITS, and other tutoring systems, showing that high-quality ITS can approach some human tutoring conditions. Meta-analyses by Kulik and Fletcher (2016) and Ma et al. (2014) also report generally positive effects of ITS on learning outcomes. For MAIS-MVP, these findings support the claim that a system can deliver meaningful adaptive learning without an LLM if the student model, item mapping, and feedback loop are well designed.</w:t>
      </w:r>
    </w:p>
    <w:p>
      <w:pPr>
        <w:spacing w:before="0" w:after="120" w:line="324" w:lineRule="auto"/>
      </w:pPr>
      <w:r>
        <w:rPr>
          <w:rFonts w:ascii="Times New Roman" w:hAnsi="Times New Roman" w:eastAsia="Songti SC"/>
          <w:sz w:val="22"/>
        </w:rPr>
        <w:t>The literature also cautions against treating BKT as a universal solution. Desmarais and Baker (2012) emphasize that learner and skill modeling depend on KC definition, data quality, and evaluation methods. Pelanek (2017) further argues that BKT, logistic models, and other learner models have different use cases. In real educational products, interpretability, parameter stability, and instructional usability may be as important as predictive accuracy.</w:t>
      </w:r>
    </w:p>
    <w:p>
      <w:pPr>
        <w:pStyle w:val="Heading2"/>
        <w:spacing w:before="180" w:after="120" w:line="283" w:lineRule="auto"/>
        <w:jc w:val="left"/>
      </w:pPr>
      <w:r>
        <w:rPr>
          <w:rFonts w:ascii="Times New Roman" w:hAnsi="Times New Roman" w:eastAsia="Heiti SC"/>
          <w:b/>
          <w:color w:val="1F4D78"/>
          <w:sz w:val="26"/>
        </w:rPr>
        <w:t>1.3 Mathematical formulation: Core BKT probability updates</w:t>
      </w:r>
    </w:p>
    <w:p>
      <w:pPr>
        <w:spacing w:before="0" w:after="120" w:line="324" w:lineRule="auto"/>
      </w:pPr>
      <w:r>
        <w:rPr>
          <w:rFonts w:ascii="Times New Roman" w:hAnsi="Times New Roman" w:eastAsia="Songti SC"/>
          <w:sz w:val="22"/>
        </w:rPr>
        <w:t>Let \(L_t\) denote whether the student has mastered a KC before the \(t\)-th practice opportunity, and let \(X_t\) denote whether the \(t\)-th response is correct. Classical BKT uses four core parameters: \(P(L_0)\), the initial mastery probability; \(T\), the probability of learning from not mastered to mastered; \(S\), the slip probability, meaning the student knows the skill but answers incorrectly; and \(G\), the guess probability, meaning the student does not know the skill but answers correctly.</w:t>
      </w:r>
    </w:p>
    <w:p>
      <w:pPr>
        <w:spacing w:before="100" w:after="100" w:line="276" w:lineRule="auto"/>
        <w:ind w:left="403" w:right="259"/>
        <w:jc w:val="left"/>
      </w:pPr>
      <w:r>
        <w:rPr>
          <w:rFonts w:ascii="Courier New" w:hAnsi="Courier New" w:eastAsia="Courier New"/>
          <w:sz w:val="18"/>
        </w:rPr>
        <w:t>\[</w:t>
        <w:br/>
        <w:t>P(X_t = 1 \mid L_t = 1) = 1 - S, \qquad P(X_t = 1 \mid L_t = 0) = G \tag{1}</w:t>
        <w:br/>
        <w:t>\]</w:t>
      </w:r>
    </w:p>
    <w:p>
      <w:pPr>
        <w:spacing w:before="0" w:after="120" w:line="324" w:lineRule="auto"/>
      </w:pPr>
      <w:r>
        <w:rPr>
          <w:rFonts w:ascii="Times New Roman" w:hAnsi="Times New Roman" w:eastAsia="Songti SC"/>
          <w:sz w:val="22"/>
        </w:rPr>
        <w:t>A correct response does not prove mastery because the student may have guessed. An incorrect response does not prove non-mastery because the student may have slipped. BKT therefore uses Bayesian posterior updating.</w:t>
      </w:r>
    </w:p>
    <w:p>
      <w:pPr>
        <w:spacing w:before="100" w:after="100" w:line="276" w:lineRule="auto"/>
        <w:ind w:left="403" w:right="259"/>
        <w:jc w:val="left"/>
      </w:pPr>
      <w:r>
        <w:rPr>
          <w:rFonts w:ascii="Courier New" w:hAnsi="Courier New" w:eastAsia="Courier New"/>
          <w:sz w:val="18"/>
        </w:rPr>
        <w:t>\[</w:t>
        <w:br/>
        <w:t>P(L_t = 1 \mid X_t = 1) = \frac{P(L_t)(1-S)}{P(L_t)(1-S) + (1-P(L_t))G} \tag{2}</w:t>
        <w:br/>
        <w:t>\]</w:t>
      </w:r>
    </w:p>
    <w:p>
      <w:pPr>
        <w:spacing w:before="100" w:after="100" w:line="276" w:lineRule="auto"/>
        <w:ind w:left="403" w:right="259"/>
        <w:jc w:val="left"/>
      </w:pPr>
      <w:r>
        <w:rPr>
          <w:rFonts w:ascii="Courier New" w:hAnsi="Courier New" w:eastAsia="Courier New"/>
          <w:sz w:val="18"/>
        </w:rPr>
        <w:t>\[</w:t>
        <w:br/>
        <w:t>P(L_t = 1 \mid X_t = 0) = \frac{P(L_t)S}{P(L_t)S + (1-P(L_t))(1-G)} \tag{3}</w:t>
        <w:br/>
        <w:t>\]</w:t>
      </w:r>
    </w:p>
    <w:p>
      <w:pPr>
        <w:spacing w:before="0" w:after="120" w:line="324" w:lineRule="auto"/>
      </w:pPr>
      <w:r>
        <w:rPr>
          <w:rFonts w:ascii="Times New Roman" w:hAnsi="Times New Roman" w:eastAsia="Songti SC"/>
          <w:sz w:val="22"/>
        </w:rPr>
        <w:t>After evidence updating, the model incorporates the probability that learning occurred during the practice opportunity.</w:t>
      </w:r>
    </w:p>
    <w:p>
      <w:pPr>
        <w:spacing w:before="100" w:after="100" w:line="276" w:lineRule="auto"/>
        <w:ind w:left="403" w:right="259"/>
        <w:jc w:val="left"/>
      </w:pPr>
      <w:r>
        <w:rPr>
          <w:rFonts w:ascii="Courier New" w:hAnsi="Courier New" w:eastAsia="Courier New"/>
          <w:sz w:val="18"/>
        </w:rPr>
        <w:t>\[</w:t>
        <w:br/>
        <w:t>P(L_{t+1} = 1) = P(L_t = 1 \mid X_t) + \left[1 - P(L_t = 1 \mid X_t)\right]T \tag{4}</w:t>
        <w:br/>
        <w:t>\]</w:t>
      </w:r>
    </w:p>
    <w:p>
      <w:pPr>
        <w:spacing w:before="0" w:after="120" w:line="324" w:lineRule="auto"/>
      </w:pPr>
      <w:r>
        <w:rPr>
          <w:rFonts w:ascii="Times New Roman" w:hAnsi="Times New Roman" w:eastAsia="Songti SC"/>
          <w:sz w:val="22"/>
        </w:rPr>
        <w:t>In MAIS-MVP v1, these probabilities are mapped to instructional actions. If mastery is high and review is due, the policy prioritizes review. If a prerequisite is weak or wrongStreak is high, it selects repair. If evidence is thin for a new skill, it selects lesson. If mastery is below the mastery threshold, it selects practice. If mastery is high and the correct streak is stable, it selects challenge.</w:t>
      </w:r>
    </w:p>
    <w:p>
      <w:pPr>
        <w:spacing w:before="100" w:after="100" w:line="276" w:lineRule="auto"/>
        <w:ind w:left="403" w:right="259"/>
        <w:jc w:val="left"/>
      </w:pPr>
      <w:r>
        <w:rPr>
          <w:rFonts w:ascii="Courier New" w:hAnsi="Courier New" w:eastAsia="Courier New"/>
          <w:sz w:val="18"/>
        </w:rPr>
        <w:t>\[</w:t>
        <w:br/>
        <w:t>a_t = \operatorname{policy}(pMastery_t, prereq_t, dueReview_t, attempt_t, streak_t) \tag{5}</w:t>
        <w:br/>
        <w:t>\]</w:t>
      </w:r>
    </w:p>
    <w:p>
      <w:pPr>
        <w:spacing w:before="0" w:after="120" w:line="324" w:lineRule="auto"/>
      </w:pPr>
      <w:r>
        <w:rPr>
          <w:rFonts w:ascii="Times New Roman" w:hAnsi="Times New Roman" w:eastAsia="Songti SC"/>
          <w:sz w:val="22"/>
        </w:rPr>
        <w:t>This policy matters because it transforms prediction into instructional action rather than merely optimizing next-item correctness. It is aligned with mastery learning at scale: the system should continuously identify unmastered skills and route learners back to repairable pathways (Ritter et al., 2016).</w:t>
      </w:r>
    </w:p>
    <w:p>
      <w:pPr>
        <w:pStyle w:val="Heading2"/>
        <w:spacing w:before="180" w:after="120" w:line="283" w:lineRule="auto"/>
        <w:jc w:val="left"/>
      </w:pPr>
      <w:r>
        <w:rPr>
          <w:rFonts w:ascii="Times New Roman" w:hAnsi="Times New Roman" w:eastAsia="Heiti SC"/>
          <w:b/>
          <w:color w:val="1F4D78"/>
          <w:sz w:val="26"/>
        </w:rPr>
        <w:t>1.4 Educational application: The value of v1 in mathematics learning</w:t>
      </w:r>
    </w:p>
    <w:p>
      <w:pPr>
        <w:spacing w:before="0" w:after="120" w:line="324" w:lineRule="auto"/>
      </w:pPr>
      <w:r>
        <w:rPr>
          <w:rFonts w:ascii="Times New Roman" w:hAnsi="Times New Roman" w:eastAsia="Songti SC"/>
          <w:sz w:val="22"/>
        </w:rPr>
        <w:t>For Hong Kong P1-S6 mathematics, v1's first value is stability. Mathematics has clear prerequisite structures: fractions affect ratio, ratio affects functions, and functions support later calculus readiness; algebraic manipulation affects equations, coordinates, and proof. Deterministic BKT can encode these structures through KCs and prerequisites, preventing the system from prematurely assigning challenge work when foundations are weak.</w:t>
      </w:r>
    </w:p>
    <w:p>
      <w:pPr>
        <w:spacing w:before="0" w:after="120" w:line="324" w:lineRule="auto"/>
      </w:pPr>
      <w:r>
        <w:rPr>
          <w:rFonts w:ascii="Times New Roman" w:hAnsi="Times New Roman" w:eastAsia="Songti SC"/>
          <w:sz w:val="22"/>
        </w:rPr>
        <w:t>Its second value is teacher explainability. Teachers and parents can understand why a student is recommended to review a foundation skill: mastery probability is low, wrongStreak is high, a prerequisite threshold is unmet, or spaced review is due. This explanation is easier for schools to trust than the vague claim that an AI model decided the next lesson.</w:t>
      </w:r>
    </w:p>
    <w:p>
      <w:pPr>
        <w:spacing w:before="0" w:after="120" w:line="324" w:lineRule="auto"/>
      </w:pPr>
      <w:r>
        <w:rPr>
          <w:rFonts w:ascii="Times New Roman" w:hAnsi="Times New Roman" w:eastAsia="Songti SC"/>
          <w:sz w:val="22"/>
        </w:rPr>
        <w:t>Its third value is low-cost deployment. v1 does not require an API key, external model, token quota, or network latency. It is therefore suitable for MVP launch, classroom pilots, offline demonstrations, and cost-sensitive schools. Its primary risks are KC mapping quality, item coverage, and parameter calibration. If a KC has too few items, item difficulty is uneven, or evidence is logged incorrectly, the recommendation can still diverge from the true learning state.</w:t>
      </w:r>
    </w:p>
    <w:p>
      <w:r>
        <w:br w:type="page"/>
      </w:r>
    </w:p>
    <w:p>
      <w:pPr>
        <w:pStyle w:val="Heading1"/>
        <w:spacing w:before="280" w:after="120" w:line="283" w:lineRule="auto"/>
        <w:jc w:val="left"/>
      </w:pPr>
      <w:r>
        <w:rPr>
          <w:rFonts w:ascii="Times New Roman" w:hAnsi="Times New Roman" w:eastAsia="Heiti SC"/>
          <w:b/>
          <w:color w:val="1F4D78"/>
          <w:sz w:val="32"/>
        </w:rPr>
        <w:t>Section 2. v2: Adaptive Learning With LLM</w:t>
      </w:r>
    </w:p>
    <w:p>
      <w:pPr>
        <w:pStyle w:val="Heading2"/>
        <w:spacing w:before="180" w:after="120" w:line="283" w:lineRule="auto"/>
        <w:jc w:val="left"/>
      </w:pPr>
      <w:r>
        <w:rPr>
          <w:rFonts w:ascii="Times New Roman" w:hAnsi="Times New Roman" w:eastAsia="Heiti SC"/>
          <w:b/>
          <w:color w:val="1F4D78"/>
          <w:sz w:val="26"/>
        </w:rPr>
        <w:t>2.1 Conceptual introduction: The LLM is a guarded reranker, not the authority</w:t>
      </w:r>
    </w:p>
    <w:p>
      <w:pPr>
        <w:spacing w:before="0" w:after="120" w:line="324" w:lineRule="auto"/>
      </w:pPr>
      <w:r>
        <w:rPr>
          <w:rFonts w:ascii="Times New Roman" w:hAnsi="Times New Roman" w:eastAsia="Songti SC"/>
          <w:sz w:val="22"/>
        </w:rPr>
        <w:t>The key idea in v2 is not to let the LLM decide the curriculum directly. Instead, the LLM sits after BKT as a constrained reranker and explanation generator. The flow is not user data to LLM to next step. It is user data to BKT candidate set, then to constrained LLM reranking, then to validation, and finally to fallback if validation fails. This architecture combines BKT's explainability with the LLM's natural-language and synthesis capabilities.</w:t>
      </w:r>
    </w:p>
    <w:p>
      <w:pPr>
        <w:spacing w:before="0" w:after="120" w:line="324" w:lineRule="auto"/>
      </w:pPr>
      <w:r>
        <w:rPr>
          <w:rFonts w:ascii="Times New Roman" w:hAnsi="Times New Roman" w:eastAsia="Songti SC"/>
          <w:sz w:val="22"/>
        </w:rPr>
        <w:t>The LLM layer builds on the Transformer architecture (Vaswani et al., 2017), large-scale language modeling (Brown et al., 2020), instruction tuning and reinforcement learning from human feedback (Ouyang et al., 2022), and chain-of-thought prompting for complex reasoning (Wei et al., 2022). These techniques allow a model to summarize learning evidence, generate bilingual rationales, simulate teacher feedback, and rank candidates using multiple weak signals.</w:t>
      </w:r>
    </w:p>
    <w:p>
      <w:pPr>
        <w:spacing w:before="0" w:after="120" w:line="324" w:lineRule="auto"/>
      </w:pPr>
      <w:r>
        <w:rPr>
          <w:rFonts w:ascii="Times New Roman" w:hAnsi="Times New Roman" w:eastAsia="Songti SC"/>
          <w:sz w:val="22"/>
        </w:rPr>
        <w:t>Educational systems must not confuse linguistic fluency with instructional reliability. LLMs can generate fluent but false explanations, may introduce bias, and can be overconfident when evidence is thin. Reviews by Kasneci et al. (2023) and Yan et al. (2023) both identify strong opportunities for personalized learning support while emphasizing ethics, privacy, accuracy, and the role of teachers. MAIS-MVP v2 should therefore remain LLM-assisted, not LLM-authoritative.</w:t>
      </w:r>
    </w:p>
    <w:p>
      <w:pPr>
        <w:pStyle w:val="Heading2"/>
        <w:spacing w:before="180" w:after="120" w:line="283" w:lineRule="auto"/>
        <w:jc w:val="left"/>
      </w:pPr>
      <w:r>
        <w:rPr>
          <w:rFonts w:ascii="Times New Roman" w:hAnsi="Times New Roman" w:eastAsia="Heiti SC"/>
          <w:b/>
          <w:color w:val="1F4D78"/>
          <w:sz w:val="26"/>
        </w:rPr>
        <w:t>2.2 Literature review: LLMs in education, AI tutor evaluation, and risk governance</w:t>
      </w:r>
    </w:p>
    <w:p>
      <w:pPr>
        <w:spacing w:before="0" w:after="120" w:line="324" w:lineRule="auto"/>
      </w:pPr>
      <w:r>
        <w:rPr>
          <w:rFonts w:ascii="Times New Roman" w:hAnsi="Times New Roman" w:eastAsia="Songti SC"/>
          <w:sz w:val="22"/>
        </w:rPr>
        <w:t>Research on LLMs in education is expanding rapidly. Kasneci et al. (2023) discuss both opportunities and challenges for LLM-based learning support, feedback generation, and teacher assistance. Yan et al. (2023) provide a systematic scoping review of practical and ethical challenges. Tlili et al. (2023) examine ChatGPT as a case study of educational chatbots and their double-edged effects. Broader AI-in-education reviews by Crompton and Burke (2023), Zawacki-Richter et al. (2019), and Chen et al. (2020) also show that technical promise must be grounded in instructional design, educator participation, and empirical evaluation.</w:t>
      </w:r>
    </w:p>
    <w:p>
      <w:pPr>
        <w:spacing w:before="0" w:after="120" w:line="324" w:lineRule="auto"/>
      </w:pPr>
      <w:r>
        <w:rPr>
          <w:rFonts w:ascii="Times New Roman" w:hAnsi="Times New Roman" w:eastAsia="Songti SC"/>
          <w:sz w:val="22"/>
        </w:rPr>
        <w:t>For AI tutor capability, Tack and Piech (2022) proposed the AI Teacher Test, evaluating pedagogical ability in educational dialogue rather than language fluency alone. Macina et al. (2023) introduced MathDial, a dialogue tutoring dataset grounded in mathematical reasoning problems with rich pedagogical properties. These studies imply that the LLM layer in v2 should be evaluated by whether it produces appropriate instructional behavior, not whether it merely sounds like a teacher.</w:t>
      </w:r>
    </w:p>
    <w:p>
      <w:pPr>
        <w:spacing w:before="0" w:after="120" w:line="324" w:lineRule="auto"/>
      </w:pPr>
      <w:r>
        <w:rPr>
          <w:rFonts w:ascii="Times New Roman" w:hAnsi="Times New Roman" w:eastAsia="Songti SC"/>
          <w:sz w:val="22"/>
        </w:rPr>
        <w:t>Risk governance is central. Ji et al. (2023) survey hallucination in natural language generation, and Maynez et al. (2020) analyze faithfulness and factuality in generated text. Weidinger et al. (2022) classify language-model risks including bias, misuse, privacy, and social harms. Baker and Hawn (2021) show that algorithmic bias in education can amplify inequities. For MAIS-MVP, these risks do not imply that LLMs should be avoided; they imply that every LLM output must be constrained by evidence, candidates, and audit mechanisms.</w:t>
      </w:r>
    </w:p>
    <w:p>
      <w:pPr>
        <w:spacing w:before="0" w:after="120" w:line="324" w:lineRule="auto"/>
      </w:pPr>
      <w:r>
        <w:rPr>
          <w:rFonts w:ascii="Times New Roman" w:hAnsi="Times New Roman" w:eastAsia="Songti SC"/>
          <w:sz w:val="22"/>
        </w:rPr>
        <w:t>Retrieval-augmented generation provides a methodological bridge from v2 to v3. Lewis et al. (2020) introduced retrieval-augmented generation for knowledge-intensive tasks, and Asai et al. (2024) extended the idea through self-reflection over retrieval, generation, and critique. Although current v2 focuses on reranking rather than open-domain tutoring, RAG suggests an important design principle: educational LLM reliability should come from retrievable, citeable, and verifiable curriculum evidence.</w:t>
      </w:r>
    </w:p>
    <w:p>
      <w:pPr>
        <w:pStyle w:val="Heading2"/>
        <w:spacing w:before="180" w:after="120" w:line="283" w:lineRule="auto"/>
        <w:jc w:val="left"/>
      </w:pPr>
      <w:r>
        <w:rPr>
          <w:rFonts w:ascii="Times New Roman" w:hAnsi="Times New Roman" w:eastAsia="Heiti SC"/>
          <w:b/>
          <w:color w:val="1F4D78"/>
          <w:sz w:val="26"/>
        </w:rPr>
        <w:t>2.3 Mathematical formulation: Constrained reranking, validation, and fallback</w:t>
      </w:r>
    </w:p>
    <w:p>
      <w:pPr>
        <w:spacing w:before="0" w:after="120" w:line="324" w:lineRule="auto"/>
      </w:pPr>
      <w:r>
        <w:rPr>
          <w:rFonts w:ascii="Times New Roman" w:hAnsi="Times New Roman" w:eastAsia="Songti SC"/>
          <w:sz w:val="22"/>
        </w:rPr>
        <w:t>Let \(C_t = \{c_1, c_2, \ldots, c_k\}\) denote the set of instructional candidates generated by BKT at time \(t\). Each candidate includes an action, skill, topic, questionIds, guard flags, and evidence. The deterministic v1 recommendation can be written as:</w:t>
      </w:r>
    </w:p>
    <w:p>
      <w:pPr>
        <w:spacing w:before="100" w:after="100" w:line="276" w:lineRule="auto"/>
        <w:ind w:left="403" w:right="259"/>
        <w:jc w:val="left"/>
      </w:pPr>
      <w:r>
        <w:rPr>
          <w:rFonts w:ascii="Courier New" w:hAnsi="Courier New" w:eastAsia="Courier New"/>
          <w:sz w:val="18"/>
        </w:rPr>
        <w:t>\[</w:t>
        <w:br/>
        <w:t>d_t = \operatorname*{arg\,max}_{c_i \in C_t} \operatorname{baseScore}(c_i) \quad \text{subject to } \operatorname{hardGuard}(c_i) \tag{6}</w:t>
        <w:br/>
        <w:t>\]</w:t>
      </w:r>
    </w:p>
    <w:p>
      <w:pPr>
        <w:spacing w:before="0" w:after="120" w:line="324" w:lineRule="auto"/>
      </w:pPr>
      <w:r>
        <w:rPr>
          <w:rFonts w:ascii="Times New Roman" w:hAnsi="Times New Roman" w:eastAsia="Songti SC"/>
          <w:sz w:val="22"/>
        </w:rPr>
        <w:t>In v2, the LLM does not search the entire instructional space. It can only score or rerank candidates inside \(C_t\). If \(x_t\) denotes recent performance, mistakes, learning-event summaries, and candidate features, LLM reranking can be abstracted as:</w:t>
      </w:r>
    </w:p>
    <w:p>
      <w:pPr>
        <w:spacing w:before="100" w:after="100" w:line="276" w:lineRule="auto"/>
        <w:ind w:left="403" w:right="259"/>
        <w:jc w:val="left"/>
      </w:pPr>
      <w:r>
        <w:rPr>
          <w:rFonts w:ascii="Courier New" w:hAnsi="Courier New" w:eastAsia="Courier New"/>
          <w:sz w:val="18"/>
        </w:rPr>
        <w:t>\[</w:t>
        <w:br/>
        <w:t>r_t = \operatorname*{arg\,max}_{c_i \in C_t} s_{\phi}(c_i \mid x_t, C_t, \operatorname{policy}) \tag{7}</w:t>
        <w:br/>
        <w:t>\]</w:t>
      </w:r>
    </w:p>
    <w:p>
      <w:pPr>
        <w:spacing w:before="0" w:after="120" w:line="324" w:lineRule="auto"/>
      </w:pPr>
      <w:r>
        <w:rPr>
          <w:rFonts w:ascii="Times New Roman" w:hAnsi="Times New Roman" w:eastAsia="Songti SC"/>
          <w:sz w:val="22"/>
        </w:rPr>
        <w:t>The validator then applies hard constraints to the LLM output. Validation fails if the candidateId is not generated by BKT, if questionIds are outside the selected candidate, if due-review or repair-required guards are bypassed, or if required bilingual learnerReason and teacherAuditNote fields are missing.</w:t>
      </w:r>
    </w:p>
    <w:p>
      <w:pPr>
        <w:spacing w:before="100" w:after="100" w:line="276" w:lineRule="auto"/>
        <w:ind w:left="403" w:right="259"/>
        <w:jc w:val="left"/>
      </w:pPr>
      <w:r>
        <w:rPr>
          <w:rFonts w:ascii="Courier New" w:hAnsi="Courier New" w:eastAsia="Courier New"/>
          <w:sz w:val="18"/>
        </w:rPr>
        <w:t>\[</w:t>
        <w:br/>
        <w:t>V(r_t) = \mathbb{1}[\operatorname{candidateId}(r_t) \in C_t] \cdot \mathbb{1}[\operatorname{questionIds}(r_t) \subseteq Q(c_i)] \cdot \mathbb{1}[\operatorname{guardrails}(r_t)=\operatorname{satisfied}] \tag{8}</w:t>
        <w:br/>
        <w:t>\]</w:t>
      </w:r>
    </w:p>
    <w:p>
      <w:pPr>
        <w:spacing w:before="0" w:after="120" w:line="324" w:lineRule="auto"/>
      </w:pPr>
      <w:r>
        <w:rPr>
          <w:rFonts w:ascii="Times New Roman" w:hAnsi="Times New Roman" w:eastAsia="Songti SC"/>
          <w:sz w:val="22"/>
        </w:rPr>
        <w:t>The final decision follows a fallback rule. The system adopts the LLM-assisted recommendation only when the provider succeeds, the JSON is valid, and V(r_t)=1. Otherwise it returns the deterministic decision.</w:t>
      </w:r>
    </w:p>
    <w:p>
      <w:pPr>
        <w:spacing w:before="100" w:after="100" w:line="276" w:lineRule="auto"/>
        <w:ind w:left="403" w:right="259"/>
        <w:jc w:val="left"/>
      </w:pPr>
      <w:r>
        <w:rPr>
          <w:rFonts w:ascii="Courier New" w:hAnsi="Courier New" w:eastAsia="Courier New"/>
          <w:sz w:val="18"/>
        </w:rPr>
        <w:t>\[</w:t>
        <w:br/>
        <w:t>D_t = \begin{cases} r_t, &amp; \text{if providerReady} \land \text{validJSON} \land V(r_t)=1 \\ d_t, &amp; \text{otherwise} \end{cases} \tag{9}</w:t>
        <w:br/>
        <w:t>\]</w:t>
      </w:r>
    </w:p>
    <w:p>
      <w:pPr>
        <w:spacing w:before="0" w:after="120" w:line="324" w:lineRule="auto"/>
      </w:pPr>
      <w:r>
        <w:rPr>
          <w:rFonts w:ascii="Times New Roman" w:hAnsi="Times New Roman" w:eastAsia="Songti SC"/>
          <w:sz w:val="22"/>
        </w:rPr>
        <w:t>The current MAIS-MVP design can also compute a local AI confidence score for LLM-assisted outputs. This score is not self-reported by the LLM. It is derived from evidence depth, agreement with BKT guardrails, distance from mastery thresholds, and question-ID integrity.</w:t>
      </w:r>
    </w:p>
    <w:p>
      <w:pPr>
        <w:spacing w:before="100" w:after="100" w:line="276" w:lineRule="auto"/>
        <w:ind w:left="403" w:right="259"/>
        <w:jc w:val="left"/>
      </w:pPr>
      <w:r>
        <w:rPr>
          <w:rFonts w:ascii="Courier New" w:hAnsi="Courier New" w:eastAsia="Courier New"/>
          <w:sz w:val="18"/>
        </w:rPr>
        <w:t>\[</w:t>
        <w:br/>
        <w:t>\operatorname{conf}_{AI} = \operatorname{cap}_{evidence}(0.36E + 0.30G_a + 0.22M + 0.12Q) \tag{10}</w:t>
        <w:br/>
        <w:t>\]</w:t>
      </w:r>
    </w:p>
    <w:p>
      <w:pPr>
        <w:spacing w:before="0" w:after="120" w:line="324" w:lineRule="auto"/>
      </w:pPr>
      <w:r>
        <w:rPr>
          <w:rFonts w:ascii="Times New Roman" w:hAnsi="Times New Roman" w:eastAsia="Songti SC"/>
          <w:sz w:val="22"/>
        </w:rPr>
        <w:t>This formula expresses the central principle of v2: the LLM may help with ranking and explanation, but confidence must be constrained by locally auditable evidence. This reduces overconfidence and gives teachers access to signalsUsed, teacherAuditNote, and confidenceExplanation.</w:t>
      </w:r>
    </w:p>
    <w:p>
      <w:pPr>
        <w:pStyle w:val="Heading2"/>
        <w:spacing w:before="180" w:after="120" w:line="283" w:lineRule="auto"/>
        <w:jc w:val="left"/>
      </w:pPr>
      <w:r>
        <w:rPr>
          <w:rFonts w:ascii="Times New Roman" w:hAnsi="Times New Roman" w:eastAsia="Heiti SC"/>
          <w:b/>
          <w:color w:val="1F4D78"/>
          <w:sz w:val="26"/>
        </w:rPr>
        <w:t>2.4 Educational application: New value and limitations of v2</w:t>
      </w:r>
    </w:p>
    <w:p>
      <w:pPr>
        <w:spacing w:before="0" w:after="120" w:line="324" w:lineRule="auto"/>
      </w:pPr>
      <w:r>
        <w:rPr>
          <w:rFonts w:ascii="Times New Roman" w:hAnsi="Times New Roman" w:eastAsia="Songti SC"/>
          <w:sz w:val="22"/>
        </w:rPr>
        <w:t>The largest educational gain of v2 is explanation quality and contextual integration. v1 can state that a skill has 42% mastery and requires repair. v2 can explain, using recent mistakes, wrong streaks, item-type distribution, and learning activities, why repairing foundations now is better than moving into challenge work. This matters for student motivation, teacher communication, and parent understanding.</w:t>
      </w:r>
    </w:p>
    <w:p>
      <w:pPr>
        <w:spacing w:before="0" w:after="120" w:line="324" w:lineRule="auto"/>
      </w:pPr>
      <w:r>
        <w:rPr>
          <w:rFonts w:ascii="Times New Roman" w:hAnsi="Times New Roman" w:eastAsia="Songti SC"/>
          <w:sz w:val="22"/>
        </w:rPr>
        <w:t>A second gain is fine-grained ranking among candidates. BKT may generate review, repair, and practice candidates. Within the guardrails, the LLM can consider recent mistake topics, item-type diversity, and learning pace to choose a more suitable question order. But v2 must not allow the LLM to generate new items, reveal answers, or modify mastery probabilities directly; otherwise the system loses verifiability.</w:t>
      </w:r>
    </w:p>
    <w:p>
      <w:pPr>
        <w:spacing w:before="0" w:after="120" w:line="324" w:lineRule="auto"/>
      </w:pPr>
      <w:r>
        <w:rPr>
          <w:rFonts w:ascii="Times New Roman" w:hAnsi="Times New Roman" w:eastAsia="Songti SC"/>
          <w:sz w:val="22"/>
        </w:rPr>
        <w:t>A third gain is teacher auditability. v2 can output teacherAuditNote and signalsUsed, helping teachers decide whether a recommendation is appropriate. Holstein et al. (2019) show the importance of teacher-AI complementarity: educational AI should not displace teachers but help them see learner states, coordinate classroom action, and retain human judgment.</w:t>
      </w:r>
    </w:p>
    <w:p>
      <w:pPr>
        <w:spacing w:before="0" w:after="120" w:line="324" w:lineRule="auto"/>
      </w:pPr>
      <w:r>
        <w:rPr>
          <w:rFonts w:ascii="Times New Roman" w:hAnsi="Times New Roman" w:eastAsia="Songti SC"/>
          <w:sz w:val="22"/>
        </w:rPr>
        <w:t>The limitations are equally clear. v2 introduces provider cost, latency, rate limits, privacy exposure, and service-availability risk. If prompts or validators are weak, the model may produce invalid JSON, hallucinated explanations, or non-compliant recommendations. v2 should therefore be positioned as a premium AI-assisted layer, not a replacement for the v1 core engine.</w:t>
      </w:r>
    </w:p>
    <w:p>
      <w:r>
        <w:br w:type="page"/>
      </w:r>
    </w:p>
    <w:p>
      <w:pPr>
        <w:pStyle w:val="Heading1"/>
        <w:spacing w:before="280" w:after="120" w:line="283" w:lineRule="auto"/>
        <w:jc w:val="left"/>
      </w:pPr>
      <w:r>
        <w:rPr>
          <w:rFonts w:ascii="Times New Roman" w:hAnsi="Times New Roman" w:eastAsia="Heiti SC"/>
          <w:b/>
          <w:color w:val="1F4D78"/>
          <w:sz w:val="32"/>
        </w:rPr>
        <w:t>Section 3. Integrated Comparison of v1 and v2</w:t>
      </w:r>
    </w:p>
    <w:p>
      <w:pPr>
        <w:spacing w:before="160" w:after="80" w:line="288" w:lineRule="auto"/>
      </w:pPr>
      <w:r>
        <w:rPr>
          <w:rFonts w:ascii="Times New Roman" w:hAnsi="Times New Roman" w:eastAsia="Heiti SC"/>
          <w:b/>
          <w:color w:val="1F4D78"/>
          <w:sz w:val="20"/>
        </w:rPr>
        <w:t>Table 1</w:t>
        <w:br/>
        <w:t>Core comparison of v1 and v2 adaptive learning mechanisms</w:t>
      </w:r>
    </w:p>
    <w:tbl>
      <w:tblPr>
        <w:tblW w:type="auto" w:w="0"/>
        <w:jc w:val="center"/>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Pr>
      <w:tblGrid>
        <w:gridCol w:w="3120"/>
        <w:gridCol w:w="3120"/>
        <w:gridCol w:w="3120"/>
      </w:tblGrid>
      <w:tr>
        <w:tc>
          <w:tcPr>
            <w:tcW w:type="dxa" w:w="1700"/>
            <w:shd w:fill="E8EEF5"/>
            <w:tcMar>
              <w:top w:w="90" w:type="dxa"/>
              <w:start w:w="120" w:type="dxa"/>
              <w:bottom w:w="90" w:type="dxa"/>
              <w:end w:w="120" w:type="dxa"/>
            </w:tcMar>
            <w:vAlign w:val="center"/>
          </w:tcPr>
          <w:p>
            <w:pPr>
              <w:jc w:val="center"/>
            </w:pPr>
            <w:r>
              <w:rPr>
                <w:rFonts w:ascii="Times New Roman" w:hAnsi="Times New Roman" w:eastAsia="Songti SC"/>
                <w:b/>
                <w:color w:val="0B2545"/>
                <w:sz w:val="18"/>
              </w:rPr>
              <w:t>Dimension</w:t>
            </w:r>
          </w:p>
        </w:tc>
        <w:tc>
          <w:tcPr>
            <w:tcW w:type="dxa" w:w="3770"/>
            <w:shd w:fill="E8EEF5"/>
            <w:tcMar>
              <w:top w:w="90" w:type="dxa"/>
              <w:start w:w="120" w:type="dxa"/>
              <w:bottom w:w="90" w:type="dxa"/>
              <w:end w:w="120" w:type="dxa"/>
            </w:tcMar>
            <w:vAlign w:val="center"/>
          </w:tcPr>
          <w:p>
            <w:pPr>
              <w:jc w:val="center"/>
            </w:pPr>
            <w:r>
              <w:rPr>
                <w:rFonts w:ascii="Times New Roman" w:hAnsi="Times New Roman" w:eastAsia="Songti SC"/>
                <w:b/>
                <w:color w:val="0B2545"/>
                <w:sz w:val="18"/>
              </w:rPr>
              <w:t>v1: Deterministic adaptive learning without LLM</w:t>
            </w:r>
          </w:p>
        </w:tc>
        <w:tc>
          <w:tcPr>
            <w:tcW w:type="dxa" w:w="3883"/>
            <w:shd w:fill="E8EEF5"/>
            <w:tcMar>
              <w:top w:w="90" w:type="dxa"/>
              <w:start w:w="120" w:type="dxa"/>
              <w:bottom w:w="90" w:type="dxa"/>
              <w:end w:w="120" w:type="dxa"/>
            </w:tcMar>
            <w:vAlign w:val="center"/>
          </w:tcPr>
          <w:p>
            <w:pPr>
              <w:jc w:val="center"/>
            </w:pPr>
            <w:r>
              <w:rPr>
                <w:rFonts w:ascii="Times New Roman" w:hAnsi="Times New Roman" w:eastAsia="Songti SC"/>
                <w:b/>
                <w:color w:val="0B2545"/>
                <w:sz w:val="18"/>
              </w:rPr>
              <w:t>v2: Hybrid adaptive learning with LLM</w:t>
            </w:r>
          </w:p>
        </w:tc>
      </w:tr>
      <w:tr>
        <w:tc>
          <w:tcPr>
            <w:tcW w:type="dxa" w:w="1700"/>
            <w:tcMar>
              <w:top w:w="90" w:type="dxa"/>
              <w:start w:w="120" w:type="dxa"/>
              <w:bottom w:w="90" w:type="dxa"/>
              <w:end w:w="120" w:type="dxa"/>
            </w:tcMar>
            <w:vAlign w:val="center"/>
          </w:tcPr>
          <w:p>
            <w:pPr>
              <w:jc w:val="center"/>
            </w:pPr>
            <w:r>
              <w:rPr>
                <w:rFonts w:ascii="Times New Roman" w:hAnsi="Times New Roman" w:eastAsia="Songti SC"/>
                <w:b/>
                <w:sz w:val="17"/>
              </w:rPr>
              <w:t>Decision authority</w:t>
            </w:r>
          </w:p>
        </w:tc>
        <w:tc>
          <w:tcPr>
            <w:tcW w:type="dxa" w:w="3770"/>
            <w:tcMar>
              <w:top w:w="90" w:type="dxa"/>
              <w:start w:w="120" w:type="dxa"/>
              <w:bottom w:w="90" w:type="dxa"/>
              <w:end w:w="120" w:type="dxa"/>
            </w:tcMar>
            <w:vAlign w:val="center"/>
          </w:tcPr>
          <w:p>
            <w:pPr>
              <w:jc w:val="left"/>
            </w:pPr>
            <w:r>
              <w:rPr>
                <w:rFonts w:ascii="Times New Roman" w:hAnsi="Times New Roman" w:eastAsia="Songti SC"/>
                <w:b w:val="0"/>
                <w:sz w:val="17"/>
              </w:rPr>
              <w:t>Deterministic BKT/rule engine using mastery probability, prerequisites, spaced review, and item mapping.</w:t>
            </w:r>
          </w:p>
        </w:tc>
        <w:tc>
          <w:tcPr>
            <w:tcW w:type="dxa" w:w="3883"/>
            <w:tcMar>
              <w:top w:w="90" w:type="dxa"/>
              <w:start w:w="120" w:type="dxa"/>
              <w:bottom w:w="90" w:type="dxa"/>
              <w:end w:w="120" w:type="dxa"/>
            </w:tcMar>
            <w:vAlign w:val="center"/>
          </w:tcPr>
          <w:p>
            <w:pPr>
              <w:jc w:val="left"/>
            </w:pPr>
            <w:r>
              <w:rPr>
                <w:rFonts w:ascii="Times New Roman" w:hAnsi="Times New Roman" w:eastAsia="Songti SC"/>
                <w:b w:val="0"/>
                <w:sz w:val="17"/>
              </w:rPr>
              <w:t>BKT generates candidates first; the LLM can only rerank candidates and generate explanations.</w:t>
            </w:r>
          </w:p>
        </w:tc>
      </w:tr>
      <w:tr>
        <w:tc>
          <w:tcPr>
            <w:tcW w:type="dxa" w:w="1700"/>
            <w:tcMar>
              <w:top w:w="90" w:type="dxa"/>
              <w:start w:w="120" w:type="dxa"/>
              <w:bottom w:w="90" w:type="dxa"/>
              <w:end w:w="120" w:type="dxa"/>
            </w:tcMar>
            <w:vAlign w:val="center"/>
          </w:tcPr>
          <w:p>
            <w:pPr>
              <w:jc w:val="center"/>
            </w:pPr>
            <w:r>
              <w:rPr>
                <w:rFonts w:ascii="Times New Roman" w:hAnsi="Times New Roman" w:eastAsia="Songti SC"/>
                <w:b/>
                <w:sz w:val="17"/>
              </w:rPr>
              <w:t>Theoretical base</w:t>
            </w:r>
          </w:p>
        </w:tc>
        <w:tc>
          <w:tcPr>
            <w:tcW w:type="dxa" w:w="3770"/>
            <w:tcMar>
              <w:top w:w="90" w:type="dxa"/>
              <w:start w:w="120" w:type="dxa"/>
              <w:bottom w:w="90" w:type="dxa"/>
              <w:end w:w="120" w:type="dxa"/>
            </w:tcMar>
            <w:vAlign w:val="center"/>
          </w:tcPr>
          <w:p>
            <w:pPr>
              <w:jc w:val="left"/>
            </w:pPr>
            <w:r>
              <w:rPr>
                <w:rFonts w:ascii="Times New Roman" w:hAnsi="Times New Roman" w:eastAsia="Songti SC"/>
                <w:b w:val="0"/>
                <w:sz w:val="17"/>
              </w:rPr>
              <w:t>Knowledge tracing, knowledge components, ITS student modeling, and mastery learning.</w:t>
            </w:r>
          </w:p>
        </w:tc>
        <w:tc>
          <w:tcPr>
            <w:tcW w:type="dxa" w:w="3883"/>
            <w:tcMar>
              <w:top w:w="90" w:type="dxa"/>
              <w:start w:w="120" w:type="dxa"/>
              <w:bottom w:w="90" w:type="dxa"/>
              <w:end w:w="120" w:type="dxa"/>
            </w:tcMar>
            <w:vAlign w:val="center"/>
          </w:tcPr>
          <w:p>
            <w:pPr>
              <w:jc w:val="left"/>
            </w:pPr>
            <w:r>
              <w:rPr>
                <w:rFonts w:ascii="Times New Roman" w:hAnsi="Times New Roman" w:eastAsia="Songti SC"/>
                <w:b w:val="0"/>
                <w:sz w:val="17"/>
              </w:rPr>
              <w:t>Transformers/LLMs, instruction tuning, educational dialogue, constrained optimization, and human-AI complementarity.</w:t>
            </w:r>
          </w:p>
        </w:tc>
      </w:tr>
      <w:tr>
        <w:tc>
          <w:tcPr>
            <w:tcW w:type="dxa" w:w="1700"/>
            <w:tcMar>
              <w:top w:w="90" w:type="dxa"/>
              <w:start w:w="120" w:type="dxa"/>
              <w:bottom w:w="90" w:type="dxa"/>
              <w:end w:w="120" w:type="dxa"/>
            </w:tcMar>
            <w:vAlign w:val="center"/>
          </w:tcPr>
          <w:p>
            <w:pPr>
              <w:jc w:val="center"/>
            </w:pPr>
            <w:r>
              <w:rPr>
                <w:rFonts w:ascii="Times New Roman" w:hAnsi="Times New Roman" w:eastAsia="Songti SC"/>
                <w:b/>
                <w:sz w:val="17"/>
              </w:rPr>
              <w:t>Explainability</w:t>
            </w:r>
          </w:p>
        </w:tc>
        <w:tc>
          <w:tcPr>
            <w:tcW w:type="dxa" w:w="3770"/>
            <w:tcMar>
              <w:top w:w="90" w:type="dxa"/>
              <w:start w:w="120" w:type="dxa"/>
              <w:bottom w:w="90" w:type="dxa"/>
              <w:end w:w="120" w:type="dxa"/>
            </w:tcMar>
            <w:vAlign w:val="center"/>
          </w:tcPr>
          <w:p>
            <w:pPr>
              <w:jc w:val="left"/>
            </w:pPr>
            <w:r>
              <w:rPr>
                <w:rFonts w:ascii="Times New Roman" w:hAnsi="Times New Roman" w:eastAsia="Songti SC"/>
                <w:b w:val="0"/>
                <w:sz w:val="17"/>
              </w:rPr>
              <w:t>High; every action can be traced to mastery, attempts, streaks, due reviews, and prerequisites.</w:t>
            </w:r>
          </w:p>
        </w:tc>
        <w:tc>
          <w:tcPr>
            <w:tcW w:type="dxa" w:w="3883"/>
            <w:tcMar>
              <w:top w:w="90" w:type="dxa"/>
              <w:start w:w="120" w:type="dxa"/>
              <w:bottom w:w="90" w:type="dxa"/>
              <w:end w:w="120" w:type="dxa"/>
            </w:tcMar>
            <w:vAlign w:val="center"/>
          </w:tcPr>
          <w:p>
            <w:pPr>
              <w:jc w:val="left"/>
            </w:pPr>
            <w:r>
              <w:rPr>
                <w:rFonts w:ascii="Times New Roman" w:hAnsi="Times New Roman" w:eastAsia="Songti SC"/>
                <w:b w:val="0"/>
                <w:sz w:val="17"/>
              </w:rPr>
              <w:t>Moderate to high; explanation depends on teacher audit notes, signals used, validator logs, and the deterministic baseline.</w:t>
            </w:r>
          </w:p>
        </w:tc>
      </w:tr>
      <w:tr>
        <w:tc>
          <w:tcPr>
            <w:tcW w:type="dxa" w:w="1700"/>
            <w:tcMar>
              <w:top w:w="90" w:type="dxa"/>
              <w:start w:w="120" w:type="dxa"/>
              <w:bottom w:w="90" w:type="dxa"/>
              <w:end w:w="120" w:type="dxa"/>
            </w:tcMar>
            <w:vAlign w:val="center"/>
          </w:tcPr>
          <w:p>
            <w:pPr>
              <w:jc w:val="center"/>
            </w:pPr>
            <w:r>
              <w:rPr>
                <w:rFonts w:ascii="Times New Roman" w:hAnsi="Times New Roman" w:eastAsia="Songti SC"/>
                <w:b/>
                <w:sz w:val="17"/>
              </w:rPr>
              <w:t>Safety boundary</w:t>
            </w:r>
          </w:p>
        </w:tc>
        <w:tc>
          <w:tcPr>
            <w:tcW w:type="dxa" w:w="3770"/>
            <w:tcMar>
              <w:top w:w="90" w:type="dxa"/>
              <w:start w:w="120" w:type="dxa"/>
              <w:bottom w:w="90" w:type="dxa"/>
              <w:end w:w="120" w:type="dxa"/>
            </w:tcMar>
            <w:vAlign w:val="center"/>
          </w:tcPr>
          <w:p>
            <w:pPr>
              <w:jc w:val="left"/>
            </w:pPr>
            <w:r>
              <w:rPr>
                <w:rFonts w:ascii="Times New Roman" w:hAnsi="Times New Roman" w:eastAsia="Songti SC"/>
                <w:b w:val="0"/>
                <w:sz w:val="17"/>
              </w:rPr>
              <w:t>Embedded in deterministic rules; it cannot generate items or bypass prerequisites.</w:t>
            </w:r>
          </w:p>
        </w:tc>
        <w:tc>
          <w:tcPr>
            <w:tcW w:type="dxa" w:w="3883"/>
            <w:tcMar>
              <w:top w:w="90" w:type="dxa"/>
              <w:start w:w="120" w:type="dxa"/>
              <w:bottom w:w="90" w:type="dxa"/>
              <w:end w:w="120" w:type="dxa"/>
            </w:tcMar>
            <w:vAlign w:val="center"/>
          </w:tcPr>
          <w:p>
            <w:pPr>
              <w:jc w:val="left"/>
            </w:pPr>
            <w:r>
              <w:rPr>
                <w:rFonts w:ascii="Times New Roman" w:hAnsi="Times New Roman" w:eastAsia="Songti SC"/>
                <w:b w:val="0"/>
                <w:sz w:val="17"/>
              </w:rPr>
              <w:t>Enforced through the BKT candidate set and validator; any out-of-bound LLM output is rejected.</w:t>
            </w:r>
          </w:p>
        </w:tc>
      </w:tr>
      <w:tr>
        <w:tc>
          <w:tcPr>
            <w:tcW w:type="dxa" w:w="1700"/>
            <w:tcMar>
              <w:top w:w="90" w:type="dxa"/>
              <w:start w:w="120" w:type="dxa"/>
              <w:bottom w:w="90" w:type="dxa"/>
              <w:end w:w="120" w:type="dxa"/>
            </w:tcMar>
            <w:vAlign w:val="center"/>
          </w:tcPr>
          <w:p>
            <w:pPr>
              <w:jc w:val="center"/>
            </w:pPr>
            <w:r>
              <w:rPr>
                <w:rFonts w:ascii="Times New Roman" w:hAnsi="Times New Roman" w:eastAsia="Songti SC"/>
                <w:b/>
                <w:sz w:val="17"/>
              </w:rPr>
              <w:t>Personalization depth</w:t>
            </w:r>
          </w:p>
        </w:tc>
        <w:tc>
          <w:tcPr>
            <w:tcW w:type="dxa" w:w="3770"/>
            <w:tcMar>
              <w:top w:w="90" w:type="dxa"/>
              <w:start w:w="120" w:type="dxa"/>
              <w:bottom w:w="90" w:type="dxa"/>
              <w:end w:w="120" w:type="dxa"/>
            </w:tcMar>
            <w:vAlign w:val="center"/>
          </w:tcPr>
          <w:p>
            <w:pPr>
              <w:jc w:val="left"/>
            </w:pPr>
            <w:r>
              <w:rPr>
                <w:rFonts w:ascii="Times New Roman" w:hAnsi="Times New Roman" w:eastAsia="Songti SC"/>
                <w:b w:val="0"/>
                <w:sz w:val="17"/>
              </w:rPr>
              <w:t>Stable but relatively mechanical; personalization is mainly probabilistic and rule based.</w:t>
            </w:r>
          </w:p>
        </w:tc>
        <w:tc>
          <w:tcPr>
            <w:tcW w:type="dxa" w:w="3883"/>
            <w:tcMar>
              <w:top w:w="90" w:type="dxa"/>
              <w:start w:w="120" w:type="dxa"/>
              <w:bottom w:w="90" w:type="dxa"/>
              <w:end w:w="120" w:type="dxa"/>
            </w:tcMar>
            <w:vAlign w:val="center"/>
          </w:tcPr>
          <w:p>
            <w:pPr>
              <w:jc w:val="left"/>
            </w:pPr>
            <w:r>
              <w:rPr>
                <w:rFonts w:ascii="Times New Roman" w:hAnsi="Times New Roman" w:eastAsia="Songti SC"/>
                <w:b w:val="0"/>
                <w:sz w:val="17"/>
              </w:rPr>
              <w:t>Can combine recent performance, mistakes, learning events, and candidate evidence into a richer bilingual rationale.</w:t>
            </w:r>
          </w:p>
        </w:tc>
      </w:tr>
      <w:tr>
        <w:tc>
          <w:tcPr>
            <w:tcW w:type="dxa" w:w="1700"/>
            <w:tcMar>
              <w:top w:w="90" w:type="dxa"/>
              <w:start w:w="120" w:type="dxa"/>
              <w:bottom w:w="90" w:type="dxa"/>
              <w:end w:w="120" w:type="dxa"/>
            </w:tcMar>
            <w:vAlign w:val="center"/>
          </w:tcPr>
          <w:p>
            <w:pPr>
              <w:jc w:val="center"/>
            </w:pPr>
            <w:r>
              <w:rPr>
                <w:rFonts w:ascii="Times New Roman" w:hAnsi="Times New Roman" w:eastAsia="Songti SC"/>
                <w:b/>
                <w:sz w:val="17"/>
              </w:rPr>
              <w:t>Cost and latency</w:t>
            </w:r>
          </w:p>
        </w:tc>
        <w:tc>
          <w:tcPr>
            <w:tcW w:type="dxa" w:w="3770"/>
            <w:tcMar>
              <w:top w:w="90" w:type="dxa"/>
              <w:start w:w="120" w:type="dxa"/>
              <w:bottom w:w="90" w:type="dxa"/>
              <w:end w:w="120" w:type="dxa"/>
            </w:tcMar>
            <w:vAlign w:val="center"/>
          </w:tcPr>
          <w:p>
            <w:pPr>
              <w:jc w:val="left"/>
            </w:pPr>
            <w:r>
              <w:rPr>
                <w:rFonts w:ascii="Times New Roman" w:hAnsi="Times New Roman" w:eastAsia="Songti SC"/>
                <w:b w:val="0"/>
                <w:sz w:val="17"/>
              </w:rPr>
              <w:t>Low cost, low latency, and usable without external services.</w:t>
            </w:r>
          </w:p>
        </w:tc>
        <w:tc>
          <w:tcPr>
            <w:tcW w:type="dxa" w:w="3883"/>
            <w:tcMar>
              <w:top w:w="90" w:type="dxa"/>
              <w:start w:w="120" w:type="dxa"/>
              <w:bottom w:w="90" w:type="dxa"/>
              <w:end w:w="120" w:type="dxa"/>
            </w:tcMar>
            <w:vAlign w:val="center"/>
          </w:tcPr>
          <w:p>
            <w:pPr>
              <w:jc w:val="left"/>
            </w:pPr>
            <w:r>
              <w:rPr>
                <w:rFonts w:ascii="Times New Roman" w:hAnsi="Times New Roman" w:eastAsia="Songti SC"/>
                <w:b w:val="0"/>
                <w:sz w:val="17"/>
              </w:rPr>
              <w:t>Requires provider cost, network latency, JSON validity handling, caching, and rate limits.</w:t>
            </w:r>
          </w:p>
        </w:tc>
      </w:tr>
      <w:tr>
        <w:tc>
          <w:tcPr>
            <w:tcW w:type="dxa" w:w="1700"/>
            <w:tcMar>
              <w:top w:w="90" w:type="dxa"/>
              <w:start w:w="120" w:type="dxa"/>
              <w:bottom w:w="90" w:type="dxa"/>
              <w:end w:w="120" w:type="dxa"/>
            </w:tcMar>
            <w:vAlign w:val="center"/>
          </w:tcPr>
          <w:p>
            <w:pPr>
              <w:jc w:val="center"/>
            </w:pPr>
            <w:r>
              <w:rPr>
                <w:rFonts w:ascii="Times New Roman" w:hAnsi="Times New Roman" w:eastAsia="Songti SC"/>
                <w:b/>
                <w:sz w:val="17"/>
              </w:rPr>
              <w:t>Educational deployment</w:t>
            </w:r>
          </w:p>
        </w:tc>
        <w:tc>
          <w:tcPr>
            <w:tcW w:type="dxa" w:w="3770"/>
            <w:tcMar>
              <w:top w:w="90" w:type="dxa"/>
              <w:start w:w="120" w:type="dxa"/>
              <w:bottom w:w="90" w:type="dxa"/>
              <w:end w:w="120" w:type="dxa"/>
            </w:tcMar>
            <w:vAlign w:val="center"/>
          </w:tcPr>
          <w:p>
            <w:pPr>
              <w:jc w:val="left"/>
            </w:pPr>
            <w:r>
              <w:rPr>
                <w:rFonts w:ascii="Times New Roman" w:hAnsi="Times New Roman" w:eastAsia="Songti SC"/>
                <w:b w:val="0"/>
                <w:sz w:val="17"/>
              </w:rPr>
              <w:t>Best for MVP, school pilots, and low-risk core learning loops.</w:t>
            </w:r>
          </w:p>
        </w:tc>
        <w:tc>
          <w:tcPr>
            <w:tcW w:type="dxa" w:w="3883"/>
            <w:tcMar>
              <w:top w:w="90" w:type="dxa"/>
              <w:start w:w="120" w:type="dxa"/>
              <w:bottom w:w="90" w:type="dxa"/>
              <w:end w:w="120" w:type="dxa"/>
            </w:tcMar>
            <w:vAlign w:val="center"/>
          </w:tcPr>
          <w:p>
            <w:pPr>
              <w:jc w:val="left"/>
            </w:pPr>
            <w:r>
              <w:rPr>
                <w:rFonts w:ascii="Times New Roman" w:hAnsi="Times New Roman" w:eastAsia="Songti SC"/>
                <w:b w:val="0"/>
                <w:sz w:val="17"/>
              </w:rPr>
              <w:t>Best for premium AI-assisted recommendations, teacher review, and parent/school-facing explanations.</w:t>
            </w:r>
          </w:p>
        </w:tc>
      </w:tr>
      <w:tr>
        <w:tc>
          <w:tcPr>
            <w:tcW w:type="dxa" w:w="1700"/>
            <w:tcMar>
              <w:top w:w="90" w:type="dxa"/>
              <w:start w:w="120" w:type="dxa"/>
              <w:bottom w:w="90" w:type="dxa"/>
              <w:end w:w="120" w:type="dxa"/>
            </w:tcMar>
            <w:vAlign w:val="center"/>
          </w:tcPr>
          <w:p>
            <w:pPr>
              <w:jc w:val="center"/>
            </w:pPr>
            <w:r>
              <w:rPr>
                <w:rFonts w:ascii="Times New Roman" w:hAnsi="Times New Roman" w:eastAsia="Songti SC"/>
                <w:b/>
                <w:sz w:val="17"/>
              </w:rPr>
              <w:t>Main risks</w:t>
            </w:r>
          </w:p>
        </w:tc>
        <w:tc>
          <w:tcPr>
            <w:tcW w:type="dxa" w:w="3770"/>
            <w:tcMar>
              <w:top w:w="90" w:type="dxa"/>
              <w:start w:w="120" w:type="dxa"/>
              <w:bottom w:w="90" w:type="dxa"/>
              <w:end w:w="120" w:type="dxa"/>
            </w:tcMar>
            <w:vAlign w:val="center"/>
          </w:tcPr>
          <w:p>
            <w:pPr>
              <w:jc w:val="left"/>
            </w:pPr>
            <w:r>
              <w:rPr>
                <w:rFonts w:ascii="Times New Roman" w:hAnsi="Times New Roman" w:eastAsia="Songti SC"/>
                <w:b w:val="0"/>
                <w:sz w:val="17"/>
              </w:rPr>
              <w:t>Weak KC mapping, static parameters, and limited semantic diagnosis of misconceptions.</w:t>
            </w:r>
          </w:p>
        </w:tc>
        <w:tc>
          <w:tcPr>
            <w:tcW w:type="dxa" w:w="3883"/>
            <w:tcMar>
              <w:top w:w="90" w:type="dxa"/>
              <w:start w:w="120" w:type="dxa"/>
              <w:bottom w:w="90" w:type="dxa"/>
              <w:end w:w="120" w:type="dxa"/>
            </w:tcMar>
            <w:vAlign w:val="center"/>
          </w:tcPr>
          <w:p>
            <w:pPr>
              <w:jc w:val="left"/>
            </w:pPr>
            <w:r>
              <w:rPr>
                <w:rFonts w:ascii="Times New Roman" w:hAnsi="Times New Roman" w:eastAsia="Songti SC"/>
                <w:b w:val="0"/>
                <w:sz w:val="17"/>
              </w:rPr>
              <w:t>Hallucination, bias, privacy, over-trust, and service unavailability; fallback is essential.</w:t>
            </w:r>
          </w:p>
        </w:tc>
      </w:tr>
      <w:tr>
        <w:tc>
          <w:tcPr>
            <w:tcW w:type="dxa" w:w="1700"/>
            <w:tcMar>
              <w:top w:w="90" w:type="dxa"/>
              <w:start w:w="120" w:type="dxa"/>
              <w:bottom w:w="90" w:type="dxa"/>
              <w:end w:w="120" w:type="dxa"/>
            </w:tcMar>
            <w:vAlign w:val="center"/>
          </w:tcPr>
          <w:p>
            <w:pPr>
              <w:jc w:val="center"/>
            </w:pPr>
            <w:r>
              <w:rPr>
                <w:rFonts w:ascii="Times New Roman" w:hAnsi="Times New Roman" w:eastAsia="Songti SC"/>
                <w:b/>
                <w:sz w:val="17"/>
              </w:rPr>
              <w:t>MAIS-MVP role</w:t>
            </w:r>
          </w:p>
        </w:tc>
        <w:tc>
          <w:tcPr>
            <w:tcW w:type="dxa" w:w="3770"/>
            <w:tcMar>
              <w:top w:w="90" w:type="dxa"/>
              <w:start w:w="120" w:type="dxa"/>
              <w:bottom w:w="90" w:type="dxa"/>
              <w:end w:w="120" w:type="dxa"/>
            </w:tcMar>
            <w:vAlign w:val="center"/>
          </w:tcPr>
          <w:p>
            <w:pPr>
              <w:jc w:val="left"/>
            </w:pPr>
            <w:r>
              <w:rPr>
                <w:rFonts w:ascii="Times New Roman" w:hAnsi="Times New Roman" w:eastAsia="Songti SC"/>
                <w:b w:val="0"/>
                <w:sz w:val="17"/>
              </w:rPr>
              <w:t>Stable core: review, repair, practice, lesson, and challenge.</w:t>
            </w:r>
          </w:p>
        </w:tc>
        <w:tc>
          <w:tcPr>
            <w:tcW w:type="dxa" w:w="3883"/>
            <w:tcMar>
              <w:top w:w="90" w:type="dxa"/>
              <w:start w:w="120" w:type="dxa"/>
              <w:bottom w:w="90" w:type="dxa"/>
              <w:end w:w="120" w:type="dxa"/>
            </w:tcMar>
            <w:vAlign w:val="center"/>
          </w:tcPr>
          <w:p>
            <w:pPr>
              <w:jc w:val="left"/>
            </w:pPr>
            <w:r>
              <w:rPr>
                <w:rFonts w:ascii="Times New Roman" w:hAnsi="Times New Roman" w:eastAsia="Songti SC"/>
                <w:b w:val="0"/>
                <w:sz w:val="17"/>
              </w:rPr>
              <w:t>Enhanced layer: BKT guardrails plus LLM rerank, cache/rate-limit, and fallback.</w:t>
            </w:r>
          </w:p>
        </w:tc>
      </w:tr>
    </w:tbl>
    <w:p>
      <w:pPr>
        <w:spacing w:before="60" w:after="160" w:line="276" w:lineRule="auto"/>
      </w:pPr>
      <w:r>
        <w:rPr>
          <w:rFonts w:ascii="Times New Roman" w:hAnsi="Times New Roman" w:eastAsia="Songti SC"/>
          <w:i/>
          <w:color w:val="555555"/>
          <w:sz w:val="19"/>
        </w:rPr>
        <w:t>Note. v2 refers to guarded LLM reranking, not unrestricted LLM generation of lessons, questions, or answers.</w:t>
      </w:r>
    </w:p>
    <w:p>
      <w:pPr>
        <w:pStyle w:val="Heading2"/>
        <w:spacing w:before="180" w:after="120" w:line="283" w:lineRule="auto"/>
        <w:jc w:val="left"/>
      </w:pPr>
      <w:r>
        <w:rPr>
          <w:rFonts w:ascii="Times New Roman" w:hAnsi="Times New Roman" w:eastAsia="Heiti SC"/>
          <w:b/>
          <w:color w:val="1F4D78"/>
          <w:sz w:val="26"/>
        </w:rPr>
        <w:t>3.1 Core differences</w:t>
      </w:r>
    </w:p>
    <w:p>
      <w:pPr>
        <w:spacing w:before="0" w:after="120" w:line="324" w:lineRule="auto"/>
      </w:pPr>
      <w:r>
        <w:rPr>
          <w:rFonts w:ascii="Times New Roman" w:hAnsi="Times New Roman" w:eastAsia="Songti SC"/>
          <w:sz w:val="22"/>
        </w:rPr>
        <w:t>The relationship between v1 and v2 is best understood as a foundation layer and an enhanced explanation/ranking layer. v1 reliably transforms learning evidence into instructional actions. v2 makes recommendations more nuanced, more communicable, and more auditable without crossing the instructional boundaries defined by v1. If v2 is incorrectly designed as direct LLM decision-making, the product gives up the safety, explainability, and consistency that matter most in education.</w:t>
      </w:r>
    </w:p>
    <w:p>
      <w:pPr>
        <w:spacing w:before="0" w:after="120" w:line="324" w:lineRule="auto"/>
      </w:pPr>
      <w:r>
        <w:rPr>
          <w:rFonts w:ascii="Times New Roman" w:hAnsi="Times New Roman" w:eastAsia="Songti SC"/>
          <w:sz w:val="22"/>
        </w:rPr>
        <w:t>From a product strategy perspective, v1 should be the default baseline for MVP launch and school pilots. It proves that MAIS-MVP has genuine adaptive learning rather than an AI label. v2 can serve as an advanced version for teachers, parents, and older students by providing more natural explanations, more personalized item sequencing, and richer audit trails.</w:t>
      </w:r>
    </w:p>
    <w:p>
      <w:pPr>
        <w:spacing w:before="0" w:after="120" w:line="324" w:lineRule="auto"/>
      </w:pPr>
      <w:r>
        <w:rPr>
          <w:rFonts w:ascii="Times New Roman" w:hAnsi="Times New Roman" w:eastAsia="Songti SC"/>
          <w:sz w:val="22"/>
        </w:rPr>
        <w:t>From a technical-governance perspective, v2's value is only realized when validator, cache, rate limit, fallback, prompt versioning, and evaluation dashboards are present together. Without these mechanisms, the uncertainty introduced by the LLM can exceed its benefits. Research on LLM risks and AI in education supports this conclusion: generative capability must be embedded in explicit instructional constraints and human oversight (Baker &amp; Hawn, 2021; Ji et al., 2023; Weidinger et al., 2022; Yan et al., 2023).</w:t>
      </w:r>
    </w:p>
    <w:p>
      <w:pPr>
        <w:pStyle w:val="Heading2"/>
        <w:spacing w:before="180" w:after="120" w:line="283" w:lineRule="auto"/>
        <w:jc w:val="left"/>
      </w:pPr>
      <w:r>
        <w:rPr>
          <w:rFonts w:ascii="Times New Roman" w:hAnsi="Times New Roman" w:eastAsia="Heiti SC"/>
          <w:b/>
          <w:color w:val="1F4D78"/>
          <w:sz w:val="26"/>
        </w:rPr>
        <w:t>3.2 Recommended positioning for MAIS-MVP</w:t>
      </w:r>
    </w:p>
    <w:p>
      <w:pPr>
        <w:pStyle w:val="ListNumber"/>
        <w:spacing w:before="0" w:after="80" w:line="300" w:lineRule="auto"/>
        <w:ind w:left="547" w:hanging="259"/>
      </w:pPr>
      <w:r>
        <w:rPr>
          <w:rFonts w:ascii="Times New Roman" w:hAnsi="Times New Roman" w:eastAsia="Songti SC"/>
          <w:sz w:val="21"/>
        </w:rPr>
        <w:t>Name v1 the Deterministic Adaptive Core or BKT Adaptive Core, and make it available to all students as the stable default engine.</w:t>
      </w:r>
    </w:p>
    <w:p>
      <w:pPr>
        <w:pStyle w:val="ListNumber"/>
        <w:spacing w:before="0" w:after="80" w:line="300" w:lineRule="auto"/>
        <w:ind w:left="547" w:hanging="259"/>
      </w:pPr>
      <w:r>
        <w:rPr>
          <w:rFonts w:ascii="Times New Roman" w:hAnsi="Times New Roman" w:eastAsia="Songti SC"/>
          <w:sz w:val="21"/>
        </w:rPr>
        <w:t>Name v2 AI-assisted Adaptive Rerank, and clearly state that the LLM only ranks and explains BKT candidates; it does not directly generate instructional pathways.</w:t>
      </w:r>
    </w:p>
    <w:p>
      <w:pPr>
        <w:pStyle w:val="ListNumber"/>
        <w:spacing w:before="0" w:after="80" w:line="300" w:lineRule="auto"/>
        <w:ind w:left="547" w:hanging="259"/>
      </w:pPr>
      <w:r>
        <w:rPr>
          <w:rFonts w:ascii="Times New Roman" w:hAnsi="Times New Roman" w:eastAsia="Songti SC"/>
          <w:sz w:val="21"/>
        </w:rPr>
        <w:t>Demonstrate fallback in every important demo: when the LLM is disabled, failed, or rejected, the system still returns a safe BKT recommendation.</w:t>
      </w:r>
    </w:p>
    <w:p>
      <w:pPr>
        <w:pStyle w:val="ListNumber"/>
        <w:spacing w:before="0" w:after="80" w:line="300" w:lineRule="auto"/>
        <w:ind w:left="547" w:hanging="259"/>
      </w:pPr>
      <w:r>
        <w:rPr>
          <w:rFonts w:ascii="Times New Roman" w:hAnsi="Times New Roman" w:eastAsia="Songti SC"/>
          <w:sz w:val="21"/>
        </w:rPr>
        <w:t>Show teacherAuditNote, signalsUsed, selectedCandidateId, deterministicCandidateId, and errorKind in teacher-facing views, while keeping student-facing explanations friendly and simple.</w:t>
      </w:r>
    </w:p>
    <w:p>
      <w:pPr>
        <w:pStyle w:val="ListNumber"/>
        <w:spacing w:before="0" w:after="80" w:line="300" w:lineRule="auto"/>
        <w:ind w:left="547" w:hanging="259"/>
      </w:pPr>
      <w:r>
        <w:rPr>
          <w:rFonts w:ascii="Times New Roman" w:hAnsi="Times New Roman" w:eastAsia="Songti SC"/>
          <w:sz w:val="21"/>
        </w:rPr>
        <w:t>For product packaging, treat v1 as the core capability in the base version and v2 as a premium or pilot enhancement that requires cost budgeting and privacy disclosure.</w:t>
      </w:r>
    </w:p>
    <w:p>
      <w:r>
        <w:br w:type="page"/>
      </w:r>
    </w:p>
    <w:p>
      <w:pPr>
        <w:pStyle w:val="Heading1"/>
        <w:spacing w:before="280" w:after="120" w:line="283" w:lineRule="auto"/>
        <w:jc w:val="left"/>
      </w:pPr>
      <w:r>
        <w:rPr>
          <w:rFonts w:ascii="Times New Roman" w:hAnsi="Times New Roman" w:eastAsia="Heiti SC"/>
          <w:b/>
          <w:color w:val="1F4D78"/>
          <w:sz w:val="32"/>
        </w:rPr>
        <w:t>Section 4. v3 Outlook: A Verifiable, Auditable, and Reversible Instructional Decision System</w:t>
      </w:r>
    </w:p>
    <w:p>
      <w:pPr>
        <w:pStyle w:val="Heading2"/>
        <w:spacing w:before="180" w:after="120" w:line="283" w:lineRule="auto"/>
        <w:jc w:val="left"/>
      </w:pPr>
      <w:r>
        <w:rPr>
          <w:rFonts w:ascii="Times New Roman" w:hAnsi="Times New Roman" w:eastAsia="Heiti SC"/>
          <w:b/>
          <w:color w:val="1F4D78"/>
          <w:sz w:val="26"/>
        </w:rPr>
        <w:t>4.1 Development principles</w:t>
      </w:r>
    </w:p>
    <w:p>
      <w:pPr>
        <w:spacing w:before="0" w:after="120" w:line="324" w:lineRule="auto"/>
      </w:pPr>
      <w:r>
        <w:rPr>
          <w:rFonts w:ascii="Times New Roman" w:hAnsi="Times New Roman" w:eastAsia="Songti SC"/>
          <w:sz w:val="22"/>
        </w:rPr>
        <w:t>v3 should not simply mean using a stronger LLM. The direction for an educational product should be that every recommendation can answer four questions: What evidence supports it? Why did the model choose it? Can a teacher override it? How does the system fail safely? In other words, v3 should be governance-first adaptive learning, not prompt-first tutoring.</w:t>
      </w:r>
    </w:p>
    <w:p>
      <w:pPr>
        <w:spacing w:before="0" w:after="120" w:line="324" w:lineRule="auto"/>
      </w:pPr>
      <w:r>
        <w:rPr>
          <w:rFonts w:ascii="Times New Roman" w:hAnsi="Times New Roman" w:eastAsia="Songti SC"/>
          <w:sz w:val="22"/>
        </w:rPr>
        <w:t>The first principle is a BKT safety floor. Whether MAIS-MVP later introduces DKT, DKVMN, or additional LLM signals, BKT mastery probability, prerequisite thresholds, spaced review, and repair guards should remain the minimum safety boundary. Deep models may become ranking features, but they should not directly cancel due review or repair-required constraints.</w:t>
      </w:r>
    </w:p>
    <w:p>
      <w:pPr>
        <w:spacing w:before="0" w:after="120" w:line="324" w:lineRule="auto"/>
      </w:pPr>
      <w:r>
        <w:rPr>
          <w:rFonts w:ascii="Times New Roman" w:hAnsi="Times New Roman" w:eastAsia="Songti SC"/>
          <w:sz w:val="22"/>
        </w:rPr>
        <w:t>The second principle is source-grounded generation. v3 should organize Hong Kong curriculum goals, item bank content, lesson blocks, mistake explanations, knowledge graph relations, and teacher notes as retrievable evidence. LLM explanations must cite this evidence rather than inventing curriculum content, new items, or hidden answers. This direction can draw on RAG and Self-RAG methods (Asai et al., 2024; Lewis et al., 2020).</w:t>
      </w:r>
    </w:p>
    <w:p>
      <w:pPr>
        <w:spacing w:before="0" w:after="120" w:line="324" w:lineRule="auto"/>
      </w:pPr>
      <w:r>
        <w:rPr>
          <w:rFonts w:ascii="Times New Roman" w:hAnsi="Times New Roman" w:eastAsia="Songti SC"/>
          <w:sz w:val="22"/>
        </w:rPr>
        <w:t>The third principle is teacher-in-the-loop governance. Teachers should be able to inspect candidates, model evidence, risk labels, and recommendations. They should also be able to approve or override recommendations. The system becomes not only a student-facing practice recommender but also a teacher-facing classroom orchestration and remediation assistant.</w:t>
      </w:r>
    </w:p>
    <w:p>
      <w:pPr>
        <w:pStyle w:val="Heading2"/>
        <w:spacing w:before="180" w:after="120" w:line="283" w:lineRule="auto"/>
        <w:jc w:val="left"/>
      </w:pPr>
      <w:r>
        <w:rPr>
          <w:rFonts w:ascii="Times New Roman" w:hAnsi="Times New Roman" w:eastAsia="Heiti SC"/>
          <w:b/>
          <w:color w:val="1F4D78"/>
          <w:sz w:val="26"/>
        </w:rPr>
        <w:t>4.2 Method roadmap</w:t>
      </w:r>
    </w:p>
    <w:p>
      <w:pPr>
        <w:spacing w:before="160" w:after="80" w:line="288" w:lineRule="auto"/>
      </w:pPr>
      <w:r>
        <w:rPr>
          <w:rFonts w:ascii="Times New Roman" w:hAnsi="Times New Roman" w:eastAsia="Heiti SC"/>
          <w:b/>
          <w:color w:val="1F4D78"/>
          <w:sz w:val="20"/>
        </w:rPr>
        <w:t>Table 2</w:t>
        <w:br/>
        <w:t>v3 development path: From hybrid recommendation to auditable instructional decision-making</w:t>
      </w:r>
    </w:p>
    <w:tbl>
      <w:tblPr>
        <w:tblW w:type="auto" w:w="0"/>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Pr>
      <w:tblGrid>
        <w:gridCol w:w="2340"/>
        <w:gridCol w:w="2340"/>
        <w:gridCol w:w="2340"/>
        <w:gridCol w:w="2340"/>
      </w:tblGrid>
      <w:tr>
        <w:tc>
          <w:tcPr>
            <w:tcW w:type="dxa" w:w="963"/>
            <w:shd w:fill="E8EEF5"/>
            <w:tcMar>
              <w:top w:w="90" w:type="dxa"/>
              <w:start w:w="120" w:type="dxa"/>
              <w:bottom w:w="90" w:type="dxa"/>
              <w:end w:w="120" w:type="dxa"/>
            </w:tcMar>
          </w:tcPr>
          <w:p>
            <w:pPr>
              <w:jc w:val="center"/>
            </w:pPr>
            <w:r>
              <w:rPr>
                <w:rFonts w:ascii="Times New Roman" w:hAnsi="Times New Roman" w:eastAsia="Songti SC"/>
                <w:b/>
                <w:color w:val="0B2545"/>
                <w:sz w:val="18"/>
              </w:rPr>
              <w:t>Stage</w:t>
            </w:r>
          </w:p>
        </w:tc>
        <w:tc>
          <w:tcPr>
            <w:tcW w:type="dxa" w:w="2154"/>
            <w:shd w:fill="E8EEF5"/>
            <w:tcMar>
              <w:top w:w="90" w:type="dxa"/>
              <w:start w:w="120" w:type="dxa"/>
              <w:bottom w:w="90" w:type="dxa"/>
              <w:end w:w="120" w:type="dxa"/>
            </w:tcMar>
          </w:tcPr>
          <w:p>
            <w:pPr>
              <w:jc w:val="center"/>
            </w:pPr>
            <w:r>
              <w:rPr>
                <w:rFonts w:ascii="Times New Roman" w:hAnsi="Times New Roman" w:eastAsia="Songti SC"/>
                <w:b/>
                <w:color w:val="0B2545"/>
                <w:sz w:val="18"/>
              </w:rPr>
              <w:t>Module</w:t>
            </w:r>
          </w:p>
        </w:tc>
        <w:tc>
          <w:tcPr>
            <w:tcW w:type="dxa" w:w="4053"/>
            <w:shd w:fill="E8EEF5"/>
            <w:tcMar>
              <w:top w:w="90" w:type="dxa"/>
              <w:start w:w="120" w:type="dxa"/>
              <w:bottom w:w="90" w:type="dxa"/>
              <w:end w:w="120" w:type="dxa"/>
            </w:tcMar>
          </w:tcPr>
          <w:p>
            <w:pPr>
              <w:jc w:val="center"/>
            </w:pPr>
            <w:r>
              <w:rPr>
                <w:rFonts w:ascii="Times New Roman" w:hAnsi="Times New Roman" w:eastAsia="Songti SC"/>
                <w:b/>
                <w:color w:val="0B2545"/>
                <w:sz w:val="18"/>
              </w:rPr>
              <w:t>Method</w:t>
            </w:r>
          </w:p>
        </w:tc>
        <w:tc>
          <w:tcPr>
            <w:tcW w:type="dxa" w:w="2182"/>
            <w:shd w:fill="E8EEF5"/>
            <w:tcMar>
              <w:top w:w="90" w:type="dxa"/>
              <w:start w:w="120" w:type="dxa"/>
              <w:bottom w:w="90" w:type="dxa"/>
              <w:end w:w="120" w:type="dxa"/>
            </w:tcMar>
          </w:tcPr>
          <w:p>
            <w:pPr>
              <w:jc w:val="center"/>
            </w:pPr>
            <w:r>
              <w:rPr>
                <w:rFonts w:ascii="Times New Roman" w:hAnsi="Times New Roman" w:eastAsia="Songti SC"/>
                <w:b/>
                <w:color w:val="0B2545"/>
                <w:sz w:val="18"/>
              </w:rPr>
              <w:t>Primary metrics</w:t>
            </w:r>
          </w:p>
        </w:tc>
      </w:tr>
      <w:tr>
        <w:tc>
          <w:tcPr>
            <w:tcW w:type="dxa" w:w="963"/>
            <w:tcMar>
              <w:top w:w="90" w:type="dxa"/>
              <w:start w:w="120" w:type="dxa"/>
              <w:bottom w:w="90" w:type="dxa"/>
              <w:end w:w="120" w:type="dxa"/>
            </w:tcMar>
          </w:tcPr>
          <w:p>
            <w:pPr>
              <w:jc w:val="center"/>
            </w:pPr>
            <w:r>
              <w:rPr>
                <w:rFonts w:ascii="Times New Roman" w:hAnsi="Times New Roman" w:eastAsia="Songti SC"/>
                <w:b/>
                <w:sz w:val="17"/>
              </w:rPr>
              <w:t>v3.0</w:t>
            </w:r>
          </w:p>
        </w:tc>
        <w:tc>
          <w:tcPr>
            <w:tcW w:type="dxa" w:w="2154"/>
            <w:tcMar>
              <w:top w:w="90" w:type="dxa"/>
              <w:start w:w="120" w:type="dxa"/>
              <w:bottom w:w="90" w:type="dxa"/>
              <w:end w:w="120" w:type="dxa"/>
            </w:tcMar>
          </w:tcPr>
          <w:p>
            <w:pPr>
              <w:jc w:val="left"/>
            </w:pPr>
            <w:r>
              <w:rPr>
                <w:rFonts w:ascii="Times New Roman" w:hAnsi="Times New Roman" w:eastAsia="Songti SC"/>
                <w:b w:val="0"/>
                <w:sz w:val="17"/>
              </w:rPr>
              <w:t>Knowledge graph + RAG audit layer</w:t>
            </w:r>
          </w:p>
        </w:tc>
        <w:tc>
          <w:tcPr>
            <w:tcW w:type="dxa" w:w="4053"/>
            <w:tcMar>
              <w:top w:w="90" w:type="dxa"/>
              <w:start w:w="120" w:type="dxa"/>
              <w:bottom w:w="90" w:type="dxa"/>
              <w:end w:w="120" w:type="dxa"/>
            </w:tcMar>
          </w:tcPr>
          <w:p>
            <w:pPr>
              <w:jc w:val="left"/>
            </w:pPr>
            <w:r>
              <w:rPr>
                <w:rFonts w:ascii="Times New Roman" w:hAnsi="Times New Roman" w:eastAsia="Songti SC"/>
                <w:b w:val="0"/>
                <w:sz w:val="17"/>
              </w:rPr>
              <w:t>Organize curriculum goals, item bank, lessons, mistake tags, and prerequisites as retrievable evidence; LLM responses must cite retrieved evidence.</w:t>
            </w:r>
          </w:p>
        </w:tc>
        <w:tc>
          <w:tcPr>
            <w:tcW w:type="dxa" w:w="2182"/>
            <w:tcMar>
              <w:top w:w="90" w:type="dxa"/>
              <w:start w:w="120" w:type="dxa"/>
              <w:bottom w:w="90" w:type="dxa"/>
              <w:end w:w="120" w:type="dxa"/>
            </w:tcMar>
          </w:tcPr>
          <w:p>
            <w:pPr>
              <w:jc w:val="left"/>
            </w:pPr>
            <w:r>
              <w:rPr>
                <w:rFonts w:ascii="Times New Roman" w:hAnsi="Times New Roman" w:eastAsia="Songti SC"/>
                <w:b w:val="0"/>
                <w:sz w:val="17"/>
              </w:rPr>
              <w:t>source coverage, unsupported claim rate, retrieval precision</w:t>
            </w:r>
          </w:p>
        </w:tc>
      </w:tr>
      <w:tr>
        <w:tc>
          <w:tcPr>
            <w:tcW w:type="dxa" w:w="963"/>
            <w:tcMar>
              <w:top w:w="90" w:type="dxa"/>
              <w:start w:w="120" w:type="dxa"/>
              <w:bottom w:w="90" w:type="dxa"/>
              <w:end w:w="120" w:type="dxa"/>
            </w:tcMar>
          </w:tcPr>
          <w:p>
            <w:pPr>
              <w:jc w:val="center"/>
            </w:pPr>
            <w:r>
              <w:rPr>
                <w:rFonts w:ascii="Times New Roman" w:hAnsi="Times New Roman" w:eastAsia="Songti SC"/>
                <w:b/>
                <w:sz w:val="17"/>
              </w:rPr>
              <w:t>v3.1</w:t>
            </w:r>
          </w:p>
        </w:tc>
        <w:tc>
          <w:tcPr>
            <w:tcW w:type="dxa" w:w="2154"/>
            <w:tcMar>
              <w:top w:w="90" w:type="dxa"/>
              <w:start w:w="120" w:type="dxa"/>
              <w:bottom w:w="90" w:type="dxa"/>
              <w:end w:w="120" w:type="dxa"/>
            </w:tcMar>
          </w:tcPr>
          <w:p>
            <w:pPr>
              <w:jc w:val="left"/>
            </w:pPr>
            <w:r>
              <w:rPr>
                <w:rFonts w:ascii="Times New Roman" w:hAnsi="Times New Roman" w:eastAsia="Songti SC"/>
                <w:b w:val="0"/>
                <w:sz w:val="17"/>
              </w:rPr>
              <w:t>Teacher-in-the-loop console</w:t>
            </w:r>
          </w:p>
        </w:tc>
        <w:tc>
          <w:tcPr>
            <w:tcW w:type="dxa" w:w="4053"/>
            <w:tcMar>
              <w:top w:w="90" w:type="dxa"/>
              <w:start w:w="120" w:type="dxa"/>
              <w:bottom w:w="90" w:type="dxa"/>
              <w:end w:w="120" w:type="dxa"/>
            </w:tcMar>
          </w:tcPr>
          <w:p>
            <w:pPr>
              <w:jc w:val="left"/>
            </w:pPr>
            <w:r>
              <w:rPr>
                <w:rFonts w:ascii="Times New Roman" w:hAnsi="Times New Roman" w:eastAsia="Songti SC"/>
                <w:b w:val="0"/>
                <w:sz w:val="17"/>
              </w:rPr>
              <w:t>Allow teachers to inspect candidates, approve or override recommendations, batch assign repair/review work, and feed decisions back into evaluation.</w:t>
            </w:r>
          </w:p>
        </w:tc>
        <w:tc>
          <w:tcPr>
            <w:tcW w:type="dxa" w:w="2182"/>
            <w:tcMar>
              <w:top w:w="90" w:type="dxa"/>
              <w:start w:w="120" w:type="dxa"/>
              <w:bottom w:w="90" w:type="dxa"/>
              <w:end w:w="120" w:type="dxa"/>
            </w:tcMar>
          </w:tcPr>
          <w:p>
            <w:pPr>
              <w:jc w:val="left"/>
            </w:pPr>
            <w:r>
              <w:rPr>
                <w:rFonts w:ascii="Times New Roman" w:hAnsi="Times New Roman" w:eastAsia="Songti SC"/>
                <w:b w:val="0"/>
                <w:sz w:val="17"/>
              </w:rPr>
              <w:t>teacher override rate, teacher agreement, time-to-assignment</w:t>
            </w:r>
          </w:p>
        </w:tc>
      </w:tr>
      <w:tr>
        <w:tc>
          <w:tcPr>
            <w:tcW w:type="dxa" w:w="963"/>
            <w:tcMar>
              <w:top w:w="90" w:type="dxa"/>
              <w:start w:w="120" w:type="dxa"/>
              <w:bottom w:w="90" w:type="dxa"/>
              <w:end w:w="120" w:type="dxa"/>
            </w:tcMar>
          </w:tcPr>
          <w:p>
            <w:pPr>
              <w:jc w:val="center"/>
            </w:pPr>
            <w:r>
              <w:rPr>
                <w:rFonts w:ascii="Times New Roman" w:hAnsi="Times New Roman" w:eastAsia="Songti SC"/>
                <w:b/>
                <w:sz w:val="17"/>
              </w:rPr>
              <w:t>v3.2</w:t>
            </w:r>
          </w:p>
        </w:tc>
        <w:tc>
          <w:tcPr>
            <w:tcW w:type="dxa" w:w="2154"/>
            <w:tcMar>
              <w:top w:w="90" w:type="dxa"/>
              <w:start w:w="120" w:type="dxa"/>
              <w:bottom w:w="90" w:type="dxa"/>
              <w:end w:w="120" w:type="dxa"/>
            </w:tcMar>
          </w:tcPr>
          <w:p>
            <w:pPr>
              <w:jc w:val="left"/>
            </w:pPr>
            <w:r>
              <w:rPr>
                <w:rFonts w:ascii="Times New Roman" w:hAnsi="Times New Roman" w:eastAsia="Songti SC"/>
                <w:b w:val="0"/>
                <w:sz w:val="17"/>
              </w:rPr>
              <w:t>Multi-model learner-state fusion</w:t>
            </w:r>
          </w:p>
        </w:tc>
        <w:tc>
          <w:tcPr>
            <w:tcW w:type="dxa" w:w="4053"/>
            <w:tcMar>
              <w:top w:w="90" w:type="dxa"/>
              <w:start w:w="120" w:type="dxa"/>
              <w:bottom w:w="90" w:type="dxa"/>
              <w:end w:w="120" w:type="dxa"/>
            </w:tcMar>
          </w:tcPr>
          <w:p>
            <w:pPr>
              <w:jc w:val="left"/>
            </w:pPr>
            <w:r>
              <w:rPr>
                <w:rFonts w:ascii="Times New Roman" w:hAnsi="Times New Roman" w:eastAsia="Songti SC"/>
                <w:b w:val="0"/>
                <w:sz w:val="17"/>
              </w:rPr>
              <w:t>Keep BKT as the safety floor while adding DKT/DKVMN or item-difficulty signals as offline ranking features.</w:t>
            </w:r>
          </w:p>
        </w:tc>
        <w:tc>
          <w:tcPr>
            <w:tcW w:type="dxa" w:w="2182"/>
            <w:tcMar>
              <w:top w:w="90" w:type="dxa"/>
              <w:start w:w="120" w:type="dxa"/>
              <w:bottom w:w="90" w:type="dxa"/>
              <w:end w:w="120" w:type="dxa"/>
            </w:tcMar>
          </w:tcPr>
          <w:p>
            <w:pPr>
              <w:jc w:val="left"/>
            </w:pPr>
            <w:r>
              <w:rPr>
                <w:rFonts w:ascii="Times New Roman" w:hAnsi="Times New Roman" w:eastAsia="Songti SC"/>
                <w:b w:val="0"/>
                <w:sz w:val="17"/>
              </w:rPr>
              <w:t>AUC, calibration, learning gain, harmful recommendation rate</w:t>
            </w:r>
          </w:p>
        </w:tc>
      </w:tr>
      <w:tr>
        <w:tc>
          <w:tcPr>
            <w:tcW w:type="dxa" w:w="963"/>
            <w:tcMar>
              <w:top w:w="90" w:type="dxa"/>
              <w:start w:w="120" w:type="dxa"/>
              <w:bottom w:w="90" w:type="dxa"/>
              <w:end w:w="120" w:type="dxa"/>
            </w:tcMar>
          </w:tcPr>
          <w:p>
            <w:pPr>
              <w:jc w:val="center"/>
            </w:pPr>
            <w:r>
              <w:rPr>
                <w:rFonts w:ascii="Times New Roman" w:hAnsi="Times New Roman" w:eastAsia="Songti SC"/>
                <w:b/>
                <w:sz w:val="17"/>
              </w:rPr>
              <w:t>v3.3</w:t>
            </w:r>
          </w:p>
        </w:tc>
        <w:tc>
          <w:tcPr>
            <w:tcW w:type="dxa" w:w="2154"/>
            <w:tcMar>
              <w:top w:w="90" w:type="dxa"/>
              <w:start w:w="120" w:type="dxa"/>
              <w:bottom w:w="90" w:type="dxa"/>
              <w:end w:w="120" w:type="dxa"/>
            </w:tcMar>
          </w:tcPr>
          <w:p>
            <w:pPr>
              <w:jc w:val="left"/>
            </w:pPr>
            <w:r>
              <w:rPr>
                <w:rFonts w:ascii="Times New Roman" w:hAnsi="Times New Roman" w:eastAsia="Songti SC"/>
                <w:b w:val="0"/>
                <w:sz w:val="17"/>
              </w:rPr>
              <w:t>Evaluation and deployment loop</w:t>
            </w:r>
          </w:p>
        </w:tc>
        <w:tc>
          <w:tcPr>
            <w:tcW w:type="dxa" w:w="4053"/>
            <w:tcMar>
              <w:top w:w="90" w:type="dxa"/>
              <w:start w:w="120" w:type="dxa"/>
              <w:bottom w:w="90" w:type="dxa"/>
              <w:end w:w="120" w:type="dxa"/>
            </w:tcMar>
          </w:tcPr>
          <w:p>
            <w:pPr>
              <w:jc w:val="left"/>
            </w:pPr>
            <w:r>
              <w:rPr>
                <w:rFonts w:ascii="Times New Roman" w:hAnsi="Times New Roman" w:eastAsia="Songti SC"/>
                <w:b w:val="0"/>
                <w:sz w:val="17"/>
              </w:rPr>
              <w:t>Use A/B tests, quasi-experiments, and classroom pilots to validate learning gain, retention, mistake repair speed, and fairness.</w:t>
            </w:r>
          </w:p>
        </w:tc>
        <w:tc>
          <w:tcPr>
            <w:tcW w:type="dxa" w:w="2182"/>
            <w:tcMar>
              <w:top w:w="90" w:type="dxa"/>
              <w:start w:w="120" w:type="dxa"/>
              <w:bottom w:w="90" w:type="dxa"/>
              <w:end w:w="120" w:type="dxa"/>
            </w:tcMar>
          </w:tcPr>
          <w:p>
            <w:pPr>
              <w:jc w:val="left"/>
            </w:pPr>
            <w:r>
              <w:rPr>
                <w:rFonts w:ascii="Times New Roman" w:hAnsi="Times New Roman" w:eastAsia="Songti SC"/>
                <w:b w:val="0"/>
                <w:sz w:val="17"/>
              </w:rPr>
              <w:t>nLG, retention, latency, cost per active learner, bias gap</w:t>
            </w:r>
          </w:p>
        </w:tc>
      </w:tr>
    </w:tbl>
    <w:p>
      <w:pPr>
        <w:spacing w:before="0" w:after="120" w:line="324" w:lineRule="auto"/>
      </w:pPr>
      <w:r>
        <w:rPr>
          <w:rFonts w:ascii="Times New Roman" w:hAnsi="Times New Roman" w:eastAsia="Songti SC"/>
          <w:sz w:val="22"/>
        </w:rPr>
        <w:t>Technically, v3 can use a layered pipeline: learning events enter a learning-state store; BKT and optional KT models update skill state; the knowledge graph returns prerequisites and curriculum objectives; the candidate generator produces instructional candidates; the retriever supplies evidence; the LLM generates explanations and ranking only inside the evidence pack; the validator enforces hard constraints; and the teacher console exposes audit and override controls.</w:t>
      </w:r>
    </w:p>
    <w:p>
      <w:pPr>
        <w:spacing w:before="100" w:after="100" w:line="276" w:lineRule="auto"/>
        <w:ind w:left="403" w:right="259"/>
        <w:jc w:val="left"/>
      </w:pPr>
      <w:r>
        <w:rPr>
          <w:rFonts w:ascii="Courier New" w:hAnsi="Courier New" w:eastAsia="Courier New"/>
          <w:sz w:val="18"/>
        </w:rPr>
        <w:t>\[</w:t>
        <w:br/>
        <w:t>state_t = f_{BKT}(attempts_t, mistakes_t, lessonProgress_t, events_t) \tag{11}</w:t>
        <w:br/>
        <w:t>\]</w:t>
      </w:r>
    </w:p>
    <w:p>
      <w:pPr>
        <w:spacing w:before="100" w:after="100" w:line="276" w:lineRule="auto"/>
        <w:ind w:left="403" w:right="259"/>
        <w:jc w:val="left"/>
      </w:pPr>
      <w:r>
        <w:rPr>
          <w:rFonts w:ascii="Courier New" w:hAnsi="Courier New" w:eastAsia="Courier New"/>
          <w:sz w:val="18"/>
        </w:rPr>
        <w:t>\[</w:t>
        <w:br/>
        <w:t>evidence_t = \operatorname{retrieve}(KG, curriculum, lessons, questions, state_t) \tag{12}</w:t>
        <w:br/>
        <w:t>\]</w:t>
      </w:r>
    </w:p>
    <w:p>
      <w:pPr>
        <w:spacing w:before="100" w:after="100" w:line="276" w:lineRule="auto"/>
        <w:ind w:left="403" w:right="259"/>
        <w:jc w:val="left"/>
      </w:pPr>
      <w:r>
        <w:rPr>
          <w:rFonts w:ascii="Courier New" w:hAnsi="Courier New" w:eastAsia="Courier New"/>
          <w:sz w:val="18"/>
        </w:rPr>
        <w:t>\[</w:t>
        <w:br/>
        <w:t>decision_t = \operatorname{validate}(\operatorname{LLM\_rerank}(C_t, evidence_t), hardGuards) \lor \operatorname{fallback}(d_t) \tag{13}</w:t>
        <w:br/>
        <w:t>\]</w:t>
      </w:r>
    </w:p>
    <w:p>
      <w:pPr>
        <w:spacing w:before="0" w:after="120" w:line="324" w:lineRule="auto"/>
      </w:pPr>
      <w:r>
        <w:rPr>
          <w:rFonts w:ascii="Times New Roman" w:hAnsi="Times New Roman" w:eastAsia="Songti SC"/>
          <w:sz w:val="22"/>
        </w:rPr>
        <w:t>Evaluation should use three layers of metrics. The first layer is offline model quality: AUC, calibration, candidate agreement, and guardrail rejection rate. The second layer is product quality: latency, cost per active learner, fallback rate, and teacher override rate. The third layer is educational impact: normalized learning gain, mistake repair speed, retention, and fairness gaps across student groups.</w:t>
      </w:r>
    </w:p>
    <w:p>
      <w:pPr>
        <w:spacing w:before="0" w:after="120" w:line="324" w:lineRule="auto"/>
      </w:pPr>
      <w:r>
        <w:rPr>
          <w:rFonts w:ascii="Times New Roman" w:hAnsi="Times New Roman" w:eastAsia="Songti SC"/>
          <w:sz w:val="22"/>
        </w:rPr>
        <w:t>Deployment should begin with shadow mode, where the LLM produces recommendations but does not affect the student pathway; the team compares it with v1 and teacher judgments. Next comes teacher-approved mode, where teachers confirm recommendations before release. Only after that should MAIS-MVP consider limited automatic mode, and even then it should preserve rollback switches.</w:t>
      </w:r>
    </w:p>
    <w:p>
      <w:pPr>
        <w:pStyle w:val="Heading2"/>
        <w:spacing w:before="180" w:after="120" w:line="283" w:lineRule="auto"/>
        <w:jc w:val="left"/>
      </w:pPr>
      <w:r>
        <w:rPr>
          <w:rFonts w:ascii="Times New Roman" w:hAnsi="Times New Roman" w:eastAsia="Heiti SC"/>
          <w:b/>
          <w:color w:val="1F4D78"/>
          <w:sz w:val="26"/>
        </w:rPr>
        <w:t>4.3 Research and product hypotheses for v3</w:t>
      </w:r>
    </w:p>
    <w:p>
      <w:pPr>
        <w:pStyle w:val="ListBullet"/>
        <w:spacing w:before="0" w:after="80" w:line="300" w:lineRule="auto"/>
        <w:ind w:left="504" w:hanging="216"/>
      </w:pPr>
      <w:r>
        <w:rPr>
          <w:rFonts w:ascii="Times New Roman" w:hAnsi="Times New Roman" w:eastAsia="Songti SC"/>
          <w:sz w:val="21"/>
        </w:rPr>
        <w:t>Hypothesis 1: Deterministic BKT boundaries will substantially reduce the instructional risk of LLM recommendations by converting free generation into constrained explanation and ranking.</w:t>
      </w:r>
    </w:p>
    <w:p>
      <w:pPr>
        <w:pStyle w:val="ListBullet"/>
        <w:spacing w:before="0" w:after="80" w:line="300" w:lineRule="auto"/>
        <w:ind w:left="504" w:hanging="216"/>
      </w:pPr>
      <w:r>
        <w:rPr>
          <w:rFonts w:ascii="Times New Roman" w:hAnsi="Times New Roman" w:eastAsia="Songti SC"/>
          <w:sz w:val="21"/>
        </w:rPr>
        <w:t>Hypothesis 2: RAG will reduce hallucination and curriculum drift only if the retrieval corpus is structured, versioned, and grounded in curriculum and item sources.</w:t>
      </w:r>
    </w:p>
    <w:p>
      <w:pPr>
        <w:pStyle w:val="ListBullet"/>
        <w:spacing w:before="0" w:after="80" w:line="300" w:lineRule="auto"/>
        <w:ind w:left="504" w:hanging="216"/>
      </w:pPr>
      <w:r>
        <w:rPr>
          <w:rFonts w:ascii="Times New Roman" w:hAnsi="Times New Roman" w:eastAsia="Songti SC"/>
          <w:sz w:val="21"/>
        </w:rPr>
        <w:t>Hypothesis 3: Teacher overrides and audit data are not only safety mechanisms but also model-improvement data; they reveal blind spots in the candidate generator.</w:t>
      </w:r>
    </w:p>
    <w:p>
      <w:pPr>
        <w:pStyle w:val="ListBullet"/>
        <w:spacing w:before="0" w:after="80" w:line="300" w:lineRule="auto"/>
        <w:ind w:left="504" w:hanging="216"/>
      </w:pPr>
      <w:r>
        <w:rPr>
          <w:rFonts w:ascii="Times New Roman" w:hAnsi="Times New Roman" w:eastAsia="Songti SC"/>
          <w:sz w:val="21"/>
        </w:rPr>
        <w:t>Hypothesis 4: The commercial value of v3 comes from trustworthy AI personalization, not merely adding a chatbot to the interface.</w:t>
      </w:r>
    </w:p>
    <w:p>
      <w:pPr>
        <w:pStyle w:val="Heading1"/>
        <w:spacing w:before="280" w:after="120" w:line="283" w:lineRule="auto"/>
        <w:jc w:val="left"/>
      </w:pPr>
      <w:r>
        <w:rPr>
          <w:rFonts w:ascii="Times New Roman" w:hAnsi="Times New Roman" w:eastAsia="Heiti SC"/>
          <w:b/>
          <w:color w:val="1F4D78"/>
          <w:sz w:val="32"/>
        </w:rPr>
        <w:t>Conclusion</w:t>
      </w:r>
    </w:p>
    <w:p>
      <w:pPr>
        <w:spacing w:before="0" w:after="120" w:line="324" w:lineRule="auto"/>
      </w:pPr>
      <w:r>
        <w:rPr>
          <w:rFonts w:ascii="Times New Roman" w:hAnsi="Times New Roman" w:eastAsia="Songti SC"/>
          <w:sz w:val="22"/>
        </w:rPr>
        <w:t>MAIS-MVP's v1 and v2 should be designed as a progression. v1 uses BKT, knowledge components, and deterministic policy to establish a trustworthy adaptive-learning foundation. v2 adds LLM reranking on top of that foundation, making recommendation rationales, teacher audit notes, and item sequencing more nuanced. The real product advantage is not whether the system has an LLM; it is whether the LLM is embedded in a verifiable, auditable, and reversible instructional decision system.</w:t>
      </w:r>
    </w:p>
    <w:p>
      <w:pPr>
        <w:spacing w:before="0" w:after="120" w:line="324" w:lineRule="auto"/>
      </w:pPr>
      <w:r>
        <w:rPr>
          <w:rFonts w:ascii="Times New Roman" w:hAnsi="Times New Roman" w:eastAsia="Songti SC"/>
          <w:sz w:val="22"/>
        </w:rPr>
        <w:t>In the short term, v1 should ensure that the MVP is usable, stable, low cost, and explainable. In the medium term, v2 should demonstrate premium AI-assisted adaptive learning. In the long term, v3 should build a trusted platform that combines BKT, RAG, an educational knowledge graph, and teacher-in-the-loop governance. This path is aligned with the research tradition in educational measurement and intelligent tutoring systems while addressing the accuracy, ethics, and governance challenges of LLMs in education.</w:t>
      </w:r>
    </w:p>
    <w:p>
      <w:r>
        <w:br w:type="page"/>
      </w:r>
    </w:p>
    <w:p>
      <w:pPr>
        <w:pStyle w:val="Heading1"/>
        <w:spacing w:before="280" w:after="120" w:line="283" w:lineRule="auto"/>
        <w:jc w:val="left"/>
      </w:pPr>
      <w:r>
        <w:rPr>
          <w:rFonts w:ascii="Times New Roman" w:hAnsi="Times New Roman" w:eastAsia="Heiti SC"/>
          <w:b/>
          <w:color w:val="1F4D78"/>
          <w:sz w:val="32"/>
        </w:rPr>
        <w:t>References</w:t>
      </w:r>
    </w:p>
    <w:p>
      <w:pPr>
        <w:pStyle w:val="APAReference"/>
      </w:pPr>
      <w:r>
        <w:rPr>
          <w:rFonts w:ascii="Times New Roman" w:hAnsi="Times New Roman" w:eastAsia="Times New Roman"/>
          <w:sz w:val="18"/>
        </w:rPr>
        <w:t>Asai, A., Wu, Z., Wang, Y., Sil, A., &amp; Hajishirzi, H. (2024). Self-RAG: Learning to retrieve, generate, and critique through self-reflection. In International Conference on Learning Representations. https://proceedings.iclr.cc/paper_files/paper/2024/hash/25f7be9694d7b32d5cc670927b8091e1-Abstract-Conference.html</w:t>
      </w:r>
    </w:p>
    <w:p>
      <w:pPr>
        <w:pStyle w:val="APAReference"/>
      </w:pPr>
      <w:r>
        <w:rPr>
          <w:rFonts w:ascii="Times New Roman" w:hAnsi="Times New Roman" w:eastAsia="Times New Roman"/>
          <w:sz w:val="18"/>
        </w:rPr>
        <w:t>Baker, R. S., &amp; Hawn, A. (2021). Algorithmic bias in education. International Journal of Artificial Intelligence in Education, 32(4), 1052-1092. https://doi.org/10.1007/s40593-021-00285-9</w:t>
      </w:r>
    </w:p>
    <w:p>
      <w:pPr>
        <w:pStyle w:val="APAReference"/>
      </w:pPr>
      <w:r>
        <w:rPr>
          <w:rFonts w:ascii="Times New Roman" w:hAnsi="Times New Roman" w:eastAsia="Times New Roman"/>
          <w:sz w:val="18"/>
        </w:rPr>
        <w:t>Brown, T. B., Mann, B., Ryder, N., Subbiah, M., Kaplan, J., Dhariwal, P., Neelakantan, A., Shyam, P., Sastry, G., Askell, A., Agarwal, S., Herbert-Voss, A., Krueger, G., Henighan, T., Child, R., Ramesh, A., Ziegler, D. M., Wu, J., Winter, C., ... Amodei, D. (2020). Language models are few-shot learners. In Advances in Neural Information Processing Systems, 33, 1877-1901. https://proceedings.neurips.cc/paper/2020/hash/1457c0d6bfcb4967418bfb8ac142f64a-Abstract.html</w:t>
      </w:r>
    </w:p>
    <w:p>
      <w:pPr>
        <w:pStyle w:val="APAReference"/>
      </w:pPr>
      <w:r>
        <w:rPr>
          <w:rFonts w:ascii="Times New Roman" w:hAnsi="Times New Roman" w:eastAsia="Times New Roman"/>
          <w:sz w:val="18"/>
        </w:rPr>
        <w:t>Chen, L., Chen, P., &amp; Lin, Z. (2020). Artificial intelligence in education: A review. IEEE Access, 8, 75264-75278. https://doi.org/10.1109/ACCESS.2020.2988510</w:t>
      </w:r>
    </w:p>
    <w:p>
      <w:pPr>
        <w:pStyle w:val="APAReference"/>
      </w:pPr>
      <w:r>
        <w:rPr>
          <w:rFonts w:ascii="Times New Roman" w:hAnsi="Times New Roman" w:eastAsia="Times New Roman"/>
          <w:sz w:val="18"/>
        </w:rPr>
        <w:t>Corbett, A. T., &amp; Anderson, J. R. (1995). Knowledge tracing: Modeling the acquisition of procedural knowledge. User Modelling and User-Adapted Interaction, 4(4), 253-278. https://doi.org/10.1007/BF01099821</w:t>
      </w:r>
    </w:p>
    <w:p>
      <w:pPr>
        <w:pStyle w:val="APAReference"/>
      </w:pPr>
      <w:r>
        <w:rPr>
          <w:rFonts w:ascii="Times New Roman" w:hAnsi="Times New Roman" w:eastAsia="Times New Roman"/>
          <w:sz w:val="18"/>
        </w:rPr>
        <w:t>Crompton, H., &amp; Burke, D. (2023). Artificial intelligence in higher education: The state of the field. International Journal of Educational Technology in Higher Education, 20, Article 22. https://doi.org/10.1186/s41239-023-00392-8</w:t>
      </w:r>
    </w:p>
    <w:p>
      <w:pPr>
        <w:pStyle w:val="APAReference"/>
      </w:pPr>
      <w:r>
        <w:rPr>
          <w:rFonts w:ascii="Times New Roman" w:hAnsi="Times New Roman" w:eastAsia="Times New Roman"/>
          <w:sz w:val="18"/>
        </w:rPr>
        <w:t>Desmarais, M. C., &amp; Baker, R. S. J. d. (2012). A review of recent advances in learner and skill modeling in intelligent learning environments. User Modeling and User-Adapted Interaction, 22(1-2), 9-38. https://doi.org/10.1007/s11257-011-9106-8</w:t>
      </w:r>
    </w:p>
    <w:p>
      <w:pPr>
        <w:pStyle w:val="APAReference"/>
      </w:pPr>
      <w:r>
        <w:rPr>
          <w:rFonts w:ascii="Times New Roman" w:hAnsi="Times New Roman" w:eastAsia="Times New Roman"/>
          <w:sz w:val="18"/>
        </w:rPr>
        <w:t>Gervet, T., Koedinger, K., Schneider, J., &amp; Mitchell, T. (2020). When is deep learning the best approach to knowledge tracing? Journal of Educational Data Mining, 12(3), 31-54. https://doi.org/10.5281/zenodo.4143614</w:t>
      </w:r>
    </w:p>
    <w:p>
      <w:pPr>
        <w:pStyle w:val="APAReference"/>
      </w:pPr>
      <w:r>
        <w:rPr>
          <w:rFonts w:ascii="Times New Roman" w:hAnsi="Times New Roman" w:eastAsia="Times New Roman"/>
          <w:sz w:val="18"/>
        </w:rPr>
        <w:t>Holstein, K., McLaren, B. M., &amp; Aleven, V. (2019). Co-designing a real-time classroom orchestration tool to support teacher-AI complementarity. Journal of Learning Analytics, 6(2), 27-52. https://doi.org/10.18608/jla.2019.62.3</w:t>
      </w:r>
    </w:p>
    <w:p>
      <w:pPr>
        <w:pStyle w:val="APAReference"/>
      </w:pPr>
      <w:r>
        <w:rPr>
          <w:rFonts w:ascii="Times New Roman" w:hAnsi="Times New Roman" w:eastAsia="Times New Roman"/>
          <w:sz w:val="18"/>
        </w:rPr>
        <w:t>Ji, Z., Lee, N., Frieske, R., Yu, T., Su, D., Xu, Y., Ishii, E., Bang, Y., Madotto, A., &amp; Fung, P. (2023). Survey of hallucination in natural language generation. ACM Computing Surveys, 55(12), Article 248. https://doi.org/10.1145/3571730</w:t>
      </w:r>
    </w:p>
    <w:p>
      <w:pPr>
        <w:pStyle w:val="APAReference"/>
      </w:pPr>
      <w:r>
        <w:rPr>
          <w:rFonts w:ascii="Times New Roman" w:hAnsi="Times New Roman" w:eastAsia="Times New Roman"/>
          <w:sz w:val="18"/>
        </w:rPr>
        <w:t>Kasneci, E., Sessler, K., Kuchemann, S., Bannert, M., Dementieva, D., Fischer, F., Gasser, U., Groh, G., Gunnemann, S., Hullermeier, E., Krusche, S., Kutyniok, G., Michaeli, T., Nerdel, C., Pfeffer, J., Poquet, O., Sailer, M., Schmidt, A., Seidel, T., ... Kasneci, G. (2023). ChatGPT for good? On opportunities and challenges of large language models for education. Learning and Individual Differences, 103, Article 102274. https://doi.org/10.1016/j.lindif.2023.102274</w:t>
      </w:r>
    </w:p>
    <w:p>
      <w:pPr>
        <w:pStyle w:val="APAReference"/>
      </w:pPr>
      <w:r>
        <w:rPr>
          <w:rFonts w:ascii="Times New Roman" w:hAnsi="Times New Roman" w:eastAsia="Times New Roman"/>
          <w:sz w:val="18"/>
        </w:rPr>
        <w:t>Khajah, M. M., Lindsey, R. V., &amp; Mozer, M. C. (2016). How deep is knowledge tracing? In Proceedings of the 9th International Conference on Educational Data Mining (pp. 94-101). https://educationaldatamining.org/EDM2016/proceedings/paper_122.pdf</w:t>
      </w:r>
    </w:p>
    <w:p>
      <w:pPr>
        <w:pStyle w:val="APAReference"/>
      </w:pPr>
      <w:r>
        <w:rPr>
          <w:rFonts w:ascii="Times New Roman" w:hAnsi="Times New Roman" w:eastAsia="Times New Roman"/>
          <w:sz w:val="18"/>
        </w:rPr>
        <w:t>Koedinger, K. R., Corbett, A. T., &amp; Perfetti, C. (2012). The knowledge-learning-instruction framework: Bridging the science-practice chasm to enhance robust student learning. Cognitive Science, 36(5), 757-798. https://doi.org/10.1111/j.1551-6709.2012.01245.x</w:t>
      </w:r>
    </w:p>
    <w:p>
      <w:pPr>
        <w:pStyle w:val="APAReference"/>
      </w:pPr>
      <w:r>
        <w:rPr>
          <w:rFonts w:ascii="Times New Roman" w:hAnsi="Times New Roman" w:eastAsia="Times New Roman"/>
          <w:sz w:val="18"/>
        </w:rPr>
        <w:t>Kulik, J. A., &amp; Fletcher, J. D. (2016). Effectiveness of intelligent tutoring systems: A meta-analytic review. Review of Educational Research, 86(1), 42-78. https://doi.org/10.3102/0034654315581420</w:t>
      </w:r>
    </w:p>
    <w:p>
      <w:pPr>
        <w:pStyle w:val="APAReference"/>
      </w:pPr>
      <w:r>
        <w:rPr>
          <w:rFonts w:ascii="Times New Roman" w:hAnsi="Times New Roman" w:eastAsia="Times New Roman"/>
          <w:sz w:val="18"/>
        </w:rPr>
        <w:t>Lewis, P., Perez, E., Piktus, A., Petroni, F., Karpukhin, V., Goyal, N., Kuttler, H., Lewis, M., Yih, W.-t., Rocktaschel, T., Riedel, S., &amp; Kiela, D. (2020). Retrieval-augmented generation for knowledge-intensive NLP tasks. In Advances in Neural Information Processing Systems, 33, 9459-9474. https://proceedings.neurips.cc/paper/2020/hash/6b493230205f780e1bc26945df7481e5-Abstract.html</w:t>
      </w:r>
    </w:p>
    <w:p>
      <w:pPr>
        <w:pStyle w:val="APAReference"/>
      </w:pPr>
      <w:r>
        <w:rPr>
          <w:rFonts w:ascii="Times New Roman" w:hAnsi="Times New Roman" w:eastAsia="Times New Roman"/>
          <w:sz w:val="18"/>
        </w:rPr>
        <w:t>Ma, W., Adesope, O. O., Nesbit, J. C., &amp; Liu, Q. (2014). Intelligent tutoring systems and learning outcomes: A meta-analysis. Journal of Educational Psychology, 106(4), 901-918. https://doi.org/10.1037/a0037123</w:t>
      </w:r>
    </w:p>
    <w:p>
      <w:pPr>
        <w:pStyle w:val="APAReference"/>
      </w:pPr>
      <w:r>
        <w:rPr>
          <w:rFonts w:ascii="Times New Roman" w:hAnsi="Times New Roman" w:eastAsia="Times New Roman"/>
          <w:sz w:val="18"/>
        </w:rPr>
        <w:t>Macina, J., Daheim, N., Chowdhury, S., Sinha, T., Kapur, M., Gurevych, I., Sachan, M., &amp; Nouri, E. (2023). MathDial: A dialogue tutoring dataset with rich pedagogical properties grounded in math reasoning problems. In Findings of the Association for Computational Linguistics: EMNLP 2023 (pp. 5602-5621). https://doi.org/10.18653/v1/2023.findings-emnlp.372</w:t>
      </w:r>
    </w:p>
    <w:p>
      <w:pPr>
        <w:pStyle w:val="APAReference"/>
      </w:pPr>
      <w:r>
        <w:rPr>
          <w:rFonts w:ascii="Times New Roman" w:hAnsi="Times New Roman" w:eastAsia="Times New Roman"/>
          <w:sz w:val="18"/>
        </w:rPr>
        <w:t>Maynez, J., Narayan, S., Bohnet, B., &amp; McDonald, R. (2020). On faithfulness and factuality in abstractive summarization. In Proceedings of the 58th Annual Meeting of the Association for Computational Linguistics (pp. 1906-1919). https://doi.org/10.18653/v1/2020.acl-main.173</w:t>
      </w:r>
    </w:p>
    <w:p>
      <w:pPr>
        <w:pStyle w:val="APAReference"/>
      </w:pPr>
      <w:r>
        <w:rPr>
          <w:rFonts w:ascii="Times New Roman" w:hAnsi="Times New Roman" w:eastAsia="Times New Roman"/>
          <w:sz w:val="18"/>
        </w:rPr>
        <w:t>Ouyang, L., Wu, J., Jiang, X., Almeida, D., Wainwright, C. L., Mishkin, P., Zhang, C., Agarwal, S., Slama, K., Ray, A., Schulman, J., Hilton, J., Kelton, F., Miller, L., Simens, M., Askell, A., Welinder, P., Christiano, P., Leike, J., &amp; Lowe, R. (2022). Training language models to follow instructions with human feedback. In Advances in Neural Information Processing Systems, 35, 27730-27744. https://proceedings.neurips.cc/paper_files/paper/2022/hash/b1efde53be364a73914f58805a001731-Abstract-Conference.html</w:t>
      </w:r>
    </w:p>
    <w:p>
      <w:pPr>
        <w:pStyle w:val="APAReference"/>
      </w:pPr>
      <w:r>
        <w:rPr>
          <w:rFonts w:ascii="Times New Roman" w:hAnsi="Times New Roman" w:eastAsia="Times New Roman"/>
          <w:sz w:val="18"/>
        </w:rPr>
        <w:t>Pardos, Z. A., &amp; Heffernan, N. T. (2010). Modeling individualization in a Bayesian networks implementation of knowledge tracing. In P. De Bra, A. Kobsa, &amp; D. Chin (Eds.), User Modeling, Adaptation, and Personalization (pp. 255-266). Springer. https://doi.org/10.1007/978-3-642-13470-8_24</w:t>
      </w:r>
    </w:p>
    <w:p>
      <w:pPr>
        <w:pStyle w:val="APAReference"/>
      </w:pPr>
      <w:r>
        <w:rPr>
          <w:rFonts w:ascii="Times New Roman" w:hAnsi="Times New Roman" w:eastAsia="Times New Roman"/>
          <w:sz w:val="18"/>
        </w:rPr>
        <w:t>Pardos, Z. A., &amp; Heffernan, N. T. (2011). KT-IDEM: Introducing item difficulty to the knowledge tracing model. In G. Biswas, S. Bull, J. Kay, &amp; A. Mitrovic (Eds.), Artificial Intelligence in Education (pp. 243-254). Springer. https://doi.org/10.1007/978-3-642-22362-4_21</w:t>
      </w:r>
    </w:p>
    <w:p>
      <w:pPr>
        <w:pStyle w:val="APAReference"/>
      </w:pPr>
      <w:r>
        <w:rPr>
          <w:rFonts w:ascii="Times New Roman" w:hAnsi="Times New Roman" w:eastAsia="Times New Roman"/>
          <w:sz w:val="18"/>
        </w:rPr>
        <w:t>Pavlik, P. I., Jr., Cen, H., &amp; Koedinger, K. R. (2009). Performance factors analysis: A new alternative to knowledge tracing. In V. Dimitrova, R. Mizoguchi, B. du Boulay, &amp; A. Graesser (Eds.), Artificial Intelligence in Education (pp. 531-538). IOS Press. https://doi.org/10.3233/978-1-60750-028-5-531</w:t>
      </w:r>
    </w:p>
    <w:p>
      <w:pPr>
        <w:pStyle w:val="APAReference"/>
      </w:pPr>
      <w:r>
        <w:rPr>
          <w:rFonts w:ascii="Times New Roman" w:hAnsi="Times New Roman" w:eastAsia="Times New Roman"/>
          <w:sz w:val="18"/>
        </w:rPr>
        <w:t>Pelanek, R. (2017). Bayesian knowledge tracing, logistic models, and beyond: An overview of learner modeling techniques. User Modeling and User-Adapted Interaction, 27(3-5), 313-350. https://doi.org/10.1007/s11257-017-9193-2</w:t>
      </w:r>
    </w:p>
    <w:p>
      <w:pPr>
        <w:pStyle w:val="APAReference"/>
      </w:pPr>
      <w:r>
        <w:rPr>
          <w:rFonts w:ascii="Times New Roman" w:hAnsi="Times New Roman" w:eastAsia="Times New Roman"/>
          <w:sz w:val="18"/>
        </w:rPr>
        <w:t>Piech, C., Spencer, J., Huang, J., Ganguli, S., Sahami, M., Guibas, L. J., &amp; Sohl-Dickstein, J. (2015). Deep knowledge tracing. In Advances in Neural Information Processing Systems, 28. https://papers.nips.cc/paper/5654-deep-knowledge-tracing</w:t>
      </w:r>
    </w:p>
    <w:p>
      <w:pPr>
        <w:pStyle w:val="APAReference"/>
      </w:pPr>
      <w:r>
        <w:rPr>
          <w:rFonts w:ascii="Times New Roman" w:hAnsi="Times New Roman" w:eastAsia="Times New Roman"/>
          <w:sz w:val="18"/>
        </w:rPr>
        <w:t>Ritter, S., Yudelson, M., Fancsali, S. E., &amp; Berman, S. R. (2016). How mastery learning works at scale. In Proceedings of the Third (2016) ACM Conference on Learning @ Scale (pp. 71-79). https://doi.org/10.1145/2876034.2876039</w:t>
      </w:r>
    </w:p>
    <w:p>
      <w:pPr>
        <w:pStyle w:val="APAReference"/>
      </w:pPr>
      <w:r>
        <w:rPr>
          <w:rFonts w:ascii="Times New Roman" w:hAnsi="Times New Roman" w:eastAsia="Times New Roman"/>
          <w:sz w:val="18"/>
        </w:rPr>
        <w:t>Tack, A., &amp; Piech, C. (2022). The AI teacher test: Measuring the pedagogical ability of Blender and GPT-3 in educational dialogues. In Proceedings of the 15th International Conference on Educational Data Mining. https://educationaldatamining.org/edm2022/proceedings/2022.EDM-short-papers.54/index.html</w:t>
      </w:r>
    </w:p>
    <w:p>
      <w:pPr>
        <w:pStyle w:val="APAReference"/>
      </w:pPr>
      <w:r>
        <w:rPr>
          <w:rFonts w:ascii="Times New Roman" w:hAnsi="Times New Roman" w:eastAsia="Times New Roman"/>
          <w:sz w:val="18"/>
        </w:rPr>
        <w:t>Tlili, A., Shehata, B., Adarkwah, M. A., Bozkurt, A., Hickey, D. T., Huang, R., &amp; Agyemang, B. (2023). What if the devil is my guardian angel: ChatGPT as a case study of using chatbots in education. Smart Learning Environments, 10, Article 15. https://doi.org/10.1186/s40561-023-00237-x</w:t>
      </w:r>
    </w:p>
    <w:p>
      <w:pPr>
        <w:pStyle w:val="APAReference"/>
      </w:pPr>
      <w:r>
        <w:rPr>
          <w:rFonts w:ascii="Times New Roman" w:hAnsi="Times New Roman" w:eastAsia="Times New Roman"/>
          <w:sz w:val="18"/>
        </w:rPr>
        <w:t>VanLehn, K. (2011). The relative effectiveness of human tutoring, intelligent tutoring systems, and other tutoring systems. Educational Psychologist, 46(4), 197-221. https://doi.org/10.1080/00461520.2011.611369</w:t>
      </w:r>
    </w:p>
    <w:p>
      <w:pPr>
        <w:pStyle w:val="APAReference"/>
      </w:pPr>
      <w:r>
        <w:rPr>
          <w:rFonts w:ascii="Times New Roman" w:hAnsi="Times New Roman" w:eastAsia="Times New Roman"/>
          <w:sz w:val="18"/>
        </w:rPr>
        <w:t>Vaswani, A., Shazeer, N., Parmar, N., Uszkoreit, J., Jones, L., Gomez, A. N., Kaiser, L., &amp; Polosukhin, I. (2017). Attention is all you need. In Advances in Neural Information Processing Systems, 30. https://papers.nips.cc/paper/7181-attention-is-all-you-need</w:t>
      </w:r>
    </w:p>
    <w:p>
      <w:pPr>
        <w:pStyle w:val="APAReference"/>
      </w:pPr>
      <w:r>
        <w:rPr>
          <w:rFonts w:ascii="Times New Roman" w:hAnsi="Times New Roman" w:eastAsia="Times New Roman"/>
          <w:sz w:val="18"/>
        </w:rPr>
        <w:t>Weidinger, L., Uesato, J., Rauh, M., Griffin, C., Huang, P.-S., Mellor, J., Glaese, A., Cheng, M., Balle, B., Kasirzadeh, A., Biles, C., Brown, S., Kenton, Z., Hawkins, W., Stepleton, T., Birhane, A., Haas, J., Rimell, L., Hendricks, L. A., ... Gabriel, I. (2022). Taxonomy of risks posed by language models. In 2022 ACM Conference on Fairness, Accountability, and Transparency (pp. 214-229). https://doi.org/10.1145/3531146.3533088</w:t>
      </w:r>
    </w:p>
    <w:p>
      <w:pPr>
        <w:pStyle w:val="APAReference"/>
      </w:pPr>
      <w:r>
        <w:rPr>
          <w:rFonts w:ascii="Times New Roman" w:hAnsi="Times New Roman" w:eastAsia="Times New Roman"/>
          <w:sz w:val="18"/>
        </w:rPr>
        <w:t>Wei, J., Wang, X., Schuurmans, D., Bosma, M., Xia, F., Chi, E. H., Le, Q. V., Zhou, D., &amp; Narang, S. (2022). Chain-of-thought prompting elicits reasoning in large language models. In Advances in Neural Information Processing Systems, 35, 24824-24837. https://proceedings.neurips.cc/paper_files/paper/2022/hash/9d5609613524ecf4f15af0f7b31abca4-Abstract-Conference.html</w:t>
      </w:r>
    </w:p>
    <w:p>
      <w:pPr>
        <w:pStyle w:val="APAReference"/>
      </w:pPr>
      <w:r>
        <w:rPr>
          <w:rFonts w:ascii="Times New Roman" w:hAnsi="Times New Roman" w:eastAsia="Times New Roman"/>
          <w:sz w:val="18"/>
        </w:rPr>
        <w:t>Yan, L., Sha, L., Zhao, L., Li, Y., Martinez-Maldonado, R., Chen, G., Li, X., Jin, Y., &amp; Gašević, D. (2023). Practical and ethical challenges of large language models in education: A systematic scoping review. British Journal of Educational Technology, 55(1), 90-112. https://doi.org/10.1111/bjet.13370</w:t>
      </w:r>
    </w:p>
    <w:p>
      <w:pPr>
        <w:pStyle w:val="APAReference"/>
      </w:pPr>
      <w:r>
        <w:rPr>
          <w:rFonts w:ascii="Times New Roman" w:hAnsi="Times New Roman" w:eastAsia="Times New Roman"/>
          <w:sz w:val="18"/>
        </w:rPr>
        <w:t>Yudelson, M. V., Koedinger, K. R., &amp; Gordon, G. J. (2013). Individualized Bayesian knowledge tracing models. In H. C. Lane, K. Yacef, J. Mostow, &amp; P. Pavlik (Eds.), Artificial Intelligence in Education (pp. 171-180). Springer. https://doi.org/10.1007/978-3-642-39112-5_18</w:t>
      </w:r>
    </w:p>
    <w:p>
      <w:pPr>
        <w:pStyle w:val="APAReference"/>
      </w:pPr>
      <w:r>
        <w:rPr>
          <w:rFonts w:ascii="Times New Roman" w:hAnsi="Times New Roman" w:eastAsia="Times New Roman"/>
          <w:sz w:val="18"/>
        </w:rPr>
        <w:t>Zawacki-Richter, O., Marin, V. I., Bond, M., &amp; Gouverneur, F. (2019). Systematic review of research on artificial intelligence applications in higher education: Where are the educators? International Journal of Educational Technology in Higher Education, 16, Article 39. https://doi.org/10.1186/s41239-019-0171-0</w:t>
      </w:r>
    </w:p>
    <w:p>
      <w:pPr>
        <w:pStyle w:val="APAReference"/>
      </w:pPr>
      <w:r>
        <w:rPr>
          <w:rFonts w:ascii="Times New Roman" w:hAnsi="Times New Roman" w:eastAsia="Times New Roman"/>
          <w:sz w:val="18"/>
        </w:rPr>
        <w:t>Zhang, J., Shi, X., King, I., &amp; Yeung, D.-Y. (2017). Dynamic key-value memory networks for knowledge tracing. In Proceedings of the 26th International Conference on World Wide Web (pp. 765-774). https://doi.org/10.1145/3038912.3052580</w:t>
      </w:r>
    </w:p>
    <w:p>
      <w:pPr>
        <w:sectPr>
          <w:headerReference w:type="default" r:id="rId9"/>
          <w:footerReference w:type="default" r:id="rId10"/>
          <w:pgSz w:w="12240" w:h="15840"/>
          <w:pgMar w:top="1440" w:right="1440" w:bottom="1440" w:left="1440" w:header="720" w:footer="720" w:gutter="0"/>
          <w:cols w:space="720"/>
          <w:docGrid w:linePitch="360"/>
        </w:sectPr>
      </w:pPr>
    </w:p>
    <w:p>
      <w:pPr>
        <w:pStyle w:val="Heading1"/>
        <w:spacing w:before="280" w:after="120" w:line="283" w:lineRule="auto"/>
        <w:jc w:val="left"/>
      </w:pPr>
      <w:r>
        <w:rPr>
          <w:rFonts w:ascii="Times New Roman" w:hAnsi="Times New Roman" w:eastAsia="Heiti SC"/>
          <w:b/>
          <w:color w:val="1F4D78"/>
          <w:sz w:val="32"/>
        </w:rPr>
        <w:t>Appendix A. Citation Verification Note</w:t>
      </w:r>
    </w:p>
    <w:p>
      <w:pPr>
        <w:spacing w:before="0" w:after="120" w:line="324" w:lineRule="auto"/>
      </w:pPr>
      <w:r>
        <w:rPr>
          <w:rFonts w:ascii="Times New Roman" w:hAnsi="Times New Roman" w:eastAsia="Songti SC"/>
          <w:sz w:val="22"/>
        </w:rPr>
        <w:t>This report includes 35 formal references. All are academic journal articles, academic conference papers, or conference-proceedings entries. DOI entries were checked against Crossref or publisher metadata; NeurIPS, EDM, and ICLR entries without DOI were checked against official conference pages. In-text citations use APA 7th author-date style, and the References section uses a hanging indent.</w:t>
      </w:r>
    </w:p>
    <w:p>
      <w:pPr>
        <w:spacing w:before="0" w:after="120" w:line="324" w:lineRule="auto"/>
      </w:pPr>
      <w:r>
        <w:rPr>
          <w:rFonts w:ascii="Times New Roman" w:hAnsi="Times New Roman" w:eastAsia="Songti SC"/>
          <w:sz w:val="22"/>
        </w:rPr>
        <w:t>Sources excluded from formal references include blogs, vendor documentation, white papers, arXiv-only or OSF-only preprints, and non-academic webpages. MAIS-MVP implementation details are based on local read-only code inspection and are treated as project evidence, not academic references.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ongti SC"/>
        <w:color w:val="606A78"/>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Songti SC"/>
        <w:color w:val="606A78"/>
        <w:sz w:val="18"/>
      </w:rPr>
      <w:t>MAIS-MVP Adaptive Learning Version Comparison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Heiti SC"/>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Heiti S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Heiti SC"/>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Reference">
    <w:name w:val="APA Reference"/>
    <w:basedOn w:val="Normal"/>
    <w:pPr>
      <w:spacing w:after="100" w:line="269" w:lineRule="auto"/>
      <w:ind w:left="720" w:hanging="72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