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President Report</w:t>
      </w:r>
    </w:p>
    <w:p>
      <w:pPr>
        <w:pStyle w:val="Subtitle"/>
      </w:pPr>
      <w:r>
        <w:t>MAIS-MVP | Report date: 2026-05-21 | Report time: 8:00 AM Asia/Hong_Kong | Reporting session: S10 | Audience: Dr. Peter Hu</w:t>
      </w:r>
    </w:p>
    <w:tbl>
      <w:tblPr>
        <w:tblStyle w:val="TableGrid"/>
        <w:tblW w:type="dxa" w:w="9360"/>
        <w:tblLayout w:type="fixed"/>
        <w:tblLook w:firstColumn="1" w:firstRow="1" w:lastColumn="0" w:lastRow="0" w:noHBand="0" w:noVBand="1" w:val="04A0"/>
        <w:jc w:val="left"/>
        <w:tblInd w:w="120" w:type="dxa"/>
      </w:tblPr>
      <w:tblGrid>
        <w:gridCol w:w="1700"/>
        <w:gridCol w:w="7660"/>
      </w:tblGrid>
      <w:tr>
        <w:tc>
          <w:tcPr>
            <w:tcW w:type="dxa" w:w="1700"/>
            <w:tcMar>
              <w:top w:w="80" w:type="dxa"/>
              <w:bottom w:w="80" w:type="dxa"/>
              <w:start w:w="120" w:type="dxa"/>
              <w:end w:w="120" w:type="dxa"/>
            </w:tcMar>
            <w:shd w:fill="F2F4F7"/>
            <w:vAlign w:val="center"/>
          </w:tcPr>
          <w:p>
            <w:pPr>
              <w:pStyle w:val="TableBody"/>
              <w:spacing w:after="0" w:line="252" w:lineRule="auto"/>
            </w:pPr>
            <w:r/>
            <w:r>
              <w:rPr>
                <w:rFonts w:ascii="Calibri" w:hAnsi="Calibri" w:eastAsia="Microsoft YaHei"/>
                <w:b/>
                <w:color w:val="0B2545"/>
              </w:rPr>
              <w:t>Field</w:t>
            </w:r>
          </w:p>
        </w:tc>
        <w:tc>
          <w:tcPr>
            <w:tcW w:type="dxa" w:w="7660"/>
            <w:tcMar>
              <w:top w:w="80" w:type="dxa"/>
              <w:bottom w:w="80" w:type="dxa"/>
              <w:start w:w="120" w:type="dxa"/>
              <w:end w:w="120" w:type="dxa"/>
            </w:tcMar>
            <w:shd w:fill="F2F4F7"/>
            <w:vAlign w:val="center"/>
          </w:tcPr>
          <w:p>
            <w:pPr>
              <w:pStyle w:val="TableBody"/>
              <w:spacing w:after="0" w:line="252" w:lineRule="auto"/>
            </w:pPr>
            <w:r/>
            <w:r>
              <w:rPr>
                <w:rFonts w:ascii="Calibri" w:hAnsi="Calibri" w:eastAsia="Microsoft YaHei"/>
                <w:b/>
                <w:color w:val="0B2545"/>
              </w:rPr>
              <w:t>Value</w:t>
            </w:r>
          </w:p>
        </w:tc>
      </w:tr>
      <w:tr>
        <w:tc>
          <w:tcPr>
            <w:tcW w:type="dxa" w:w="17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Reporting window</w:t>
            </w:r>
          </w:p>
        </w:tc>
        <w:tc>
          <w:tcPr>
            <w:tcW w:type="dxa" w:w="76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2026-05-20 08:00 to 2026-05-21 08:00 Asia/Hong_Kong</w:t>
            </w:r>
          </w:p>
        </w:tc>
      </w:tr>
      <w:tr>
        <w:tc>
          <w:tcPr>
            <w:tcW w:type="dxa" w:w="17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Generation note</w:t>
            </w:r>
          </w:p>
        </w:tc>
        <w:tc>
          <w:tcPr>
            <w:tcW w:type="dxa" w:w="76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Manual report generated after Codex was force-quit/restarted; evidence is from coordination logs, blocker reports, timestamp scan, and fresh local checks.</w:t>
            </w:r>
          </w:p>
        </w:tc>
      </w:tr>
      <w:tr>
        <w:tc>
          <w:tcPr>
            <w:tcW w:type="dxa" w:w="17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Repository note</w:t>
            </w:r>
          </w:p>
        </w:tc>
        <w:tc>
          <w:tcPr>
            <w:tcW w:type="dxa" w:w="76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Folder is not a Git repository; changed-file evidence is filesystem timestamp based and summarized by workstream.</w:t>
            </w:r>
          </w:p>
        </w:tc>
      </w:tr>
      <w:tr>
        <w:tc>
          <w:tcPr>
            <w:tcW w:type="dxa" w:w="17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Overall health</w:t>
            </w:r>
          </w:p>
        </w:tc>
        <w:tc>
          <w:tcPr>
            <w:tcW w:type="dxa" w:w="76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Yellow for local/demo readiness; Red for real production launch until SimpleTex credentials, production storage, game smoke, fresh MVP gate, and build health are cleared.</w:t>
            </w:r>
          </w:p>
        </w:tc>
      </w:tr>
    </w:tbl>
    <w:p>
      <w:pPr>
        <w:pStyle w:val="SmallNote"/>
      </w:pPr>
    </w:p>
    <w:p>
      <w:pPr>
        <w:pStyle w:val="Heading1"/>
      </w:pPr>
      <w:r>
        <w:t>中文 Executive Summary</w:t>
      </w:r>
    </w:p>
    <w:p>
      <w:pPr>
        <w:ind w:left="360" w:hanging="259"/>
      </w:pPr>
      <w:r>
        <w:rPr>
          <w:b/>
        </w:rPr>
        <w:t xml:space="preserve">• </w:t>
      </w:r>
      <w:r>
        <w:t>报告窗口内项目推进明显：课程入口速度、教师控制台、学生/家长/教师中文化、题库质量、RAG 安全吸收、游戏可用性和发布质量矩阵都有实质进展。</w:t>
      </w:r>
    </w:p>
    <w:p>
      <w:pPr>
        <w:ind w:left="360" w:hanging="259"/>
      </w:pPr>
      <w:r>
        <w:rPr>
          <w:b/>
        </w:rPr>
        <w:t xml:space="preserve">• </w:t>
      </w:r>
      <w:r>
        <w:t>本地核心质量大部分为绿色：本次手动复核中 `npm run type-check`、`npm run test:analytics`、`npm run test:question-bank`、`npm run test:rag`、`npm run audit:zh-hans:strict` 通过。</w:t>
      </w:r>
    </w:p>
    <w:p>
      <w:pPr>
        <w:ind w:left="360" w:hanging="259"/>
      </w:pPr>
      <w:r>
        <w:rPr>
          <w:b/>
        </w:rPr>
        <w:t xml:space="preserve">• </w:t>
      </w:r>
      <w:r>
        <w:t>需要立即关注的红色风险有两个：SimpleTex APP 凭证仍被上游拒绝；本次新跑的 `npm run test:mvp` 因 `supp-p2-multiplication-foundations-key-fact: 4 x 6` 缺少中文答案别名而 21/22 通过、1 项失败。</w:t>
      </w:r>
    </w:p>
    <w:p>
      <w:pPr>
        <w:ind w:left="360" w:hanging="259"/>
      </w:pPr>
      <w:r>
        <w:rPr>
          <w:b/>
        </w:rPr>
        <w:t xml:space="preserve">• </w:t>
      </w:r>
      <w:r>
        <w:t>另一个新增本地风险：本次 `npm run build` 在 Next 依赖 `node_modules/next/dist/compiled/strip-ansi/package.json` 处报 `ERR_INVALID_PACKAGE_CONFIG`，需要 S10 检查本地依赖/构建环境。</w:t>
      </w:r>
    </w:p>
    <w:p>
      <w:pPr>
        <w:ind w:left="360" w:hanging="259"/>
      </w:pPr>
      <w:r>
        <w:rPr>
          <w:b/>
        </w:rPr>
        <w:t xml:space="preserve">• </w:t>
      </w:r>
      <w:r>
        <w:t>今天最需要 Dr. Peter Hu 决策：是否重置 SimpleTex 凭证、是否授权 S04/S18 修复 P2 乘法题答案别名、是否让 S10 处理本地依赖/构建环境、以及何时安排生产环境存储/游戏/AI-OCR smoke test。</w:t>
      </w:r>
    </w:p>
    <w:p>
      <w:pPr>
        <w:pStyle w:val="Heading1"/>
      </w:pPr>
      <w:r>
        <w:t>English Executive Summary</w:t>
      </w:r>
    </w:p>
    <w:p>
      <w:pPr>
        <w:ind w:left="360" w:hanging="259"/>
      </w:pPr>
      <w:r>
        <w:rPr>
          <w:b/>
        </w:rPr>
        <w:t xml:space="preserve">• </w:t>
      </w:r>
      <w:r>
        <w:t>The 2026-05-20 work window moved MAIS-MVP forward across release hardening, lesson-entry performance, teacher/parent/student UI quality, question-bank correctness, safe RAG abstraction, and game usability.</w:t>
      </w:r>
    </w:p>
    <w:p>
      <w:pPr>
        <w:ind w:left="360" w:hanging="259"/>
      </w:pPr>
      <w:r>
        <w:rPr>
          <w:b/>
        </w:rPr>
        <w:t xml:space="preserve">• </w:t>
      </w:r>
      <w:r>
        <w:t>Fresh local checks are mostly green: type-check, analytics tests, question-bank tests, RAG tests, and Simplified Chinese strict audit passed in this manual report run.</w:t>
      </w:r>
    </w:p>
    <w:p>
      <w:pPr>
        <w:ind w:left="360" w:hanging="259"/>
      </w:pPr>
      <w:r>
        <w:rPr>
          <w:b/>
        </w:rPr>
        <w:t xml:space="preserve">• </w:t>
      </w:r>
      <w:r>
        <w:t>Two current red gates need action: SimpleTex APP credentials are rejected upstream, and `npm run test:mvp` now fails one bilingual grading alias case for `supp-p2-multiplication-foundations-key-fact: 4 x 6`.</w:t>
      </w:r>
    </w:p>
    <w:p>
      <w:pPr>
        <w:ind w:left="360" w:hanging="259"/>
      </w:pPr>
      <w:r>
        <w:rPr>
          <w:b/>
        </w:rPr>
        <w:t xml:space="preserve">• </w:t>
      </w:r>
      <w:r>
        <w:t>A fresh production build also failed locally with `ERR_INVALID_PACKAGE_CONFIG` in a Next compiled dependency package config, so build-environment repair should be treated as a tooling blocker before release confidence is claimed.</w:t>
      </w:r>
    </w:p>
    <w:p>
      <w:pPr>
        <w:ind w:left="360" w:hanging="259"/>
      </w:pPr>
      <w:r>
        <w:rPr>
          <w:b/>
        </w:rPr>
        <w:t xml:space="preserve">• </w:t>
      </w:r>
      <w:r>
        <w:t>Recommended owner decisions: rotate/verify SimpleTex credentials, authorize the focused S04/S18 grading-alias fix, authorize S10 dependency/build cleanup, and schedule production storage/provider/game smoke tests with redacted evidence.</w:t>
      </w:r>
    </w:p>
    <w:p>
      <w:pPr>
        <w:pStyle w:val="Heading1"/>
      </w:pPr>
      <w:r>
        <w:t>Reporting Window Summary</w:t>
      </w:r>
    </w:p>
    <w:tbl>
      <w:tblPr>
        <w:tblStyle w:val="TableGrid"/>
        <w:tblW w:type="dxa" w:w="9360"/>
        <w:tblLayout w:type="fixed"/>
        <w:tblLook w:firstColumn="1" w:firstRow="1" w:lastColumn="0" w:lastRow="0" w:noHBand="0" w:noVBand="1" w:val="04A0"/>
        <w:jc w:val="left"/>
        <w:tblInd w:w="120" w:type="dxa"/>
      </w:tblPr>
      <w:tblGrid>
        <w:gridCol w:w="2100"/>
        <w:gridCol w:w="7260"/>
      </w:tblGrid>
      <w:tr>
        <w:tc>
          <w:tcPr>
            <w:tcW w:type="dxa" w:w="2100"/>
            <w:tcMar>
              <w:top w:w="80" w:type="dxa"/>
              <w:bottom w:w="80" w:type="dxa"/>
              <w:start w:w="120" w:type="dxa"/>
              <w:end w:w="120" w:type="dxa"/>
            </w:tcMar>
            <w:shd w:fill="F2F4F7"/>
            <w:vAlign w:val="center"/>
          </w:tcPr>
          <w:p>
            <w:pPr>
              <w:pStyle w:val="TableBody"/>
              <w:spacing w:after="0" w:line="252" w:lineRule="auto"/>
            </w:pPr>
            <w:r/>
            <w:r>
              <w:rPr>
                <w:rFonts w:ascii="Calibri" w:hAnsi="Calibri" w:eastAsia="Microsoft YaHei"/>
                <w:b/>
                <w:color w:val="0B2545"/>
              </w:rPr>
              <w:t>Item</w:t>
            </w:r>
          </w:p>
        </w:tc>
        <w:tc>
          <w:tcPr>
            <w:tcW w:type="dxa" w:w="7260"/>
            <w:tcMar>
              <w:top w:w="80" w:type="dxa"/>
              <w:bottom w:w="80" w:type="dxa"/>
              <w:start w:w="120" w:type="dxa"/>
              <w:end w:w="120" w:type="dxa"/>
            </w:tcMar>
            <w:shd w:fill="F2F4F7"/>
            <w:vAlign w:val="center"/>
          </w:tcPr>
          <w:p>
            <w:pPr>
              <w:pStyle w:val="TableBody"/>
              <w:spacing w:after="0" w:line="252" w:lineRule="auto"/>
            </w:pPr>
            <w:r/>
            <w:r>
              <w:rPr>
                <w:rFonts w:ascii="Calibri" w:hAnsi="Calibri" w:eastAsia="Microsoft YaHei"/>
                <w:b/>
                <w:color w:val="0B2545"/>
              </w:rPr>
              <w:t>Summary</w:t>
            </w:r>
          </w:p>
        </w:tc>
      </w:tr>
      <w:tr>
        <w:tc>
          <w:tcPr>
            <w:tcW w:type="dxa" w:w="21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Assigned / active sessions observed</w:t>
            </w:r>
          </w:p>
        </w:tc>
        <w:tc>
          <w:tcPr>
            <w:tcW w:type="dxa" w:w="72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Active logs or reports: S01, S04, S08, S09, S10, S11, S12, S13, S14, S18, S19, S20. S15 was affected through S10 adaptive changes; S17 through an owner-approved S13 rewards localization exception.</w:t>
            </w:r>
          </w:p>
        </w:tc>
      </w:tr>
      <w:tr>
        <w:tc>
          <w:tcPr>
            <w:tcW w:type="dxa" w:w="21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Coordination highlights</w:t>
            </w:r>
          </w:p>
        </w:tc>
        <w:tc>
          <w:tcPr>
            <w:tcW w:type="dxa" w:w="72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S10 performed cross-workstream hardening; S11 surfaced teacher-console and OCR blockers; S12/S19 isolated SimpleTex to credentials; S18 confirmed conic fix and produced HK duplicate dossier.</w:t>
            </w:r>
          </w:p>
        </w:tc>
      </w:tr>
      <w:tr>
        <w:tc>
          <w:tcPr>
            <w:tcW w:type="dxa" w:w="21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No assigned work in this window</w:t>
            </w:r>
          </w:p>
        </w:tc>
        <w:tc>
          <w:tcPr>
            <w:tcW w:type="dxa" w:w="72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No. Multiple owner-directed and cross-session work packages were recorded.</w:t>
            </w:r>
          </w:p>
        </w:tc>
      </w:tr>
      <w:tr>
        <w:tc>
          <w:tcPr>
            <w:tcW w:type="dxa" w:w="21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Changed-file evidence</w:t>
            </w:r>
          </w:p>
        </w:tc>
        <w:tc>
          <w:tcPr>
            <w:tcW w:type="dxa" w:w="72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Mtime scan found broad source, test, report, and evidence changes in the formal window. Because the folder is not Git-backed, this report summarizes by source ownership rather than claiming an exact Git diff.</w:t>
            </w:r>
          </w:p>
        </w:tc>
      </w:tr>
    </w:tbl>
    <w:p>
      <w:pPr>
        <w:pStyle w:val="SmallNote"/>
      </w:pPr>
    </w:p>
    <w:p>
      <w:pPr>
        <w:pStyle w:val="Heading1"/>
      </w:pPr>
      <w:r>
        <w:t>Project Progress</w:t>
      </w:r>
    </w:p>
    <w:p>
      <w:pPr>
        <w:ind w:left="360" w:hanging="259"/>
      </w:pPr>
      <w:r>
        <w:rPr>
          <w:b/>
        </w:rPr>
        <w:t xml:space="preserve">• </w:t>
      </w:r>
      <w:r>
        <w:t>Release hardening improved materially: deterministic type checks, local backend smoke, teacher console route/form fixes, storage readiness endpoint, adaptive contract fields, RAG filtering, and AI Tutor safe evidence plumbing were added or verified.</w:t>
      </w:r>
    </w:p>
    <w:p>
      <w:pPr>
        <w:ind w:left="360" w:hanging="259"/>
      </w:pPr>
      <w:r>
        <w:rPr>
          <w:b/>
        </w:rPr>
        <w:t xml:space="preserve">• </w:t>
      </w:r>
      <w:r>
        <w:t>Learning content quality improved: the Mainland PEP conic answer-key blocker was fixed and rereviewed, while HK duplicate question candidates were documented and Category A same-answer duplicates were rewritten by S04 after Dr. Phoebe’s decision.</w:t>
      </w:r>
    </w:p>
    <w:p>
      <w:pPr>
        <w:ind w:left="360" w:hanging="259"/>
      </w:pPr>
      <w:r>
        <w:rPr>
          <w:b/>
        </w:rPr>
        <w:t xml:space="preserve">• </w:t>
      </w:r>
      <w:r>
        <w:t>User experience polish continued: student lesson entry now uses direct recommended lesson links; parent console duplicate controls were removed; teacher rewards and teacher UI Chinese labels were localized; home icon assets were internally recentered without moving their card boxes.</w:t>
      </w:r>
    </w:p>
    <w:p>
      <w:pPr>
        <w:ind w:left="360" w:hanging="259"/>
      </w:pPr>
      <w:r>
        <w:rPr>
          <w:b/>
        </w:rPr>
        <w:t xml:space="preserve">• </w:t>
      </w:r>
      <w:r>
        <w:t>Production readiness is not yet green: live SimpleTex/OCR remains blocked by credentials, production storage is not verified, deployed game smoke is not recorded, current MVP gate is red, and current build command is red in this manual run.</w:t>
      </w:r>
    </w:p>
    <w:p>
      <w:pPr>
        <w:pStyle w:val="Heading1"/>
      </w:pPr>
      <w:r>
        <w:t>Session Results</w:t>
      </w:r>
    </w:p>
    <w:tbl>
      <w:tblPr>
        <w:tblStyle w:val="TableGrid"/>
        <w:tblW w:type="dxa" w:w="9360"/>
        <w:tblLayout w:type="fixed"/>
        <w:tblLook w:firstColumn="1" w:firstRow="1" w:lastColumn="0" w:lastRow="0" w:noHBand="0" w:noVBand="1" w:val="04A0"/>
        <w:jc w:val="left"/>
        <w:tblInd w:w="120" w:type="dxa"/>
      </w:tblPr>
      <w:tblGrid>
        <w:gridCol w:w="720"/>
        <w:gridCol w:w="1350"/>
        <w:gridCol w:w="3950"/>
        <w:gridCol w:w="3340"/>
      </w:tblGrid>
      <w:tr>
        <w:tc>
          <w:tcPr>
            <w:tcW w:type="dxa" w:w="720"/>
            <w:tcMar>
              <w:top w:w="80" w:type="dxa"/>
              <w:bottom w:w="80" w:type="dxa"/>
              <w:start w:w="120" w:type="dxa"/>
              <w:end w:w="120" w:type="dxa"/>
            </w:tcMar>
            <w:shd w:fill="F2F4F7"/>
            <w:vAlign w:val="center"/>
          </w:tcPr>
          <w:p>
            <w:pPr>
              <w:pStyle w:val="TableBody"/>
              <w:spacing w:after="0" w:line="252" w:lineRule="auto"/>
            </w:pPr>
            <w:r/>
            <w:r>
              <w:rPr>
                <w:rFonts w:ascii="Calibri" w:hAnsi="Calibri" w:eastAsia="Microsoft YaHei"/>
                <w:b/>
                <w:color w:val="0B2545"/>
              </w:rPr>
              <w:t>Session</w:t>
            </w:r>
          </w:p>
        </w:tc>
        <w:tc>
          <w:tcPr>
            <w:tcW w:type="dxa" w:w="1350"/>
            <w:tcMar>
              <w:top w:w="80" w:type="dxa"/>
              <w:bottom w:w="80" w:type="dxa"/>
              <w:start w:w="120" w:type="dxa"/>
              <w:end w:w="120" w:type="dxa"/>
            </w:tcMar>
            <w:shd w:fill="F2F4F7"/>
            <w:vAlign w:val="center"/>
          </w:tcPr>
          <w:p>
            <w:pPr>
              <w:pStyle w:val="TableBody"/>
              <w:spacing w:after="0" w:line="252" w:lineRule="auto"/>
            </w:pPr>
            <w:r/>
            <w:r>
              <w:rPr>
                <w:rFonts w:ascii="Calibri" w:hAnsi="Calibri" w:eastAsia="Microsoft YaHei"/>
                <w:b/>
                <w:color w:val="0B2545"/>
              </w:rPr>
              <w:t>Status</w:t>
            </w:r>
          </w:p>
        </w:tc>
        <w:tc>
          <w:tcPr>
            <w:tcW w:type="dxa" w:w="3950"/>
            <w:tcMar>
              <w:top w:w="80" w:type="dxa"/>
              <w:bottom w:w="80" w:type="dxa"/>
              <w:start w:w="120" w:type="dxa"/>
              <w:end w:w="120" w:type="dxa"/>
            </w:tcMar>
            <w:shd w:fill="F2F4F7"/>
            <w:vAlign w:val="center"/>
          </w:tcPr>
          <w:p>
            <w:pPr>
              <w:pStyle w:val="TableBody"/>
              <w:spacing w:after="0" w:line="252" w:lineRule="auto"/>
            </w:pPr>
            <w:r/>
            <w:r>
              <w:rPr>
                <w:rFonts w:ascii="Calibri" w:hAnsi="Calibri" w:eastAsia="Microsoft YaHei"/>
                <w:b/>
                <w:color w:val="0B2545"/>
              </w:rPr>
              <w:t>Completed / Current State</w:t>
            </w:r>
          </w:p>
        </w:tc>
        <w:tc>
          <w:tcPr>
            <w:tcW w:type="dxa" w:w="3340"/>
            <w:tcMar>
              <w:top w:w="80" w:type="dxa"/>
              <w:bottom w:w="80" w:type="dxa"/>
              <w:start w:w="120" w:type="dxa"/>
              <w:end w:w="120" w:type="dxa"/>
            </w:tcMar>
            <w:shd w:fill="F2F4F7"/>
            <w:vAlign w:val="center"/>
          </w:tcPr>
          <w:p>
            <w:pPr>
              <w:pStyle w:val="TableBody"/>
              <w:spacing w:after="0" w:line="252" w:lineRule="auto"/>
            </w:pPr>
            <w:r/>
            <w:r>
              <w:rPr>
                <w:rFonts w:ascii="Calibri" w:hAnsi="Calibri" w:eastAsia="Microsoft YaHei"/>
                <w:b/>
                <w:color w:val="0B2545"/>
              </w:rPr>
              <w:t>Checks / Risk</w:t>
            </w:r>
          </w:p>
        </w:tc>
      </w:tr>
      <w:tr>
        <w:tc>
          <w:tcPr>
            <w:tcW w:type="dxa" w:w="72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S01</w:t>
            </w:r>
          </w:p>
        </w:tc>
        <w:tc>
          <w:tcPr>
            <w:tcW w:type="dxa" w:w="13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Completed / several owner reverts</w:t>
            </w:r>
          </w:p>
        </w:tc>
        <w:tc>
          <w:tcPr>
            <w:tcW w:type="dxa" w:w="39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Home icon asset recentering, footer alignment, login copy/grade-label polish; rejected whole-image icon moves were reverted.</w:t>
            </w:r>
          </w:p>
        </w:tc>
        <w:tc>
          <w:tcPr>
            <w:tcW w:type="dxa" w:w="334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`type-check` and browser checks reported passed in session logs; low visual risk.</w:t>
            </w:r>
          </w:p>
        </w:tc>
      </w:tr>
      <w:tr>
        <w:tc>
          <w:tcPr>
            <w:tcW w:type="dxa" w:w="72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S02</w:t>
            </w:r>
          </w:p>
        </w:tc>
        <w:tc>
          <w:tcPr>
            <w:tcW w:type="dxa" w:w="13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No fresh own log</w:t>
            </w:r>
          </w:p>
        </w:tc>
        <w:tc>
          <w:tcPr>
            <w:tcW w:type="dxa" w:w="39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Dashboard/progress touched indirectly by S08/S10/S09 findings.</w:t>
            </w:r>
          </w:p>
        </w:tc>
        <w:tc>
          <w:tcPr>
            <w:tcW w:type="dxa" w:w="334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Needs follow-up for student Chinese status/trend labels.</w:t>
            </w:r>
          </w:p>
        </w:tc>
      </w:tr>
      <w:tr>
        <w:tc>
          <w:tcPr>
            <w:tcW w:type="dxa" w:w="72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S03</w:t>
            </w:r>
          </w:p>
        </w:tc>
        <w:tc>
          <w:tcPr>
            <w:tcW w:type="dxa" w:w="13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No fresh own log</w:t>
            </w:r>
          </w:p>
        </w:tc>
        <w:tc>
          <w:tcPr>
            <w:tcW w:type="dxa" w:w="39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Roadmap impacted only through S09 audit recommendations.</w:t>
            </w:r>
          </w:p>
        </w:tc>
        <w:tc>
          <w:tcPr>
            <w:tcW w:type="dxa" w:w="334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Low-frequency visualization fallback copy remains P2.</w:t>
            </w:r>
          </w:p>
        </w:tc>
      </w:tr>
      <w:tr>
        <w:tc>
          <w:tcPr>
            <w:tcW w:type="dxa" w:w="72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S04</w:t>
            </w:r>
          </w:p>
        </w:tc>
        <w:tc>
          <w:tcPr>
            <w:tcW w:type="dxa" w:w="13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Completed</w:t>
            </w:r>
          </w:p>
        </w:tc>
        <w:tc>
          <w:tcPr>
            <w:tcW w:type="dxa" w:w="39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Fixed Mainland conic answers and rewrote 40 HK Category A supplemental duplicate questions.</w:t>
            </w:r>
          </w:p>
        </w:tc>
        <w:tc>
          <w:tcPr>
            <w:tcW w:type="dxa" w:w="334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`test:question-bank` passed 11/11; fresh `test:mvp` now exposes one grading-alias issue likely in HK question data.</w:t>
            </w:r>
          </w:p>
        </w:tc>
      </w:tr>
      <w:tr>
        <w:tc>
          <w:tcPr>
            <w:tcW w:type="dxa" w:w="72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S05</w:t>
            </w:r>
          </w:p>
        </w:tc>
        <w:tc>
          <w:tcPr>
            <w:tcW w:type="dxa" w:w="13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No fresh own log</w:t>
            </w:r>
          </w:p>
        </w:tc>
        <w:tc>
          <w:tcPr>
            <w:tcW w:type="dxa" w:w="39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Lesson entry behavior changed by owner-approved S10 performance work.</w:t>
            </w:r>
          </w:p>
        </w:tc>
        <w:tc>
          <w:tcPr>
            <w:tcW w:type="dxa" w:w="334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S05 should note `/lesson` compatibility/direct slug behavior.</w:t>
            </w:r>
          </w:p>
        </w:tc>
      </w:tr>
      <w:tr>
        <w:tc>
          <w:tcPr>
            <w:tcW w:type="dxa" w:w="72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S06</w:t>
            </w:r>
          </w:p>
        </w:tc>
        <w:tc>
          <w:tcPr>
            <w:tcW w:type="dxa" w:w="13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No fresh own log</w:t>
            </w:r>
          </w:p>
        </w:tc>
        <w:tc>
          <w:tcPr>
            <w:tcW w:type="dxa" w:w="39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Visualization copy only surfaced by S09 audit.</w:t>
            </w:r>
          </w:p>
        </w:tc>
        <w:tc>
          <w:tcPr>
            <w:tcW w:type="dxa" w:w="334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P2 geometry/fallback localization remains optional follow-up.</w:t>
            </w:r>
          </w:p>
        </w:tc>
      </w:tr>
      <w:tr>
        <w:tc>
          <w:tcPr>
            <w:tcW w:type="dxa" w:w="72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S07</w:t>
            </w:r>
          </w:p>
        </w:tc>
        <w:tc>
          <w:tcPr>
            <w:tcW w:type="dxa" w:w="13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No fresh own log</w:t>
            </w:r>
          </w:p>
        </w:tc>
        <w:tc>
          <w:tcPr>
            <w:tcW w:type="dxa" w:w="39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AI Tutor route/provider context touched by S08/S10/S12; SimpleTex still needs provider follow-up after credentials.</w:t>
            </w:r>
          </w:p>
        </w:tc>
        <w:tc>
          <w:tcPr>
            <w:tcW w:type="dxa" w:w="334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No live LLM/provider smoke run.</w:t>
            </w:r>
          </w:p>
        </w:tc>
      </w:tr>
      <w:tr>
        <w:tc>
          <w:tcPr>
            <w:tcW w:type="dxa" w:w="72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S08</w:t>
            </w:r>
          </w:p>
        </w:tc>
        <w:tc>
          <w:tcPr>
            <w:tcW w:type="dxa" w:w="13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Completed</w:t>
            </w:r>
          </w:p>
        </w:tc>
        <w:tc>
          <w:tcPr>
            <w:tcW w:type="dxa" w:w="39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Added HK/Mainland demo teacher accounts and updated shared login/provider/account references.</w:t>
            </w:r>
          </w:p>
        </w:tc>
        <w:tc>
          <w:tcPr>
            <w:tcW w:type="dxa" w:w="334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`type-check` and `build` passed in log; full Playwright not run due browser environment.</w:t>
            </w:r>
          </w:p>
        </w:tc>
      </w:tr>
      <w:tr>
        <w:tc>
          <w:tcPr>
            <w:tcW w:type="dxa" w:w="72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S09</w:t>
            </w:r>
          </w:p>
        </w:tc>
        <w:tc>
          <w:tcPr>
            <w:tcW w:type="dxa" w:w="13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Completed</w:t>
            </w:r>
          </w:p>
        </w:tc>
        <w:tc>
          <w:tcPr>
            <w:tcW w:type="dxa" w:w="39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Student Chinese/English i18n audits and fixes; login labels, grade labels, IP-warning translations.</w:t>
            </w:r>
          </w:p>
        </w:tc>
        <w:tc>
          <w:tcPr>
            <w:tcW w:type="dxa" w:w="334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`audit:zh-hans:strict` fresh pass with 0 critical/warnings; many advisories remain.</w:t>
            </w:r>
          </w:p>
        </w:tc>
      </w:tr>
      <w:tr>
        <w:tc>
          <w:tcPr>
            <w:tcW w:type="dxa" w:w="72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S10</w:t>
            </w:r>
          </w:p>
        </w:tc>
        <w:tc>
          <w:tcPr>
            <w:tcW w:type="dxa" w:w="13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Completed / report owner</w:t>
            </w:r>
          </w:p>
        </w:tc>
        <w:tc>
          <w:tcPr>
            <w:tcW w:type="dxa" w:w="39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Prior reports, five-day analysis, release hardening, lesson-entry speedups, safe RAG ingest, current manual president report.</w:t>
            </w:r>
          </w:p>
        </w:tc>
        <w:tc>
          <w:tcPr>
            <w:tcW w:type="dxa" w:w="334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Earlier gates passed in logs; fresh build now red due local Next dependency package-config error.</w:t>
            </w:r>
          </w:p>
        </w:tc>
      </w:tr>
      <w:tr>
        <w:tc>
          <w:tcPr>
            <w:tcW w:type="dxa" w:w="72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S11</w:t>
            </w:r>
          </w:p>
        </w:tc>
        <w:tc>
          <w:tcPr>
            <w:tcW w:type="dxa" w:w="13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Completed / one blocked path</w:t>
            </w:r>
          </w:p>
        </w:tc>
        <w:tc>
          <w:tcPr>
            <w:tcW w:type="dxa" w:w="39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SimpleTex OCR QA, student/teacher/parent E2E matrices, screenshots; teacher defects surfaced and later patched by S10/S13.</w:t>
            </w:r>
          </w:p>
        </w:tc>
        <w:tc>
          <w:tcPr>
            <w:tcW w:type="dxa" w:w="334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Student and parent targeted tests passed; SimpleTex matrix blocked by credentials.</w:t>
            </w:r>
          </w:p>
        </w:tc>
      </w:tr>
      <w:tr>
        <w:tc>
          <w:tcPr>
            <w:tcW w:type="dxa" w:w="72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S12</w:t>
            </w:r>
          </w:p>
        </w:tc>
        <w:tc>
          <w:tcPr>
            <w:tcW w:type="dxa" w:w="13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Completed but blocked on external credential</w:t>
            </w:r>
          </w:p>
        </w:tc>
        <w:tc>
          <w:tcPr>
            <w:tcW w:type="dxa" w:w="39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Demo account renames; SimpleTex signing helper and route hardening with deterministic tests.</w:t>
            </w:r>
          </w:p>
        </w:tc>
        <w:tc>
          <w:tcPr>
            <w:tcW w:type="dxa" w:w="334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Helper tests/type/build passed in log; direct provider smoke still 401 invalid credentials.</w:t>
            </w:r>
          </w:p>
        </w:tc>
      </w:tr>
      <w:tr>
        <w:tc>
          <w:tcPr>
            <w:tcW w:type="dxa" w:w="72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S13</w:t>
            </w:r>
          </w:p>
        </w:tc>
        <w:tc>
          <w:tcPr>
            <w:tcW w:type="dxa" w:w="13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Completed</w:t>
            </w:r>
          </w:p>
        </w:tc>
        <w:tc>
          <w:tcPr>
            <w:tcW w:type="dxa" w:w="39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Teacher Chinese UI localization and missing assignment route; owner-approved rewards panel localization.</w:t>
            </w:r>
          </w:p>
        </w:tc>
        <w:tc>
          <w:tcPr>
            <w:tcW w:type="dxa" w:w="334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`type-check`, `build`, and Playwright/Chrome smokes passed in log; S17 blocker resolved.</w:t>
            </w:r>
          </w:p>
        </w:tc>
      </w:tr>
      <w:tr>
        <w:tc>
          <w:tcPr>
            <w:tcW w:type="dxa" w:w="72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S14</w:t>
            </w:r>
          </w:p>
        </w:tc>
        <w:tc>
          <w:tcPr>
            <w:tcW w:type="dxa" w:w="13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Completed</w:t>
            </w:r>
          </w:p>
        </w:tc>
        <w:tc>
          <w:tcPr>
            <w:tcW w:type="dxa" w:w="39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Removed duplicate parent language/theme controls; fixed parent report fallback copy for English/Simplified Chinese.</w:t>
            </w:r>
          </w:p>
        </w:tc>
        <w:tc>
          <w:tcPr>
            <w:tcW w:type="dxa" w:w="334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`type-check`, `build`, and browser verification passed in log.</w:t>
            </w:r>
          </w:p>
        </w:tc>
      </w:tr>
      <w:tr>
        <w:tc>
          <w:tcPr>
            <w:tcW w:type="dxa" w:w="72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S15</w:t>
            </w:r>
          </w:p>
        </w:tc>
        <w:tc>
          <w:tcPr>
            <w:tcW w:type="dxa" w:w="13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No fresh own log</w:t>
            </w:r>
          </w:p>
        </w:tc>
        <w:tc>
          <w:tcPr>
            <w:tcW w:type="dxa" w:w="39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Adaptive semantics touched through S10 release hardening (`evidenceCount`, `guardFlags`, `nextReviewAt`).</w:t>
            </w:r>
          </w:p>
        </w:tc>
        <w:tc>
          <w:tcPr>
            <w:tcW w:type="dxa" w:w="334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Fresh `test:analytics` passed 21/21.</w:t>
            </w:r>
          </w:p>
        </w:tc>
      </w:tr>
      <w:tr>
        <w:tc>
          <w:tcPr>
            <w:tcW w:type="dxa" w:w="72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S16</w:t>
            </w:r>
          </w:p>
        </w:tc>
        <w:tc>
          <w:tcPr>
            <w:tcW w:type="dxa" w:w="13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No fresh own log</w:t>
            </w:r>
          </w:p>
        </w:tc>
        <w:tc>
          <w:tcPr>
            <w:tcW w:type="dxa" w:w="39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HK EDB materials classification / safe-RAG decision recorded in coordination materials.</w:t>
            </w:r>
          </w:p>
        </w:tc>
        <w:tc>
          <w:tcPr>
            <w:tcW w:type="dxa" w:w="334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Research/documentation-only; safe boundary documented.</w:t>
            </w:r>
          </w:p>
        </w:tc>
      </w:tr>
      <w:tr>
        <w:tc>
          <w:tcPr>
            <w:tcW w:type="dxa" w:w="72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S17</w:t>
            </w:r>
          </w:p>
        </w:tc>
        <w:tc>
          <w:tcPr>
            <w:tcW w:type="dxa" w:w="13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No fresh own log</w:t>
            </w:r>
          </w:p>
        </w:tc>
        <w:tc>
          <w:tcPr>
            <w:tcW w:type="dxa" w:w="39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Teacher rewards gamification localization patched by S13 with owner exception.</w:t>
            </w:r>
          </w:p>
        </w:tc>
        <w:tc>
          <w:tcPr>
            <w:tcW w:type="dxa" w:w="334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No dedicated reward-economy regression beyond S13 checks.</w:t>
            </w:r>
          </w:p>
        </w:tc>
      </w:tr>
      <w:tr>
        <w:tc>
          <w:tcPr>
            <w:tcW w:type="dxa" w:w="72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S18</w:t>
            </w:r>
          </w:p>
        </w:tc>
        <w:tc>
          <w:tcPr>
            <w:tcW w:type="dxa" w:w="13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Completed</w:t>
            </w:r>
          </w:p>
        </w:tc>
        <w:tc>
          <w:tcPr>
            <w:tcW w:type="dxa" w:w="39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Conic answer-key rereview passed; HK duplicate dossier produced for Dr. Phoebe.</w:t>
            </w:r>
          </w:p>
        </w:tc>
        <w:tc>
          <w:tcPr>
            <w:tcW w:type="dxa" w:w="334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Content QA reports complete; remaining six Category B duplicate-answer conflicts need expert decision.</w:t>
            </w:r>
          </w:p>
        </w:tc>
      </w:tr>
      <w:tr>
        <w:tc>
          <w:tcPr>
            <w:tcW w:type="dxa" w:w="72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S19</w:t>
            </w:r>
          </w:p>
        </w:tc>
        <w:tc>
          <w:tcPr>
            <w:tcW w:type="dxa" w:w="13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Blocked</w:t>
            </w:r>
          </w:p>
        </w:tc>
        <w:tc>
          <w:tcPr>
            <w:tcW w:type="dxa" w:w="39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Configured local SimpleTex env variables and restarted local server.</w:t>
            </w:r>
          </w:p>
        </w:tc>
        <w:tc>
          <w:tcPr>
            <w:tcW w:type="dxa" w:w="334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Credentials present but upstream rejects APP pair with 401 invalid credentials.</w:t>
            </w:r>
          </w:p>
        </w:tc>
      </w:tr>
      <w:tr>
        <w:tc>
          <w:tcPr>
            <w:tcW w:type="dxa" w:w="72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S20</w:t>
            </w:r>
          </w:p>
        </w:tc>
        <w:tc>
          <w:tcPr>
            <w:tcW w:type="dxa" w:w="13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Completed</w:t>
            </w:r>
          </w:p>
        </w:tc>
        <w:tc>
          <w:tcPr>
            <w:tcW w:type="dxa" w:w="39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Adventure Island 100-run rule QA, mobile touch target improvement, trophy requirement clarity.</w:t>
            </w:r>
          </w:p>
        </w:tc>
        <w:tc>
          <w:tcPr>
            <w:tcW w:type="dxa" w:w="334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Targeted type/build/e2e passed in logs; some unprefixed Playwright startup flake noted.</w:t>
            </w:r>
          </w:p>
        </w:tc>
      </w:tr>
    </w:tbl>
    <w:p>
      <w:pPr>
        <w:pStyle w:val="SmallNote"/>
      </w:pPr>
    </w:p>
    <w:p>
      <w:pPr>
        <w:pStyle w:val="Heading1"/>
      </w:pPr>
      <w:r>
        <w:t>Completed Work</w:t>
      </w:r>
    </w:p>
    <w:p>
      <w:pPr>
        <w:ind w:left="360" w:hanging="259"/>
      </w:pPr>
      <w:r>
        <w:rPr>
          <w:b/>
        </w:rPr>
        <w:t xml:space="preserve">• </w:t>
      </w:r>
      <w:r>
        <w:t>Release hardening: deterministic TypeScript checks, teacher console route/form/report fixes, admin storage health endpoint, adaptive response fields, backend smoke coverage, and release-readiness matrix.</w:t>
      </w:r>
    </w:p>
    <w:p>
      <w:pPr>
        <w:ind w:left="360" w:hanging="259"/>
      </w:pPr>
      <w:r>
        <w:rPr>
          <w:b/>
        </w:rPr>
        <w:t xml:space="preserve">• </w:t>
      </w:r>
      <w:r>
        <w:t>Question/content quality: S04 corrected 34 Mainland conic answer keys and S18 rereviewed all 34 as pass; S04 rewrote 40 HK same-answer supplemental duplicates after expert decision.</w:t>
      </w:r>
    </w:p>
    <w:p>
      <w:pPr>
        <w:ind w:left="360" w:hanging="259"/>
      </w:pPr>
      <w:r>
        <w:rPr>
          <w:b/>
        </w:rPr>
        <w:t xml:space="preserve">• </w:t>
      </w:r>
      <w:r>
        <w:t>RAG safety: Mainland high-school archive absorbed as metadata/safe-card abstractions; HK EDB 20-PDF bundle classified with a no-body-text safe-RAG decision.</w:t>
      </w:r>
    </w:p>
    <w:p>
      <w:pPr>
        <w:ind w:left="360" w:hanging="259"/>
      </w:pPr>
      <w:r>
        <w:rPr>
          <w:b/>
        </w:rPr>
        <w:t xml:space="preserve">• </w:t>
      </w:r>
      <w:r>
        <w:t>I18n/accessibility: S09 audited student Chinese leakage and fixed confirmed English-mode Chinese leakage; S13/S14 improved teacher/parent Chinese and fallback behavior.</w:t>
      </w:r>
    </w:p>
    <w:p>
      <w:pPr>
        <w:ind w:left="360" w:hanging="259"/>
      </w:pPr>
      <w:r>
        <w:rPr>
          <w:b/>
        </w:rPr>
        <w:t xml:space="preserve">• </w:t>
      </w:r>
      <w:r>
        <w:t>UX/performance: direct guest/student lesson entry links reduce `/lesson` detours; parent duplicate controls removed; Adventure Island mobile controls and objective clarity improved.</w:t>
      </w:r>
    </w:p>
    <w:p>
      <w:pPr>
        <w:ind w:left="360" w:hanging="259"/>
      </w:pPr>
      <w:r>
        <w:rPr>
          <w:b/>
        </w:rPr>
        <w:t xml:space="preserve">• </w:t>
      </w:r>
      <w:r>
        <w:t>QA coverage: S11 added student button/dropdown matrix and parent navigation smoke; teacher matrix exposed defects that were addressed in later owner-approved work.</w:t>
      </w:r>
    </w:p>
    <w:p>
      <w:pPr>
        <w:pStyle w:val="Heading1"/>
      </w:pPr>
      <w:r>
        <w:t>In-Progress / Blocked Work</w:t>
      </w:r>
    </w:p>
    <w:p>
      <w:pPr>
        <w:ind w:left="360" w:hanging="259"/>
      </w:pPr>
      <w:r>
        <w:rPr>
          <w:b/>
        </w:rPr>
        <w:t xml:space="preserve">• </w:t>
      </w:r>
      <w:r>
        <w:t>SimpleTex OCR remains blocked: current APP credentials are present locally but rejected by SimpleTex as `401 req_unauthorized / invalid credentials`.</w:t>
      </w:r>
    </w:p>
    <w:p>
      <w:pPr>
        <w:ind w:left="360" w:hanging="259"/>
      </w:pPr>
      <w:r>
        <w:rPr>
          <w:b/>
        </w:rPr>
        <w:t xml:space="preserve">• </w:t>
      </w:r>
      <w:r>
        <w:t>Fresh `npm run test:mvp` is red: one P2 multiplication supplemental question answer `4 x 6` lacks required Chinese aliases for bilingual grading.</w:t>
      </w:r>
    </w:p>
    <w:p>
      <w:pPr>
        <w:ind w:left="360" w:hanging="259"/>
      </w:pPr>
      <w:r>
        <w:rPr>
          <w:b/>
        </w:rPr>
        <w:t xml:space="preserve">• </w:t>
      </w:r>
      <w:r>
        <w:t>Fresh `npm run build` is red: Next build failed with `ERR_INVALID_PACKAGE_CONFIG` while reading `node_modules/next/dist/compiled/strip-ansi/package.json`; local dependency/build environment needs repair.</w:t>
      </w:r>
    </w:p>
    <w:p>
      <w:pPr>
        <w:ind w:left="360" w:hanging="259"/>
      </w:pPr>
      <w:r>
        <w:rPr>
          <w:b/>
        </w:rPr>
        <w:t xml:space="preserve">• </w:t>
      </w:r>
      <w:r>
        <w:t>Production readiness remains incomplete: durable storage, live OCR/LLM provider smoke, and deployed game smoke still need owner-approved production context.</w:t>
      </w:r>
    </w:p>
    <w:p>
      <w:pPr>
        <w:pStyle w:val="Heading1"/>
      </w:pPr>
      <w:r>
        <w:t>Blockers And Risks</w:t>
      </w:r>
    </w:p>
    <w:tbl>
      <w:tblPr>
        <w:tblStyle w:val="TableGrid"/>
        <w:tblW w:type="dxa" w:w="9360"/>
        <w:tblLayout w:type="fixed"/>
        <w:tblLook w:firstColumn="1" w:firstRow="1" w:lastColumn="0" w:lastRow="0" w:noHBand="0" w:noVBand="1" w:val="04A0"/>
        <w:jc w:val="left"/>
        <w:tblInd w:w="120" w:type="dxa"/>
      </w:tblPr>
      <w:tblGrid>
        <w:gridCol w:w="850"/>
        <w:gridCol w:w="1600"/>
        <w:gridCol w:w="4150"/>
        <w:gridCol w:w="2760"/>
      </w:tblGrid>
      <w:tr>
        <w:tc>
          <w:tcPr>
            <w:tcW w:type="dxa" w:w="850"/>
            <w:tcMar>
              <w:top w:w="80" w:type="dxa"/>
              <w:bottom w:w="80" w:type="dxa"/>
              <w:start w:w="120" w:type="dxa"/>
              <w:end w:w="120" w:type="dxa"/>
            </w:tcMar>
            <w:shd w:fill="F2F4F7"/>
            <w:vAlign w:val="center"/>
          </w:tcPr>
          <w:p>
            <w:pPr>
              <w:pStyle w:val="TableBody"/>
              <w:spacing w:after="0" w:line="252" w:lineRule="auto"/>
            </w:pPr>
            <w:r/>
            <w:r>
              <w:rPr>
                <w:rFonts w:ascii="Calibri" w:hAnsi="Calibri" w:eastAsia="Microsoft YaHei"/>
                <w:b/>
                <w:color w:val="0B2545"/>
              </w:rPr>
              <w:t>Severity</w:t>
            </w:r>
          </w:p>
        </w:tc>
        <w:tc>
          <w:tcPr>
            <w:tcW w:type="dxa" w:w="1600"/>
            <w:tcMar>
              <w:top w:w="80" w:type="dxa"/>
              <w:bottom w:w="80" w:type="dxa"/>
              <w:start w:w="120" w:type="dxa"/>
              <w:end w:w="120" w:type="dxa"/>
            </w:tcMar>
            <w:shd w:fill="F2F4F7"/>
            <w:vAlign w:val="center"/>
          </w:tcPr>
          <w:p>
            <w:pPr>
              <w:pStyle w:val="TableBody"/>
              <w:spacing w:after="0" w:line="252" w:lineRule="auto"/>
            </w:pPr>
            <w:r/>
            <w:r>
              <w:rPr>
                <w:rFonts w:ascii="Calibri" w:hAnsi="Calibri" w:eastAsia="Microsoft YaHei"/>
                <w:b/>
                <w:color w:val="0B2545"/>
              </w:rPr>
              <w:t>Area</w:t>
            </w:r>
          </w:p>
        </w:tc>
        <w:tc>
          <w:tcPr>
            <w:tcW w:type="dxa" w:w="4150"/>
            <w:tcMar>
              <w:top w:w="80" w:type="dxa"/>
              <w:bottom w:w="80" w:type="dxa"/>
              <w:start w:w="120" w:type="dxa"/>
              <w:end w:w="120" w:type="dxa"/>
            </w:tcMar>
            <w:shd w:fill="F2F4F7"/>
            <w:vAlign w:val="center"/>
          </w:tcPr>
          <w:p>
            <w:pPr>
              <w:pStyle w:val="TableBody"/>
              <w:spacing w:after="0" w:line="252" w:lineRule="auto"/>
            </w:pPr>
            <w:r/>
            <w:r>
              <w:rPr>
                <w:rFonts w:ascii="Calibri" w:hAnsi="Calibri" w:eastAsia="Microsoft YaHei"/>
                <w:b/>
                <w:color w:val="0B2545"/>
              </w:rPr>
              <w:t>Evidence</w:t>
            </w:r>
          </w:p>
        </w:tc>
        <w:tc>
          <w:tcPr>
            <w:tcW w:type="dxa" w:w="2760"/>
            <w:tcMar>
              <w:top w:w="80" w:type="dxa"/>
              <w:bottom w:w="80" w:type="dxa"/>
              <w:start w:w="120" w:type="dxa"/>
              <w:end w:w="120" w:type="dxa"/>
            </w:tcMar>
            <w:shd w:fill="F2F4F7"/>
            <w:vAlign w:val="center"/>
          </w:tcPr>
          <w:p>
            <w:pPr>
              <w:pStyle w:val="TableBody"/>
              <w:spacing w:after="0" w:line="252" w:lineRule="auto"/>
            </w:pPr>
            <w:r/>
            <w:r>
              <w:rPr>
                <w:rFonts w:ascii="Calibri" w:hAnsi="Calibri" w:eastAsia="Microsoft YaHei"/>
                <w:b/>
                <w:color w:val="0B2545"/>
              </w:rPr>
              <w:t>Recommended owner path</w:t>
            </w:r>
          </w:p>
        </w:tc>
      </w:tr>
      <w:tr>
        <w:tc>
          <w:tcPr>
            <w:tcW w:type="dxa" w:w="8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Red</w:t>
            </w:r>
          </w:p>
        </w:tc>
        <w:tc>
          <w:tcPr>
            <w:tcW w:type="dxa" w:w="16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SimpleTex OCR credentials</w:t>
            </w:r>
          </w:p>
        </w:tc>
        <w:tc>
          <w:tcPr>
            <w:tcW w:type="dxa" w:w="41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S11/S12/S19: 20/20 UI attempts returned provider none; direct official-signing smoke returned 401 invalid credentials.</w:t>
            </w:r>
          </w:p>
        </w:tc>
        <w:tc>
          <w:tcPr>
            <w:tcW w:type="dxa" w:w="27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Owner/S19 verify or regenerate APP ID/Secret; S11 rerun 20-attempt matrix after direct provider smoke returns 200.</w:t>
            </w:r>
          </w:p>
        </w:tc>
      </w:tr>
      <w:tr>
        <w:tc>
          <w:tcPr>
            <w:tcW w:type="dxa" w:w="8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Red</w:t>
            </w:r>
          </w:p>
        </w:tc>
        <w:tc>
          <w:tcPr>
            <w:tcW w:type="dxa" w:w="16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Fresh MVP gate</w:t>
            </w:r>
          </w:p>
        </w:tc>
        <w:tc>
          <w:tcPr>
            <w:tcW w:type="dxa" w:w="41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`npm run test:mvp`: 21/22 pass; failing case `supp-p2-multiplication-foundations-key-fact: 4 x 6` lacks Chinese aliases.</w:t>
            </w:r>
          </w:p>
        </w:tc>
        <w:tc>
          <w:tcPr>
            <w:tcW w:type="dxa" w:w="27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Assign S04/S18 to add/verify aliases or adjust the question; rerun `test:mvp` and `test:question-bank`.</w:t>
            </w:r>
          </w:p>
        </w:tc>
      </w:tr>
      <w:tr>
        <w:tc>
          <w:tcPr>
            <w:tcW w:type="dxa" w:w="8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Red</w:t>
            </w:r>
          </w:p>
        </w:tc>
        <w:tc>
          <w:tcPr>
            <w:tcW w:type="dxa" w:w="16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Fresh build gate</w:t>
            </w:r>
          </w:p>
        </w:tc>
        <w:tc>
          <w:tcPr>
            <w:tcW w:type="dxa" w:w="41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`npm run build`: failed with `ERR_INVALID_PACKAGE_CONFIG` under Next compiled `strip-ansi` package config.</w:t>
            </w:r>
          </w:p>
        </w:tc>
        <w:tc>
          <w:tcPr>
            <w:tcW w:type="dxa" w:w="27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Assign S10 to inspect local dependencies/cache; avoid feature edits until build is green again.</w:t>
            </w:r>
          </w:p>
        </w:tc>
      </w:tr>
      <w:tr>
        <w:tc>
          <w:tcPr>
            <w:tcW w:type="dxa" w:w="8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Yellow</w:t>
            </w:r>
          </w:p>
        </w:tc>
        <w:tc>
          <w:tcPr>
            <w:tcW w:type="dxa" w:w="16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Production storage</w:t>
            </w:r>
          </w:p>
        </w:tc>
        <w:tc>
          <w:tcPr>
            <w:tcW w:type="dxa" w:w="41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Storage health endpoint exists, but deployed durable persistence was not verified.</w:t>
            </w:r>
          </w:p>
        </w:tc>
        <w:tc>
          <w:tcPr>
            <w:tcW w:type="dxa" w:w="27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S12/S19 verify production `HK_MATH_DB_PATH` or chosen durable store with redacted evidence.</w:t>
            </w:r>
          </w:p>
        </w:tc>
      </w:tr>
      <w:tr>
        <w:tc>
          <w:tcPr>
            <w:tcW w:type="dxa" w:w="8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Yellow</w:t>
            </w:r>
          </w:p>
        </w:tc>
        <w:tc>
          <w:tcPr>
            <w:tcW w:type="dxa" w:w="16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Chinese UI leakage</w:t>
            </w:r>
          </w:p>
        </w:tc>
        <w:tc>
          <w:tcPr>
            <w:tcW w:type="dxa" w:w="41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S09 report lists P0/P1 student-facing English tokens in practice attachment, AI Tutor attachment, status chips, rewards, game links.</w:t>
            </w:r>
          </w:p>
        </w:tc>
        <w:tc>
          <w:tcPr>
            <w:tcW w:type="dxa" w:w="27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Assign surface owners S04/S07/S02/S12/S17/S20 with S09 wording review.</w:t>
            </w:r>
          </w:p>
        </w:tc>
      </w:tr>
      <w:tr>
        <w:tc>
          <w:tcPr>
            <w:tcW w:type="dxa" w:w="8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Yellow</w:t>
            </w:r>
          </w:p>
        </w:tc>
        <w:tc>
          <w:tcPr>
            <w:tcW w:type="dxa" w:w="16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HK duplicate Category B</w:t>
            </w:r>
          </w:p>
        </w:tc>
        <w:tc>
          <w:tcPr>
            <w:tcW w:type="dxa" w:w="415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S18 dossier lists 6 same-prompt/different-answer HK pairs needing expert decision.</w:t>
            </w:r>
          </w:p>
        </w:tc>
        <w:tc>
          <w:tcPr>
            <w:tcW w:type="dxa" w:w="27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Dr. Phoebe marks decisions; S04/S18 coordinate rewrite or keep.</w:t>
            </w:r>
          </w:p>
        </w:tc>
      </w:tr>
    </w:tbl>
    <w:p>
      <w:pPr>
        <w:pStyle w:val="SmallNote"/>
      </w:pPr>
    </w:p>
    <w:p>
      <w:pPr>
        <w:pStyle w:val="Heading1"/>
      </w:pPr>
      <w:r>
        <w:t>Test And Build Status</w:t>
      </w:r>
    </w:p>
    <w:tbl>
      <w:tblPr>
        <w:tblStyle w:val="TableGrid"/>
        <w:tblW w:type="dxa" w:w="9360"/>
        <w:tblLayout w:type="fixed"/>
        <w:tblLook w:firstColumn="1" w:firstRow="1" w:lastColumn="0" w:lastRow="0" w:noHBand="0" w:noVBand="1" w:val="04A0"/>
        <w:jc w:val="left"/>
        <w:tblInd w:w="120" w:type="dxa"/>
      </w:tblPr>
      <w:tblGrid>
        <w:gridCol w:w="2600"/>
        <w:gridCol w:w="1800"/>
        <w:gridCol w:w="4960"/>
      </w:tblGrid>
      <w:tr>
        <w:tc>
          <w:tcPr>
            <w:tcW w:type="dxa" w:w="2600"/>
            <w:tcMar>
              <w:top w:w="80" w:type="dxa"/>
              <w:bottom w:w="80" w:type="dxa"/>
              <w:start w:w="120" w:type="dxa"/>
              <w:end w:w="120" w:type="dxa"/>
            </w:tcMar>
            <w:shd w:fill="F2F4F7"/>
            <w:vAlign w:val="center"/>
          </w:tcPr>
          <w:p>
            <w:pPr>
              <w:pStyle w:val="TableBody"/>
              <w:spacing w:after="0" w:line="252" w:lineRule="auto"/>
            </w:pPr>
            <w:r/>
            <w:r>
              <w:rPr>
                <w:rFonts w:ascii="Calibri" w:hAnsi="Calibri" w:eastAsia="Microsoft YaHei"/>
                <w:b/>
                <w:color w:val="0B2545"/>
              </w:rPr>
              <w:t>Check</w:t>
            </w:r>
          </w:p>
        </w:tc>
        <w:tc>
          <w:tcPr>
            <w:tcW w:type="dxa" w:w="1800"/>
            <w:tcMar>
              <w:top w:w="80" w:type="dxa"/>
              <w:bottom w:w="80" w:type="dxa"/>
              <w:start w:w="120" w:type="dxa"/>
              <w:end w:w="120" w:type="dxa"/>
            </w:tcMar>
            <w:shd w:fill="F2F4F7"/>
            <w:vAlign w:val="center"/>
          </w:tcPr>
          <w:p>
            <w:pPr>
              <w:pStyle w:val="TableBody"/>
              <w:spacing w:after="0" w:line="252" w:lineRule="auto"/>
            </w:pPr>
            <w:r/>
            <w:r>
              <w:rPr>
                <w:rFonts w:ascii="Calibri" w:hAnsi="Calibri" w:eastAsia="Microsoft YaHei"/>
                <w:b/>
                <w:color w:val="0B2545"/>
              </w:rPr>
              <w:t>Fresh/manual result</w:t>
            </w:r>
          </w:p>
        </w:tc>
        <w:tc>
          <w:tcPr>
            <w:tcW w:type="dxa" w:w="4960"/>
            <w:tcMar>
              <w:top w:w="80" w:type="dxa"/>
              <w:bottom w:w="80" w:type="dxa"/>
              <w:start w:w="120" w:type="dxa"/>
              <w:end w:w="120" w:type="dxa"/>
            </w:tcMar>
            <w:shd w:fill="F2F4F7"/>
            <w:vAlign w:val="center"/>
          </w:tcPr>
          <w:p>
            <w:pPr>
              <w:pStyle w:val="TableBody"/>
              <w:spacing w:after="0" w:line="252" w:lineRule="auto"/>
            </w:pPr>
            <w:r/>
            <w:r>
              <w:rPr>
                <w:rFonts w:ascii="Calibri" w:hAnsi="Calibri" w:eastAsia="Microsoft YaHei"/>
                <w:b/>
                <w:color w:val="0B2545"/>
              </w:rPr>
              <w:t>Notes</w:t>
            </w:r>
          </w:p>
        </w:tc>
      </w:tr>
      <w:tr>
        <w:tc>
          <w:tcPr>
            <w:tcW w:type="dxa" w:w="26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`npm run type-check`</w:t>
            </w:r>
          </w:p>
        </w:tc>
        <w:tc>
          <w:tcPr>
            <w:tcW w:type="dxa" w:w="18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Passed</w:t>
            </w:r>
          </w:p>
        </w:tc>
        <w:tc>
          <w:tcPr>
            <w:tcW w:type="dxa" w:w="49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Fresh manual run for this report.</w:t>
            </w:r>
          </w:p>
        </w:tc>
      </w:tr>
      <w:tr>
        <w:tc>
          <w:tcPr>
            <w:tcW w:type="dxa" w:w="26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`npm run test:analytics`</w:t>
            </w:r>
          </w:p>
        </w:tc>
        <w:tc>
          <w:tcPr>
            <w:tcW w:type="dxa" w:w="18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Passed, 21/21</w:t>
            </w:r>
          </w:p>
        </w:tc>
        <w:tc>
          <w:tcPr>
            <w:tcW w:type="dxa" w:w="49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Fresh manual run; adaptive and learning analytics tests green.</w:t>
            </w:r>
          </w:p>
        </w:tc>
      </w:tr>
      <w:tr>
        <w:tc>
          <w:tcPr>
            <w:tcW w:type="dxa" w:w="26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`npm run test:question-bank`</w:t>
            </w:r>
          </w:p>
        </w:tc>
        <w:tc>
          <w:tcPr>
            <w:tcW w:type="dxa" w:w="18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Passed, 11/11</w:t>
            </w:r>
          </w:p>
        </w:tc>
        <w:tc>
          <w:tcPr>
            <w:tcW w:type="dxa" w:w="49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Fresh manual run; conic and source-safety tests green.</w:t>
            </w:r>
          </w:p>
        </w:tc>
      </w:tr>
      <w:tr>
        <w:tc>
          <w:tcPr>
            <w:tcW w:type="dxa" w:w="26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`npm run test:rag`</w:t>
            </w:r>
          </w:p>
        </w:tc>
        <w:tc>
          <w:tcPr>
            <w:tcW w:type="dxa" w:w="18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Passed, 19/19</w:t>
            </w:r>
          </w:p>
        </w:tc>
        <w:tc>
          <w:tcPr>
            <w:tcW w:type="dxa" w:w="49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Fresh manual run; HK and Mainland safe-RAG tests green.</w:t>
            </w:r>
          </w:p>
        </w:tc>
      </w:tr>
      <w:tr>
        <w:tc>
          <w:tcPr>
            <w:tcW w:type="dxa" w:w="26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`npm run audit:zh-hans:strict`</w:t>
            </w:r>
          </w:p>
        </w:tc>
        <w:tc>
          <w:tcPr>
            <w:tcW w:type="dxa" w:w="18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Passed</w:t>
            </w:r>
          </w:p>
        </w:tc>
        <w:tc>
          <w:tcPr>
            <w:tcW w:type="dxa" w:w="49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Fresh manual run: 0 critical, 0 warnings, 3496 advisory items.</w:t>
            </w:r>
          </w:p>
        </w:tc>
      </w:tr>
      <w:tr>
        <w:tc>
          <w:tcPr>
            <w:tcW w:type="dxa" w:w="26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`npm run test:mvp`</w:t>
            </w:r>
          </w:p>
        </w:tc>
        <w:tc>
          <w:tcPr>
            <w:tcW w:type="dxa" w:w="18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Failed, 21/22</w:t>
            </w:r>
          </w:p>
        </w:tc>
        <w:tc>
          <w:tcPr>
            <w:tcW w:type="dxa" w:w="49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Fresh manual run; one bilingual grading alias failure for P2 multiplication supplemental answer `4 x 6`.</w:t>
            </w:r>
          </w:p>
        </w:tc>
      </w:tr>
      <w:tr>
        <w:tc>
          <w:tcPr>
            <w:tcW w:type="dxa" w:w="26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`npm run build`</w:t>
            </w:r>
          </w:p>
        </w:tc>
        <w:tc>
          <w:tcPr>
            <w:tcW w:type="dxa" w:w="18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Failed</w:t>
            </w:r>
          </w:p>
        </w:tc>
        <w:tc>
          <w:tcPr>
            <w:tcW w:type="dxa" w:w="49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Fresh manual run; `ERR_INVALID_PACKAGE_CONFIG` in Next compiled `strip-ansi` package config.</w:t>
            </w:r>
          </w:p>
        </w:tc>
      </w:tr>
      <w:tr>
        <w:tc>
          <w:tcPr>
            <w:tcW w:type="dxa" w:w="26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Targeted E2E from session logs</w:t>
            </w:r>
          </w:p>
        </w:tc>
        <w:tc>
          <w:tcPr>
            <w:tcW w:type="dxa" w:w="18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Mostly passed</w:t>
            </w:r>
          </w:p>
        </w:tc>
        <w:tc>
          <w:tcPr>
            <w:tcW w:type="dxa" w:w="49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S11/S13/S20 report passing targeted student, parent, teacher, and Adventure Island checks, with documented local startup flakes.</w:t>
            </w:r>
          </w:p>
        </w:tc>
      </w:tr>
    </w:tbl>
    <w:p>
      <w:pPr>
        <w:pStyle w:val="SmallNote"/>
      </w:pPr>
    </w:p>
    <w:p>
      <w:pPr>
        <w:pStyle w:val="Heading1"/>
      </w:pPr>
      <w:r>
        <w:t>Files Changed</w:t>
      </w:r>
    </w:p>
    <w:tbl>
      <w:tblPr>
        <w:tblStyle w:val="TableGrid"/>
        <w:tblW w:type="dxa" w:w="9360"/>
        <w:tblLayout w:type="fixed"/>
        <w:tblLook w:firstColumn="1" w:firstRow="1" w:lastColumn="0" w:lastRow="0" w:noHBand="0" w:noVBand="1" w:val="04A0"/>
        <w:jc w:val="left"/>
        <w:tblInd w:w="120" w:type="dxa"/>
      </w:tblPr>
      <w:tblGrid>
        <w:gridCol w:w="2100"/>
        <w:gridCol w:w="7260"/>
      </w:tblGrid>
      <w:tr>
        <w:tc>
          <w:tcPr>
            <w:tcW w:type="dxa" w:w="2100"/>
            <w:tcMar>
              <w:top w:w="80" w:type="dxa"/>
              <w:bottom w:w="80" w:type="dxa"/>
              <w:start w:w="120" w:type="dxa"/>
              <w:end w:w="120" w:type="dxa"/>
            </w:tcMar>
            <w:shd w:fill="F2F4F7"/>
            <w:vAlign w:val="center"/>
          </w:tcPr>
          <w:p>
            <w:pPr>
              <w:pStyle w:val="TableBody"/>
              <w:spacing w:after="0" w:line="252" w:lineRule="auto"/>
            </w:pPr>
            <w:r/>
            <w:r>
              <w:rPr>
                <w:rFonts w:ascii="Calibri" w:hAnsi="Calibri" w:eastAsia="Microsoft YaHei"/>
                <w:b/>
                <w:color w:val="0B2545"/>
              </w:rPr>
              <w:t>Area</w:t>
            </w:r>
          </w:p>
        </w:tc>
        <w:tc>
          <w:tcPr>
            <w:tcW w:type="dxa" w:w="7260"/>
            <w:tcMar>
              <w:top w:w="80" w:type="dxa"/>
              <w:bottom w:w="80" w:type="dxa"/>
              <w:start w:w="120" w:type="dxa"/>
              <w:end w:w="120" w:type="dxa"/>
            </w:tcMar>
            <w:shd w:fill="F2F4F7"/>
            <w:vAlign w:val="center"/>
          </w:tcPr>
          <w:p>
            <w:pPr>
              <w:pStyle w:val="TableBody"/>
              <w:spacing w:after="0" w:line="252" w:lineRule="auto"/>
            </w:pPr>
            <w:r/>
            <w:r>
              <w:rPr>
                <w:rFonts w:ascii="Calibri" w:hAnsi="Calibri" w:eastAsia="Microsoft YaHei"/>
                <w:b/>
                <w:color w:val="0B2545"/>
              </w:rPr>
              <w:t>Representative files / artifacts</w:t>
            </w:r>
          </w:p>
        </w:tc>
      </w:tr>
      <w:tr>
        <w:tc>
          <w:tcPr>
            <w:tcW w:type="dxa" w:w="21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App routes and API</w:t>
            </w:r>
          </w:p>
        </w:tc>
        <w:tc>
          <w:tcPr>
            <w:tcW w:type="dxa" w:w="72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`app/api/admin/storage/health/route.ts`; `app/api/ai-tutor/route.ts`; `app/api/handwriting-recognition/route.ts`; `app/api/lesson-entry/route.ts`; auth/me routes; teacher assignment/assessment pages; `app/lesson/page.tsx`; `app/login/page.tsx`.</w:t>
            </w:r>
          </w:p>
        </w:tc>
      </w:tr>
      <w:tr>
        <w:tc>
          <w:tcPr>
            <w:tcW w:type="dxa" w:w="21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Components</w:t>
            </w:r>
          </w:p>
        </w:tc>
        <w:tc>
          <w:tcPr>
            <w:tcW w:type="dxa" w:w="72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`components/providers/AppProviders.tsx`; `components/layout/Navbar.tsx`; `components/home/HeroSection.tsx`; `components/lesson/LessonView.tsx`; teacher/parent components; `components/gamification/AdventureIslandGame.tsx`; home feature icon PNGs.</w:t>
            </w:r>
          </w:p>
        </w:tc>
      </w:tr>
      <w:tr>
        <w:tc>
          <w:tcPr>
            <w:tcW w:type="dxa" w:w="21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Data and logic</w:t>
            </w:r>
          </w:p>
        </w:tc>
        <w:tc>
          <w:tcPr>
            <w:tcW w:type="dxa" w:w="72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`data/questions.ts`; `data/mainlandPepHighQuestions.ts`; `data/rag/*`; `lib/adaptiveLearning.ts`; `lib/rag/*`; `lib/server/userStore.ts`; `lib/server/simpletexAuth.ts`; `lib/guestLessonLinks.ts`; `lib/i18n.ts`.</w:t>
            </w:r>
          </w:p>
        </w:tc>
      </w:tr>
      <w:tr>
        <w:tc>
          <w:tcPr>
            <w:tcW w:type="dxa" w:w="21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Tests and scripts</w:t>
            </w:r>
          </w:p>
        </w:tc>
        <w:tc>
          <w:tcPr>
            <w:tcW w:type="dxa" w:w="72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`tests/e2e/student-button-dropdown-matrix.spec.ts`; `tests/e2e/teacher-console-button-matrix.spec.ts`; `tests/e2e/adventure-island.spec.ts`; backend/parent/student E2E expectations; `scripts/build-mainland-high-abstract.py`; `scripts/build-hk-math-edb-manifest.py`.</w:t>
            </w:r>
          </w:p>
        </w:tc>
      </w:tr>
      <w:tr>
        <w:tc>
          <w:tcPr>
            <w:tcW w:type="dxa" w:w="21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Coordination and reports</w:t>
            </w:r>
          </w:p>
        </w:tc>
        <w:tc>
          <w:tcPr>
            <w:tcW w:type="dxa" w:w="72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Session logs for S01/S04/S08/S09/S10/S11/S12/S13/S14/S18/S19/S20; blocker reports for S11/S12/S13/S19; S18 content QA reports; S09 i18n audit; S20 playtest report; SimpleTex OCR QA; release-readiness matrix.</w:t>
            </w:r>
          </w:p>
        </w:tc>
      </w:tr>
      <w:tr>
        <w:tc>
          <w:tcPr>
            <w:tcW w:type="dxa" w:w="210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Generated/local artifacts note</w:t>
            </w:r>
          </w:p>
        </w:tc>
        <w:tc>
          <w:tcPr>
            <w:tcW w:type="dxa" w:w="7260"/>
            <w:vAlign w:val="center"/>
            <w:tcMar>
              <w:top w:w="80" w:type="dxa"/>
              <w:bottom w:w="80" w:type="dxa"/>
              <w:start w:w="120" w:type="dxa"/>
              <w:end w:w="120" w:type="dxa"/>
            </w:tcMar>
          </w:tcPr>
          <w:p>
            <w:pPr>
              <w:pStyle w:val="TableBody"/>
              <w:spacing w:after="0" w:line="252" w:lineRule="auto"/>
            </w:pPr>
            <w:r/>
            <w:r>
              <w:rPr>
                <w:rFonts w:ascii="Calibri" w:hAnsi="Calibri" w:eastAsia="Microsoft YaHei"/>
                <w:b w:val="0"/>
              </w:rPr>
              <w:t>The timestamp scan also saw screenshots, Playwright reports, and local generated outputs. They are not treated as source changes in this executive summary. Real secret values are not included.</w:t>
            </w:r>
          </w:p>
        </w:tc>
      </w:tr>
    </w:tbl>
    <w:p>
      <w:pPr>
        <w:pStyle w:val="SmallNote"/>
      </w:pPr>
    </w:p>
    <w:p>
      <w:pPr>
        <w:pStyle w:val="Heading1"/>
      </w:pPr>
      <w:r>
        <w:t>Recommended Priorities</w:t>
      </w:r>
    </w:p>
    <w:p>
      <w:pPr>
        <w:ind w:left="461" w:hanging="346"/>
      </w:pPr>
      <w:r>
        <w:rPr>
          <w:b/>
        </w:rPr>
        <w:t xml:space="preserve">1. </w:t>
      </w:r>
      <w:r>
        <w:t>Restore green release gates: fix the P2 multiplication Chinese answer alias, repair the local build/dependency issue, rerun `npm run test:mvp` and `npm run build`.</w:t>
      </w:r>
    </w:p>
    <w:p>
      <w:pPr>
        <w:ind w:left="461" w:hanging="346"/>
      </w:pPr>
      <w:r>
        <w:rPr>
          <w:b/>
        </w:rPr>
        <w:t xml:space="preserve">2. </w:t>
      </w:r>
      <w:r>
        <w:t>Clear SimpleTex: verify/regenerate APP credentials, keep values server-only and redacted, then rerun direct provider smoke and the 20-attempt Lesson/Arena matrix.</w:t>
      </w:r>
    </w:p>
    <w:p>
      <w:pPr>
        <w:ind w:left="461" w:hanging="346"/>
      </w:pPr>
      <w:r>
        <w:rPr>
          <w:b/>
        </w:rPr>
        <w:t xml:space="preserve">3. </w:t>
      </w:r>
      <w:r>
        <w:t>Finish production readiness proof: durable storage smoke, deployed game route/canvas/reward smoke, and live provider smoke only after owner approval.</w:t>
      </w:r>
    </w:p>
    <w:p>
      <w:pPr>
        <w:ind w:left="461" w:hanging="346"/>
      </w:pPr>
      <w:r>
        <w:rPr>
          <w:b/>
        </w:rPr>
        <w:t xml:space="preserve">4. </w:t>
      </w:r>
      <w:r>
        <w:t>Close highest-impact i18n leaks: Practice attachment button, AI Tutor attachment menu, raw status/type chips, reward thumbnails, and game back links.</w:t>
      </w:r>
    </w:p>
    <w:p>
      <w:pPr>
        <w:ind w:left="461" w:hanging="346"/>
      </w:pPr>
      <w:r>
        <w:rPr>
          <w:b/>
        </w:rPr>
        <w:t xml:space="preserve">5. </w:t>
      </w:r>
      <w:r>
        <w:t>Resolve remaining content QA: Dr. Phoebe marks the six HK same-prompt/different-answer groups; S04/S18 implement/rereview any approved rewrites.</w:t>
      </w:r>
    </w:p>
    <w:p>
      <w:pPr>
        <w:pStyle w:val="Heading1"/>
      </w:pPr>
      <w:r>
        <w:t>Owner Decisions Needed</w:t>
      </w:r>
    </w:p>
    <w:p>
      <w:pPr>
        <w:ind w:left="360" w:hanging="259"/>
      </w:pPr>
      <w:r>
        <w:rPr>
          <w:b/>
        </w:rPr>
        <w:t xml:space="preserve">• </w:t>
      </w:r>
      <w:r>
        <w:t>Provide or authorize regeneration of valid SimpleTex APP credentials; rotate the current secret if exposure risk is a concern.</w:t>
      </w:r>
    </w:p>
    <w:p>
      <w:pPr>
        <w:ind w:left="360" w:hanging="259"/>
      </w:pPr>
      <w:r>
        <w:rPr>
          <w:b/>
        </w:rPr>
        <w:t xml:space="preserve">• </w:t>
      </w:r>
      <w:r>
        <w:t>Approve a focused S04/S18 fix for `supp-p2-multiplication-foundations-key-fact: 4 x 6` bilingual grading aliases.</w:t>
      </w:r>
    </w:p>
    <w:p>
      <w:pPr>
        <w:ind w:left="360" w:hanging="259"/>
      </w:pPr>
      <w:r>
        <w:rPr>
          <w:b/>
        </w:rPr>
        <w:t xml:space="preserve">• </w:t>
      </w:r>
      <w:r>
        <w:t>Approve S10 to repair the local dependency/build environment; if package lock or reinstall is needed, treat it as a tooling task, not feature work.</w:t>
      </w:r>
    </w:p>
    <w:p>
      <w:pPr>
        <w:ind w:left="360" w:hanging="259"/>
      </w:pPr>
      <w:r>
        <w:rPr>
          <w:b/>
        </w:rPr>
        <w:t xml:space="preserve">• </w:t>
      </w:r>
      <w:r>
        <w:t>Confirm target deployment URL, storage strategy, and demo/test accounts for redacted production storage/provider/game smoke tests.</w:t>
      </w:r>
    </w:p>
    <w:p>
      <w:pPr>
        <w:ind w:left="360" w:hanging="259"/>
      </w:pPr>
      <w:r>
        <w:rPr>
          <w:b/>
        </w:rPr>
        <w:t xml:space="preserve">• </w:t>
      </w:r>
      <w:r>
        <w:t>Ask Dr. Phoebe KANG Xia to decide the six HK same-prompt/different-answer duplicate groups in the S18 dossier.</w:t>
      </w:r>
    </w:p>
    <w:p>
      <w:pPr>
        <w:pStyle w:val="Heading1"/>
      </w:pPr>
      <w:r>
        <w:t>Appendix: Methodology</w:t>
      </w:r>
    </w:p>
    <w:p>
      <w:pPr>
        <w:ind w:left="360" w:hanging="259"/>
      </w:pPr>
      <w:r>
        <w:rPr>
          <w:b/>
        </w:rPr>
        <w:t xml:space="preserve">• </w:t>
      </w:r>
      <w:r>
        <w:t>Sources read: `AGENTS.md`, all 2026-05-20 session logs found under `coordination/session-logs/`, 2026-05-20 blocker reports, S18 content QA reports, S09/S11/S20/S10 reports, HK EDB safe-RAG decision, and filesystem timestamp scan for the formal window.</w:t>
      </w:r>
    </w:p>
    <w:p>
      <w:pPr>
        <w:ind w:left="360" w:hanging="259"/>
      </w:pPr>
      <w:r>
        <w:rPr>
          <w:b/>
        </w:rPr>
        <w:t xml:space="preserve">• </w:t>
      </w:r>
      <w:r>
        <w:t>Checks run during manual report generation: `type-check`, `test:analytics`, `test:question-bank`, `test:rag`, `test:mvp`, `audit:zh-hans:strict`, and `build`.</w:t>
      </w:r>
    </w:p>
    <w:p>
      <w:pPr>
        <w:ind w:left="360" w:hanging="259"/>
      </w:pPr>
      <w:r>
        <w:rPr>
          <w:b/>
        </w:rPr>
        <w:t xml:space="preserve">• </w:t>
      </w:r>
      <w:r>
        <w:t>Limitations: no Git history is available; changed files are summarized from timestamps and coordination logs. DOCX visual render QA may depend on local LibreOffice/poppler availability and is recorded separately in the S10 handoff log.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Generated by S10 | Manual 8:00 HKT report after Codex restart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left"/>
    </w:pPr>
    <w:r>
      <w:t>MAIS-MVP President Report | 2026-05-21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4" w:lineRule="auto" w:before="0"/>
      <w:contextualSpacing/>
    </w:pPr>
    <w:rPr>
      <w:rFonts w:asciiTheme="majorHAnsi" w:eastAsiaTheme="majorEastAsia" w:hAnsiTheme="majorHAnsi" w:cstheme="majorBidi" w:ascii="Calibri" w:hAnsi="Calibri" w:eastAsia="Microsoft YaHe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64" w:lineRule="auto"/>
    </w:pPr>
    <w:rPr>
      <w:rFonts w:asciiTheme="majorHAnsi" w:eastAsiaTheme="majorEastAsia" w:hAnsiTheme="majorHAnsi" w:cstheme="majorBidi" w:ascii="Calibri" w:hAnsi="Calibri" w:eastAsia="Microsoft YaHe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Body"/>
    <w:pPr>
      <w:spacing w:after="0" w:line="252" w:lineRule="auto"/>
    </w:pPr>
    <w:rPr>
      <w:rFonts w:ascii="Calibri" w:hAnsi="Calibri" w:eastAsia="Microsoft YaHei"/>
      <w:sz w:val="17"/>
    </w:rPr>
  </w:style>
  <w:style w:type="paragraph" w:customStyle="1" w:styleId="SmallNote">
    <w:name w:val="SmallNote"/>
    <w:pPr>
      <w:spacing w:after="80" w:line="252" w:lineRule="auto"/>
    </w:pPr>
    <w:rPr>
      <w:rFonts w:ascii="Calibri" w:hAnsi="Calibri" w:eastAsia="Microsoft YaHei"/>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