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xml="http://www.w3.org/XML/1998/namespace">
  <w:body>
    <w:p>
      <w:pPr>
        <w:pStyle w:val="Title"/>
        <w:spacing w:before="0" w:after="80" w:line="300" w:lineRule="auto"/>
      </w:pPr>
      <w:r>
        <w:rPr>
          <w:rFonts w:ascii="Calibri" w:hAnsi="Calibri" w:eastAsia="Microsoft YaHei"/>
          <w:b/>
          <w:color w:val="17365D"/>
          <w:sz w:val="40"/>
          <w:szCs w:val="40"/>
        </w:rPr>
        <w:t xml:space="preserve">MAIS-MVP 8 AM President Report</w:t>
      </w:r>
    </w:p>
    <w:p>
      <w:pPr>
        <w:pStyle w:val="Meta"/>
        <w:spacing w:before="0" w:after="180" w:line="264" w:lineRule="auto"/>
      </w:pPr>
      <w:r>
        <w:rPr>
          <w:rFonts w:ascii="Calibri" w:hAnsi="Calibri" w:eastAsia="Microsoft YaHei"/>
          <w:color w:val="4B5563"/>
          <w:sz w:val="20"/>
          <w:szCs w:val="20"/>
        </w:rPr>
        <w:t xml:space="preserve">致 Dr. Peter Hu | Report date: 2026-05-23 | Reporting window: 2026-05-22 08:00 to 2026-05-23 08:00 Asia/Hong_Kong | Session model: S01-S20 | Prepared by S10 automation</w:t>
      </w:r>
    </w:p>
    <w:p>
      <w:pPr>
        <w:pStyle w:val="Heading1"/>
        <w:spacing w:before="320" w:after="160" w:line="280" w:lineRule="auto"/>
      </w:pPr>
      <w:r>
        <w:rPr>
          <w:rFonts w:ascii="Calibri" w:hAnsi="Calibri" w:eastAsia="Microsoft YaHei"/>
          <w:b/>
          <w:color w:val="2E74B5"/>
          <w:sz w:val="32"/>
          <w:szCs w:val="32"/>
        </w:rPr>
        <w:t xml:space="preserve">Chinese Executive Summary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  <w:szCs w:val="22"/>
        </w:rPr>
        <w:t xml:space="preserve">本窗口有大量有效進展，不是空白報告。MAIS-MVP 的本地工程狀態進一步轉綠：本報告 fresh checks 顯示 type-check、RAG、question-bank、MVP 與 production build 均通過。核心增量集中在登入課程選擇、AI Tutor text-only live gate、US top-10 Safe-RAG、Mainland/HK RAG 與題庫/lesson 內容擴展。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  <w:szCs w:val="22"/>
        </w:rPr>
        <w:t xml:space="preserve">主要紅燈仍在 production readiness：Vercel Production durable Postgres env 未完成，SimpleTex UAT/配額與 provider:none 仍阻塞 OCR saturation，新增課程內容與題庫仍需 S18/S04/S05/S09 人工 QA 後才能對外稱為 production-complete。</w:t>
      </w:r>
    </w:p>
    <w:p>
      <w:pPr>
        <w:pStyle w:val="Heading1"/>
        <w:spacing w:before="320" w:after="160" w:line="280" w:lineRule="auto"/>
      </w:pPr>
      <w:r>
        <w:rPr>
          <w:rFonts w:ascii="Calibri" w:hAnsi="Calibri" w:eastAsia="Microsoft YaHei"/>
          <w:b/>
          <w:color w:val="2E74B5"/>
          <w:sz w:val="32"/>
          <w:szCs w:val="32"/>
        </w:rPr>
        <w:t xml:space="preserve">English Executive Summary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  <w:szCs w:val="22"/>
        </w:rPr>
        <w:t xml:space="preserve">This was an active delivery window. Local engineering health is stronger: fresh S10 gates passed for type-check, RAG, question-bank, MVP readiness, and Next production build. The main progress areas were login curriculum selection, AI Tutor text live acceptance, U.S. top-10-state Safe-RAG, Mainland/Hong Kong RAG coverage, and Mainland PEP question/lesson content.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  <w:szCs w:val="22"/>
        </w:rPr>
        <w:t xml:space="preserve">The main release blockers remain production durability and provider readiness: Vercel Production still needs durable Postgres configuration, SimpleTex UAT/provider saturation is blocked, and the new curriculum/question/lesson content still needs human QA before external production claims.</w:t>
      </w:r>
    </w:p>
    <w:p>
      <w:pPr>
        <w:pStyle w:val="Heading1"/>
        <w:spacing w:before="320" w:after="160" w:line="280" w:lineRule="auto"/>
      </w:pPr>
      <w:r>
        <w:rPr>
          <w:rFonts w:ascii="Calibri" w:hAnsi="Calibri" w:eastAsia="Microsoft YaHei"/>
          <w:b/>
          <w:color w:val="2E74B5"/>
          <w:sz w:val="32"/>
          <w:szCs w:val="32"/>
        </w:rPr>
        <w:t xml:space="preserve">一、報告窗口摘要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  <w:szCs w:val="22"/>
        </w:rPr>
        <w:t xml:space="preserve">窗口：2026-05-22 08:00 至 2026-05-23 08:00 HKT。資料來源包括 coordination/session-logs、blockers、decisions、reports、content-qa，以及按 mtime 檢出的 changed files。窗口內有 S01、S05、S07、S09、S10、S11、S16、S18、S20 的 fresh logs；S02/S03/S04/S06/S08/S12/S13/S14/S15/S17/S19 無 fresh daily log，但 S12/S19 仍被 blockers 指名。</w:t>
      </w:r>
    </w:p>
    <w:p>
      <w:pPr>
        <w:pStyle w:val="Heading1"/>
        <w:spacing w:before="320" w:after="160" w:line="280" w:lineRule="auto"/>
      </w:pPr>
      <w:r>
        <w:rPr>
          <w:rFonts w:ascii="Calibri" w:hAnsi="Calibri" w:eastAsia="Microsoft YaHei"/>
          <w:b/>
          <w:color w:val="2E74B5"/>
          <w:sz w:val="32"/>
          <w:szCs w:val="32"/>
        </w:rPr>
        <w:t xml:space="preserve">二、整體項目進度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  <w:szCs w:val="22"/>
        </w:rPr>
        <w:t xml:space="preserve">本地/demo 能力繼續增強：登入前 curriculum profile、AI Tutor live text、RAG evidence coverage、Mainland PEP primary/high content、US safe curriculum layer、lesson seeds 與 deterministic gates 均有實質提升。Production 仍不是 full green，原因是 durable storage、SimpleTex quota/provider、manual content QA、production game/auth smoke 尚未完成閉環。</w:t>
      </w:r>
    </w:p>
    <w:p>
      <w:pPr>
        <w:pStyle w:val="Heading1"/>
        <w:spacing w:before="320" w:after="160" w:line="280" w:lineRule="auto"/>
      </w:pPr>
      <w:r>
        <w:rPr>
          <w:rFonts w:ascii="Calibri" w:hAnsi="Calibri" w:eastAsia="Microsoft YaHei"/>
          <w:b/>
          <w:color w:val="2E74B5"/>
          <w:sz w:val="32"/>
          <w:szCs w:val="32"/>
        </w:rPr>
        <w:t xml:space="preserve">三、S01-S20 狀態表</w:t>
      </w:r>
    </w:p>
    <w:tbl>
      <w:tblPr>
        <w:tblW w:w="9360" w:type="dxa"/>
        <w:tblInd w:w="120" w:type="dxa"/>
        <w:tblLayout w:type="fixed"/>
        <w:tblBorders>
          <w:top w:val="single" w:sz="6" w:space="0" w:color="B8C1CC"/>
          <w:left w:val="single" w:sz="6" w:space="0" w:color="B8C1CC"/>
          <w:bottom w:val="single" w:sz="6" w:space="0" w:color="B8C1CC"/>
          <w:right w:val="single" w:sz="6" w:space="0" w:color="B8C1CC"/>
          <w:insideH w:val="single" w:sz="6" w:space="0" w:color="B8C1CC"/>
          <w:insideV w:val="single" w:sz="6" w:space="0" w:color="B8C1CC"/>
        </w:tblBorders>
      </w:tblPr>
      <w:tblGrid>
        <w:gridCol w:w="650"/>
        <w:gridCol w:w="1350"/>
        <w:gridCol w:w="1050"/>
        <w:gridCol w:w="4050"/>
        <w:gridCol w:w="2260"/>
      </w:tblGrid>
      <w:tr>
        <w:tc>
          <w:tcPr>
            <w:tcW w:w="650" w:type="dxa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9"/>
                <w:szCs w:val="19"/>
              </w:rPr>
              <w:t xml:space="preserve">Session</w:t>
            </w:r>
          </w:p>
        </w:tc>
        <w:tc>
          <w:tcPr>
            <w:tcW w:w="1350" w:type="dxa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9"/>
                <w:szCs w:val="19"/>
              </w:rPr>
              <w:t xml:space="preserve">Workstream</w:t>
            </w:r>
          </w:p>
        </w:tc>
        <w:tc>
          <w:tcPr>
            <w:tcW w:w="1050" w:type="dxa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9"/>
                <w:szCs w:val="19"/>
              </w:rPr>
              <w:t xml:space="preserve">Status</w:t>
            </w:r>
          </w:p>
        </w:tc>
        <w:tc>
          <w:tcPr>
            <w:tcW w:w="4050" w:type="dxa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9"/>
                <w:szCs w:val="19"/>
              </w:rPr>
              <w:t xml:space="preserve">窗口摘要</w:t>
            </w:r>
          </w:p>
        </w:tc>
        <w:tc>
          <w:tcPr>
            <w:tcW w:w="2260" w:type="dxa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9"/>
                <w:szCs w:val="19"/>
              </w:rPr>
              <w:t xml:space="preserve">下一步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S01</w:t>
            </w:r>
          </w:p>
        </w:tc>
        <w:tc>
          <w:tcPr>
            <w:tcW w:w="13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App shell / login UI</w:t>
            </w:r>
          </w:p>
        </w:tc>
        <w:tc>
          <w:tcPr>
            <w:tcW w:w="10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已完成</w:t>
            </w:r>
          </w:p>
        </w:tc>
        <w:tc>
          <w:tcPr>
            <w:tcW w:w="40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首頁統計、登入頁口號、Scheme A 課程/年級選擇器、登入/註冊課程 profile 接入；type-check/build/browser smoke 已報告通過。</w:t>
            </w:r>
          </w:p>
        </w:tc>
        <w:tc>
          <w:tcPr>
            <w:tcW w:w="226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S11 後續補登入課程選擇 E2E。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S02</w:t>
            </w:r>
          </w:p>
        </w:tc>
        <w:tc>
          <w:tcPr>
            <w:tcW w:w="13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Dashboard</w:t>
            </w:r>
          </w:p>
        </w:tc>
        <w:tc>
          <w:tcPr>
            <w:tcW w:w="10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無新日誌</w:t>
            </w:r>
          </w:p>
        </w:tc>
        <w:tc>
          <w:tcPr>
            <w:tcW w:w="40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本窗口無 S02 session log。</w:t>
            </w:r>
          </w:p>
        </w:tc>
        <w:tc>
          <w:tcPr>
            <w:tcW w:w="226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等待 dashboard/adaptive UI 任務。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S03</w:t>
            </w:r>
          </w:p>
        </w:tc>
        <w:tc>
          <w:tcPr>
            <w:tcW w:w="13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Curriculum roadmap</w:t>
            </w:r>
          </w:p>
        </w:tc>
        <w:tc>
          <w:tcPr>
            <w:tcW w:w="10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無新日誌</w:t>
            </w:r>
          </w:p>
        </w:tc>
        <w:tc>
          <w:tcPr>
            <w:tcW w:w="40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本窗口無 S03 session log。</w:t>
            </w:r>
          </w:p>
        </w:tc>
        <w:tc>
          <w:tcPr>
            <w:tcW w:w="226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若 Mainland PEP P1-P6/US 路線圖曝光，需 S03 產品接入。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S04</w:t>
            </w:r>
          </w:p>
        </w:tc>
        <w:tc>
          <w:tcPr>
            <w:tcW w:w="13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Practice</w:t>
            </w:r>
          </w:p>
        </w:tc>
        <w:tc>
          <w:tcPr>
            <w:tcW w:w="10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無新日誌</w:t>
            </w:r>
          </w:p>
        </w:tc>
        <w:tc>
          <w:tcPr>
            <w:tcW w:w="40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未直接寫 practice UI；多個 question-bank/content artifacts 需未來 S04 rollout review。</w:t>
            </w:r>
          </w:p>
        </w:tc>
        <w:tc>
          <w:tcPr>
            <w:tcW w:w="226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審核候選題是否進入 student-facing practice。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S05</w:t>
            </w:r>
          </w:p>
        </w:tc>
        <w:tc>
          <w:tcPr>
            <w:tcW w:w="13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Lesson</w:t>
            </w:r>
          </w:p>
        </w:tc>
        <w:tc>
          <w:tcPr>
            <w:tcW w:w="10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已完成，有瀏覽器 caveat</w:t>
            </w:r>
          </w:p>
        </w:tc>
        <w:tc>
          <w:tcPr>
            <w:tcW w:w="40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22 個 Mainland PEP high-school lessons 由 review pack 轉入 production lesson seeds；MVP/lesson coverage 更新。</w:t>
            </w:r>
          </w:p>
        </w:tc>
        <w:tc>
          <w:tcPr>
            <w:tcW w:w="226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S11 在安靜本地環境重跑 lesson-all/browser routes。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S06</w:t>
            </w:r>
          </w:p>
        </w:tc>
        <w:tc>
          <w:tcPr>
            <w:tcW w:w="13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Visualization</w:t>
            </w:r>
          </w:p>
        </w:tc>
        <w:tc>
          <w:tcPr>
            <w:tcW w:w="10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無新日誌</w:t>
            </w:r>
          </w:p>
        </w:tc>
        <w:tc>
          <w:tcPr>
            <w:tcW w:w="40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本窗口無 S06 session log。</w:t>
            </w:r>
          </w:p>
        </w:tc>
        <w:tc>
          <w:tcPr>
            <w:tcW w:w="226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等待 visualization QA/selector follow-up。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S07</w:t>
            </w:r>
          </w:p>
        </w:tc>
        <w:tc>
          <w:tcPr>
            <w:tcW w:w="13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AI Tutor</w:t>
            </w:r>
          </w:p>
        </w:tc>
        <w:tc>
          <w:tcPr>
            <w:tcW w:w="10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已完成</w:t>
            </w:r>
          </w:p>
        </w:tc>
        <w:tc>
          <w:tcPr>
            <w:tcW w:w="40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AI Tutor text live role matrix retest 轉綠：81/81 matrix、6/6 frontend、180-call soak 通過；保留 provider diagnostics。</w:t>
            </w:r>
          </w:p>
        </w:tc>
        <w:tc>
          <w:tcPr>
            <w:tcW w:w="226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S19 對齊 AI_TUTOR_MAX_COMPLETION_TOKENS production/local env。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S08</w:t>
            </w:r>
          </w:p>
        </w:tc>
        <w:tc>
          <w:tcPr>
            <w:tcW w:w="13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State / analytics</w:t>
            </w:r>
          </w:p>
        </w:tc>
        <w:tc>
          <w:tcPr>
            <w:tcW w:w="10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無新日誌</w:t>
            </w:r>
          </w:p>
        </w:tc>
        <w:tc>
          <w:tcPr>
            <w:tcW w:w="40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無 S08 log；但 types/provider surfaces 被 owner-expanded tasks touched。</w:t>
            </w:r>
          </w:p>
        </w:tc>
        <w:tc>
          <w:tcPr>
            <w:tcW w:w="226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必要時 review curriculum profile/type changes。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S09</w:t>
            </w:r>
          </w:p>
        </w:tc>
        <w:tc>
          <w:tcPr>
            <w:tcW w:w="13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Copy / i18n</w:t>
            </w:r>
          </w:p>
        </w:tc>
        <w:tc>
          <w:tcPr>
            <w:tcW w:w="10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已完成</w:t>
            </w:r>
          </w:p>
        </w:tc>
        <w:tc>
          <w:tcPr>
            <w:tcW w:w="40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登入頁 IP notice 英/繁/簡更新，移除「惡意/恶意」與 UI 縮寫，type-check 通過。</w:t>
            </w:r>
          </w:p>
        </w:tc>
        <w:tc>
          <w:tcPr>
            <w:tcW w:w="226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可做後續 broader i18n audit。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S10</w:t>
            </w:r>
          </w:p>
        </w:tc>
        <w:tc>
          <w:tcPr>
            <w:tcW w:w="13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Tooling / reports</w:t>
            </w:r>
          </w:p>
        </w:tc>
        <w:tc>
          <w:tcPr>
            <w:tcW w:w="10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已完成</w:t>
            </w:r>
          </w:p>
        </w:tc>
        <w:tc>
          <w:tcPr>
            <w:tcW w:w="40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SimpleTex smoke runner、health check、AGENTS S18 US scope、tailwind type-check stall fix；本報告 fresh gates 也通過。</w:t>
            </w:r>
          </w:p>
        </w:tc>
        <w:tc>
          <w:tcPr>
            <w:tcW w:w="226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跟進 production storage、SimpleTex、release matrix。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S11</w:t>
            </w:r>
          </w:p>
        </w:tc>
        <w:tc>
          <w:tcPr>
            <w:tcW w:w="13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QA / release</w:t>
            </w:r>
          </w:p>
        </w:tc>
        <w:tc>
          <w:tcPr>
            <w:tcW w:w="10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受阻</w:t>
            </w:r>
          </w:p>
        </w:tc>
        <w:tc>
          <w:tcPr>
            <w:tcW w:w="40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AI Tutor harness 更新；SimpleTex 750-call saturation stopped at call 324 provider:none，post-token smoke call 1 upstream 402。</w:t>
            </w:r>
          </w:p>
        </w:tc>
        <w:tc>
          <w:tcPr>
            <w:tcW w:w="226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S12/S19 先修 provider/route classification，再 rerun 10-call smoke 和 full matrix。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S12</w:t>
            </w:r>
          </w:p>
        </w:tc>
        <w:tc>
          <w:tcPr>
            <w:tcW w:w="13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Backend/API</w:t>
            </w:r>
          </w:p>
        </w:tc>
        <w:tc>
          <w:tcPr>
            <w:tcW w:w="10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無新日誌，仍被點名</w:t>
            </w:r>
          </w:p>
        </w:tc>
        <w:tc>
          <w:tcPr>
            <w:tcW w:w="40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本窗口無 S12 log；production auth/storage blocker 仍指向 durable Postgres/env readiness。</w:t>
            </w:r>
          </w:p>
        </w:tc>
        <w:tc>
          <w:tcPr>
            <w:tcW w:w="226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設定/驗證 Postgres provider 與 /api/me stability。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S13</w:t>
            </w:r>
          </w:p>
        </w:tc>
        <w:tc>
          <w:tcPr>
            <w:tcW w:w="13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Teacher console</w:t>
            </w:r>
          </w:p>
        </w:tc>
        <w:tc>
          <w:tcPr>
            <w:tcW w:w="10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無新日誌</w:t>
            </w:r>
          </w:p>
        </w:tc>
        <w:tc>
          <w:tcPr>
            <w:tcW w:w="40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本窗口無 S13 session log。</w:t>
            </w:r>
          </w:p>
        </w:tc>
        <w:tc>
          <w:tcPr>
            <w:tcW w:w="226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等待 teacher workflow tasks。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S14</w:t>
            </w:r>
          </w:p>
        </w:tc>
        <w:tc>
          <w:tcPr>
            <w:tcW w:w="13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Parent console</w:t>
            </w:r>
          </w:p>
        </w:tc>
        <w:tc>
          <w:tcPr>
            <w:tcW w:w="10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無新日誌</w:t>
            </w:r>
          </w:p>
        </w:tc>
        <w:tc>
          <w:tcPr>
            <w:tcW w:w="40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本窗口無 S14 session log；health check 仍記錄 parent child-link/session issues。</w:t>
            </w:r>
          </w:p>
        </w:tc>
        <w:tc>
          <w:tcPr>
            <w:tcW w:w="226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S14/S12 後續定位 parent auth/session。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S15</w:t>
            </w:r>
          </w:p>
        </w:tc>
        <w:tc>
          <w:tcPr>
            <w:tcW w:w="13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Adaptive engine</w:t>
            </w:r>
          </w:p>
        </w:tc>
        <w:tc>
          <w:tcPr>
            <w:tcW w:w="10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無新日誌</w:t>
            </w:r>
          </w:p>
        </w:tc>
        <w:tc>
          <w:tcPr>
            <w:tcW w:w="40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本窗口無 S15 session log。</w:t>
            </w:r>
          </w:p>
        </w:tc>
        <w:tc>
          <w:tcPr>
            <w:tcW w:w="226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等待 adaptive evaluation/guardrail tasks。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S16</w:t>
            </w:r>
          </w:p>
        </w:tc>
        <w:tc>
          <w:tcPr>
            <w:tcW w:w="13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Research / US RAG</w:t>
            </w:r>
          </w:p>
        </w:tc>
        <w:tc>
          <w:tcPr>
            <w:tcW w:w="10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已完成</w:t>
            </w:r>
          </w:p>
        </w:tc>
        <w:tc>
          <w:tcPr>
            <w:tcW w:w="40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CA/NC safe RAG 擴展到 top-10 US states；900 metadata-only safe cards；type-check 通過，U.S. targeted RAG test 通過。</w:t>
            </w:r>
          </w:p>
        </w:tc>
        <w:tc>
          <w:tcPr>
            <w:tcW w:w="226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S18 做 curriculum review；S10/S19 arrange IP counsel before pilots。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S17</w:t>
            </w:r>
          </w:p>
        </w:tc>
        <w:tc>
          <w:tcPr>
            <w:tcW w:w="13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Gamification</w:t>
            </w:r>
          </w:p>
        </w:tc>
        <w:tc>
          <w:tcPr>
            <w:tcW w:w="10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無新日誌</w:t>
            </w:r>
          </w:p>
        </w:tc>
        <w:tc>
          <w:tcPr>
            <w:tcW w:w="40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本窗口無 S17 session log。</w:t>
            </w:r>
          </w:p>
        </w:tc>
        <w:tc>
          <w:tcPr>
            <w:tcW w:w="226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等待 reward economy follow-up。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S18</w:t>
            </w:r>
          </w:p>
        </w:tc>
        <w:tc>
          <w:tcPr>
            <w:tcW w:w="13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Curriculum/content QA</w:t>
            </w:r>
          </w:p>
        </w:tc>
        <w:tc>
          <w:tcPr>
            <w:tcW w:w="10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大量完成，仍需人工抽樣</w:t>
            </w:r>
          </w:p>
        </w:tc>
        <w:tc>
          <w:tcPr>
            <w:tcW w:w="40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Mainland/HK/US Safe-RAG、primary/high question banks、lesson review/integration inputs、DeepSeek offline 600-question pack 多項完成；RAG/question gates 綠。</w:t>
            </w:r>
          </w:p>
        </w:tc>
        <w:tc>
          <w:tcPr>
            <w:tcW w:w="226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人工 sample review、source-distance/math QA、promotion decisions。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S19</w:t>
            </w:r>
          </w:p>
        </w:tc>
        <w:tc>
          <w:tcPr>
            <w:tcW w:w="13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API env/deploy</w:t>
            </w:r>
          </w:p>
        </w:tc>
        <w:tc>
          <w:tcPr>
            <w:tcW w:w="10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無新日誌，仍有 env blocker</w:t>
            </w:r>
          </w:p>
        </w:tc>
        <w:tc>
          <w:tcPr>
            <w:tcW w:w="40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Production Postgres env 未配置；SimpleTex UAT token/balance/API pack 需確認；AI Tutor token budget env parity 待查。</w:t>
            </w:r>
          </w:p>
        </w:tc>
        <w:tc>
          <w:tcPr>
            <w:tcW w:w="226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處理 redacted env readiness，不輸出 secrets。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S20</w:t>
            </w:r>
          </w:p>
        </w:tc>
        <w:tc>
          <w:tcPr>
            <w:tcW w:w="13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Game-based learning</w:t>
            </w:r>
          </w:p>
        </w:tc>
        <w:tc>
          <w:tcPr>
            <w:tcW w:w="10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已完成</w:t>
            </w:r>
          </w:p>
        </w:tc>
        <w:tc>
          <w:tcPr>
            <w:tcW w:w="405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Adventure Island/Fishing Game back link i18n 修正；local English browser check 通過。</w:t>
            </w:r>
          </w:p>
        </w:tc>
        <w:tc>
          <w:tcPr>
            <w:tcW w:w="226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Production game smoke 仍等 S12/S19 auth/storage gate。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 w:eastAsia="Microsoft YaHei"/>
          <w:sz w:val="22"/>
          <w:szCs w:val="22"/>
        </w:rPr>
        <w:t xml:space="preserve"/>
      </w:r>
    </w:p>
    <w:p>
      <w:pPr>
        <w:pStyle w:val="Heading1"/>
        <w:spacing w:before="320" w:after="160" w:line="280" w:lineRule="auto"/>
      </w:pPr>
      <w:r>
        <w:rPr>
          <w:rFonts w:ascii="Calibri" w:hAnsi="Calibri" w:eastAsia="Microsoft YaHei"/>
          <w:b/>
          <w:color w:val="2E74B5"/>
          <w:sz w:val="32"/>
          <w:szCs w:val="32"/>
        </w:rPr>
        <w:t xml:space="preserve">四、已完成工作</w:t>
      </w:r>
    </w:p>
    <w:tbl>
      <w:tblPr>
        <w:tblW w:w="9360" w:type="dxa"/>
        <w:tblInd w:w="120" w:type="dxa"/>
        <w:tblLayout w:type="fixed"/>
        <w:tblBorders>
          <w:top w:val="single" w:sz="6" w:space="0" w:color="B8C1CC"/>
          <w:left w:val="single" w:sz="6" w:space="0" w:color="B8C1CC"/>
          <w:bottom w:val="single" w:sz="6" w:space="0" w:color="B8C1CC"/>
          <w:right w:val="single" w:sz="6" w:space="0" w:color="B8C1CC"/>
          <w:insideH w:val="single" w:sz="6" w:space="0" w:color="B8C1CC"/>
          <w:insideV w:val="single" w:sz="6" w:space="0" w:color="B8C1CC"/>
        </w:tblBorders>
      </w:tblPr>
      <w:tblGrid>
        <w:gridCol w:w="1500"/>
        <w:gridCol w:w="1300"/>
        <w:gridCol w:w="6560"/>
      </w:tblGrid>
      <w:tr>
        <w:tc>
          <w:tcPr>
            <w:tcW w:w="1500" w:type="dxa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9"/>
                <w:szCs w:val="19"/>
              </w:rPr>
              <w:t xml:space="preserve">範疇</w:t>
            </w:r>
          </w:p>
        </w:tc>
        <w:tc>
          <w:tcPr>
            <w:tcW w:w="1300" w:type="dxa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9"/>
                <w:szCs w:val="19"/>
              </w:rPr>
              <w:t xml:space="preserve">Sessions</w:t>
            </w:r>
          </w:p>
        </w:tc>
        <w:tc>
          <w:tcPr>
            <w:tcW w:w="6560" w:type="dxa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9"/>
                <w:szCs w:val="19"/>
              </w:rPr>
              <w:t xml:space="preserve">成果</w:t>
            </w:r>
          </w:p>
        </w:tc>
      </w:tr>
      <w:tr>
        <w:tc>
          <w:tcPr>
            <w:tcW w:w="150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產品/UI</w:t>
            </w:r>
          </w:p>
        </w:tc>
        <w:tc>
          <w:tcPr>
            <w:tcW w:w="130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S01/S09/S20</w:t>
            </w:r>
          </w:p>
        </w:tc>
        <w:tc>
          <w:tcPr>
            <w:tcW w:w="656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首頁課程/題庫統計更新；登入頁口號與 Scheme A 課程選擇器落地；登入 legal notice 三語更新；game route back link 去除混合語言。</w:t>
            </w:r>
          </w:p>
        </w:tc>
      </w:tr>
      <w:tr>
        <w:tc>
          <w:tcPr>
            <w:tcW w:w="150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AI Tutor</w:t>
            </w:r>
          </w:p>
        </w:tc>
        <w:tc>
          <w:tcPr>
            <w:tcW w:w="130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S07/S11</w:t>
            </w:r>
          </w:p>
        </w:tc>
        <w:tc>
          <w:tcPr>
            <w:tcW w:w="656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完成 text-only live gate hardening、provider diagnostics、production-mode role matrix、frontend smoke、180-call soak；最終文本 gate 綠。</w:t>
            </w:r>
          </w:p>
        </w:tc>
      </w:tr>
      <w:tr>
        <w:tc>
          <w:tcPr>
            <w:tcW w:w="150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Tooling/QA</w:t>
            </w:r>
          </w:p>
        </w:tc>
        <w:tc>
          <w:tcPr>
            <w:tcW w:w="130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S10/S11</w:t>
            </w:r>
          </w:p>
        </w:tc>
        <w:tc>
          <w:tcPr>
            <w:tcW w:w="656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新增 SimpleTex local smoke runner、dry-run/preflight、compiled-route saturation harness；產出 health check 與 blocker evidence。</w:t>
            </w:r>
          </w:p>
        </w:tc>
      </w:tr>
      <w:tr>
        <w:tc>
          <w:tcPr>
            <w:tcW w:w="150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US Safe-RAG</w:t>
            </w:r>
          </w:p>
        </w:tc>
        <w:tc>
          <w:tcPr>
            <w:tcW w:w="130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S16</w:t>
            </w:r>
          </w:p>
        </w:tc>
        <w:tc>
          <w:tcPr>
            <w:tcW w:w="656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CA/NC foundation 擴到 CA/TX/FL/NY/PA/IL/OH/GA/NC/MI，900 metadata-only safe cards，無 raw source artifacts。</w:t>
            </w:r>
          </w:p>
        </w:tc>
      </w:tr>
      <w:tr>
        <w:tc>
          <w:tcPr>
            <w:tcW w:w="150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Mainland/HK curriculum</w:t>
            </w:r>
          </w:p>
        </w:tc>
        <w:tc>
          <w:tcPr>
            <w:tcW w:w="130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S18</w:t>
            </w:r>
          </w:p>
        </w:tc>
        <w:tc>
          <w:tcPr>
            <w:tcW w:w="656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Mainland PEP primary/high Safe-RAG verification、HK DSE/UP/EPH coverage status、primary 1200 app-integrated deterministic bank、high-school rag-v4 1500 candidate gate、full question-bank solvability audits。</w:t>
            </w:r>
          </w:p>
        </w:tc>
      </w:tr>
      <w:tr>
        <w:tc>
          <w:tcPr>
            <w:tcW w:w="150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Lessons</w:t>
            </w:r>
          </w:p>
        </w:tc>
        <w:tc>
          <w:tcPr>
            <w:tcW w:w="130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S05/S18</w:t>
            </w:r>
          </w:p>
        </w:tc>
        <w:tc>
          <w:tcPr>
            <w:tcW w:w="656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22 Mainland PEP high-school lessons 完成 review pack、systematic QA、DeepSeek pilot QA，並整合到 production lesson seeds。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 w:eastAsia="Microsoft YaHei"/>
          <w:sz w:val="22"/>
          <w:szCs w:val="22"/>
        </w:rPr>
        <w:t xml:space="preserve"/>
      </w:r>
    </w:p>
    <w:p>
      <w:pPr>
        <w:pStyle w:val="Heading1"/>
        <w:spacing w:before="320" w:after="160" w:line="280" w:lineRule="auto"/>
      </w:pPr>
      <w:r>
        <w:rPr>
          <w:rFonts w:ascii="Calibri" w:hAnsi="Calibri" w:eastAsia="Microsoft YaHei"/>
          <w:b/>
          <w:color w:val="2E74B5"/>
          <w:sz w:val="32"/>
          <w:szCs w:val="32"/>
        </w:rPr>
        <w:t xml:space="preserve">五、進行中工作</w:t>
      </w:r>
    </w:p>
    <w:p>
      <w:pPr>
        <w:numPr>
          <w:ilvl w:val="0"/>
          <w:numId w:val="1"/>
        </w:numPr>
        <w:spacing w:before="0" w:after="80" w:line="260" w:lineRule="auto"/>
      </w:pPr>
      <w:r>
        <w:rPr>
          <w:rFonts w:ascii="Calibri" w:hAnsi="Calibri" w:eastAsia="Microsoft YaHei"/>
          <w:sz w:val="21"/>
          <w:szCs w:val="21"/>
        </w:rPr>
        <w:t xml:space="preserve">S11 SimpleTex saturation：harness 已建，但 provider:none/402 使 750-call matrix 未完成。</w:t>
      </w:r>
    </w:p>
    <w:p>
      <w:pPr>
        <w:numPr>
          <w:ilvl w:val="0"/>
          <w:numId w:val="1"/>
        </w:numPr>
        <w:spacing w:before="0" w:after="80" w:line="260" w:lineRule="auto"/>
      </w:pPr>
      <w:r>
        <w:rPr>
          <w:rFonts w:ascii="Calibri" w:hAnsi="Calibri" w:eastAsia="Microsoft YaHei"/>
          <w:sz w:val="21"/>
          <w:szCs w:val="21"/>
        </w:rPr>
        <w:t xml:space="preserve">S18 content QA：多個內容包和題庫已生成/接入，但人工抽樣、source-distance、math correctness、terminology review 仍需排程。</w:t>
      </w:r>
    </w:p>
    <w:p>
      <w:pPr>
        <w:numPr>
          <w:ilvl w:val="0"/>
          <w:numId w:val="1"/>
        </w:numPr>
        <w:spacing w:before="0" w:after="80" w:line="260" w:lineRule="auto"/>
      </w:pPr>
      <w:r>
        <w:rPr>
          <w:rFonts w:ascii="Calibri" w:hAnsi="Calibri" w:eastAsia="Microsoft YaHei"/>
          <w:sz w:val="21"/>
          <w:szCs w:val="21"/>
        </w:rPr>
        <w:t xml:space="preserve">S12/S19 production readiness：durable Postgres env 和 admin smoke credential 仍是 production auth/storage 前置門。</w:t>
      </w:r>
    </w:p>
    <w:p>
      <w:pPr>
        <w:numPr>
          <w:ilvl w:val="0"/>
          <w:numId w:val="1"/>
        </w:numPr>
        <w:spacing w:before="0" w:after="80" w:line="260" w:lineRule="auto"/>
      </w:pPr>
      <w:r>
        <w:rPr>
          <w:rFonts w:ascii="Calibri" w:hAnsi="Calibri" w:eastAsia="Microsoft YaHei"/>
          <w:sz w:val="21"/>
          <w:szCs w:val="21"/>
        </w:rPr>
        <w:t xml:space="preserve">S11 release route regression：lesson-all、login curriculum selector、production game smoke 需在 blocker 清除後重跑。</w:t>
      </w:r>
    </w:p>
    <w:p>
      <w:pPr>
        <w:pStyle w:val="Heading1"/>
        <w:spacing w:before="320" w:after="160" w:line="280" w:lineRule="auto"/>
      </w:pPr>
      <w:r>
        <w:rPr>
          <w:rFonts w:ascii="Calibri" w:hAnsi="Calibri" w:eastAsia="Microsoft YaHei"/>
          <w:b/>
          <w:color w:val="2E74B5"/>
          <w:sz w:val="32"/>
          <w:szCs w:val="32"/>
        </w:rPr>
        <w:t xml:space="preserve">六、Blockers</w:t>
      </w:r>
    </w:p>
    <w:tbl>
      <w:tblPr>
        <w:tblW w:w="9360" w:type="dxa"/>
        <w:tblInd w:w="120" w:type="dxa"/>
        <w:tblLayout w:type="fixed"/>
        <w:tblBorders>
          <w:top w:val="single" w:sz="6" w:space="0" w:color="B8C1CC"/>
          <w:left w:val="single" w:sz="6" w:space="0" w:color="B8C1CC"/>
          <w:bottom w:val="single" w:sz="6" w:space="0" w:color="B8C1CC"/>
          <w:right w:val="single" w:sz="6" w:space="0" w:color="B8C1CC"/>
          <w:insideH w:val="single" w:sz="6" w:space="0" w:color="B8C1CC"/>
          <w:insideV w:val="single" w:sz="6" w:space="0" w:color="B8C1CC"/>
        </w:tblBorders>
      </w:tblPr>
      <w:tblGrid>
        <w:gridCol w:w="1900"/>
        <w:gridCol w:w="1700"/>
        <w:gridCol w:w="5760"/>
      </w:tblGrid>
      <w:tr>
        <w:tc>
          <w:tcPr>
            <w:tcW w:w="1900" w:type="dxa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9"/>
                <w:szCs w:val="19"/>
              </w:rPr>
              <w:t xml:space="preserve">Blocker</w:t>
            </w:r>
          </w:p>
        </w:tc>
        <w:tc>
          <w:tcPr>
            <w:tcW w:w="1700" w:type="dxa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9"/>
                <w:szCs w:val="19"/>
              </w:rPr>
              <w:t xml:space="preserve">Owner</w:t>
            </w:r>
          </w:p>
        </w:tc>
        <w:tc>
          <w:tcPr>
            <w:tcW w:w="5760" w:type="dxa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w="190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Production auth/storage</w:t>
            </w:r>
          </w:p>
        </w:tc>
        <w:tc>
          <w:tcPr>
            <w:tcW w:w="170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S12/S19</w:t>
            </w:r>
          </w:p>
        </w:tc>
        <w:tc>
          <w:tcPr>
            <w:tcW w:w="576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Vercel Production 仍缺 HK_MATH_STORAGE_PROVIDER 與 POSTGRES_URL；auth/session/gameplay smoke 不應被判綠。</w:t>
            </w:r>
          </w:p>
        </w:tc>
      </w:tr>
      <w:tr>
        <w:tc>
          <w:tcPr>
            <w:tcW w:w="190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SimpleTex saturation</w:t>
            </w:r>
          </w:p>
        </w:tc>
        <w:tc>
          <w:tcPr>
            <w:tcW w:w="170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S11/S19/S12</w:t>
            </w:r>
          </w:p>
        </w:tc>
        <w:tc>
          <w:tcPr>
            <w:tcW w:w="576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324/750 live route calls 後 provider:none；post-token smoke call 1 顯示 upstream 402 resource_no_valid / no valid balance or API pack。</w:t>
            </w:r>
          </w:p>
        </w:tc>
      </w:tr>
      <w:tr>
        <w:tc>
          <w:tcPr>
            <w:tcW w:w="190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Lesson/browser local route QA</w:t>
            </w:r>
          </w:p>
        </w:tc>
        <w:tc>
          <w:tcPr>
            <w:tcW w:w="170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S05/S11</w:t>
            </w:r>
          </w:p>
        </w:tc>
        <w:tc>
          <w:tcPr>
            <w:tcW w:w="576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S05 的 lesson-all/browser route check 因 local Next/.next contention 未完成；本報告 fresh build 已通過，但 lesson browser sweep 未跑。</w:t>
            </w:r>
          </w:p>
        </w:tc>
      </w:tr>
      <w:tr>
        <w:tc>
          <w:tcPr>
            <w:tcW w:w="190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Manual content signoff</w:t>
            </w:r>
          </w:p>
        </w:tc>
        <w:tc>
          <w:tcPr>
            <w:tcW w:w="170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S18/S04/S05/S09</w:t>
            </w:r>
          </w:p>
        </w:tc>
        <w:tc>
          <w:tcPr>
            <w:tcW w:w="576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新題庫、DeepSeek offline bank、lesson content 均需人工抽樣與 source-distance/math/terminology review 後才能對外宣稱 production-complete。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 w:eastAsia="Microsoft YaHei"/>
          <w:sz w:val="22"/>
          <w:szCs w:val="22"/>
        </w:rPr>
        <w:t xml:space="preserve"/>
      </w:r>
    </w:p>
    <w:p>
      <w:pPr>
        <w:pStyle w:val="Heading1"/>
        <w:spacing w:before="320" w:after="160" w:line="280" w:lineRule="auto"/>
      </w:pPr>
      <w:r>
        <w:rPr>
          <w:rFonts w:ascii="Calibri" w:hAnsi="Calibri" w:eastAsia="Microsoft YaHei"/>
          <w:b/>
          <w:color w:val="2E74B5"/>
          <w:sz w:val="32"/>
          <w:szCs w:val="32"/>
        </w:rPr>
        <w:t xml:space="preserve">七、Risks</w:t>
      </w:r>
    </w:p>
    <w:tbl>
      <w:tblPr>
        <w:tblW w:w="9360" w:type="dxa"/>
        <w:tblInd w:w="120" w:type="dxa"/>
        <w:tblLayout w:type="fixed"/>
        <w:tblBorders>
          <w:top w:val="single" w:sz="6" w:space="0" w:color="B8C1CC"/>
          <w:left w:val="single" w:sz="6" w:space="0" w:color="B8C1CC"/>
          <w:bottom w:val="single" w:sz="6" w:space="0" w:color="B8C1CC"/>
          <w:right w:val="single" w:sz="6" w:space="0" w:color="B8C1CC"/>
          <w:insideH w:val="single" w:sz="6" w:space="0" w:color="B8C1CC"/>
          <w:insideV w:val="single" w:sz="6" w:space="0" w:color="B8C1CC"/>
        </w:tblBorders>
      </w:tblPr>
      <w:tblGrid>
        <w:gridCol w:w="900"/>
        <w:gridCol w:w="1900"/>
        <w:gridCol w:w="6560"/>
      </w:tblGrid>
      <w:tr>
        <w:tc>
          <w:tcPr>
            <w:tcW w:w="900" w:type="dxa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9"/>
                <w:szCs w:val="19"/>
              </w:rPr>
              <w:t xml:space="preserve">Severity</w:t>
            </w:r>
          </w:p>
        </w:tc>
        <w:tc>
          <w:tcPr>
            <w:tcW w:w="1900" w:type="dxa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9"/>
                <w:szCs w:val="19"/>
              </w:rPr>
              <w:t xml:space="preserve">Risk</w:t>
            </w:r>
          </w:p>
        </w:tc>
        <w:tc>
          <w:tcPr>
            <w:tcW w:w="6560" w:type="dxa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w="90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High</w:t>
            </w:r>
          </w:p>
        </w:tc>
        <w:tc>
          <w:tcPr>
            <w:tcW w:w="190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Production readiness</w:t>
            </w:r>
          </w:p>
        </w:tc>
        <w:tc>
          <w:tcPr>
            <w:tcW w:w="656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本地 build/tests 綠不等於 production durable-ready；未配置 Postgres 前，production authenticated class/game workflows 仍紅。</w:t>
            </w:r>
          </w:p>
        </w:tc>
      </w:tr>
      <w:tr>
        <w:tc>
          <w:tcPr>
            <w:tcW w:w="90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High</w:t>
            </w:r>
          </w:p>
        </w:tc>
        <w:tc>
          <w:tcPr>
            <w:tcW w:w="190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Provider/OCR</w:t>
            </w:r>
          </w:p>
        </w:tc>
        <w:tc>
          <w:tcPr>
            <w:tcW w:w="656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SimpleTex provider:none/402 與 silent wrong accepted artifacts（如 star/up-arrow/currency/spacing）可能造成錯誤自動填入。</w:t>
            </w:r>
          </w:p>
        </w:tc>
      </w:tr>
      <w:tr>
        <w:tc>
          <w:tcPr>
            <w:tcW w:w="90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Medium</w:t>
            </w:r>
          </w:p>
        </w:tc>
        <w:tc>
          <w:tcPr>
            <w:tcW w:w="190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Content QA</w:t>
            </w:r>
          </w:p>
        </w:tc>
        <w:tc>
          <w:tcPr>
            <w:tcW w:w="656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Mainland PEP primary/high 與 DeepSeek-generated content 量大，需抽樣與人工審核，避免 template clustering 或自由題求解錯誤進入學生面。</w:t>
            </w:r>
          </w:p>
        </w:tc>
      </w:tr>
      <w:tr>
        <w:tc>
          <w:tcPr>
            <w:tcW w:w="90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Medium</w:t>
            </w:r>
          </w:p>
        </w:tc>
        <w:tc>
          <w:tcPr>
            <w:tcW w:w="190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US curriculum</w:t>
            </w:r>
          </w:p>
        </w:tc>
        <w:tc>
          <w:tcPr>
            <w:tcW w:w="656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US safe cards 是 standards-family abstraction，仍需教師 review、IP counsel、district materials license/provenance policy。</w:t>
            </w:r>
          </w:p>
        </w:tc>
      </w:tr>
      <w:tr>
        <w:tc>
          <w:tcPr>
            <w:tcW w:w="90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Medium</w:t>
            </w:r>
          </w:p>
        </w:tc>
        <w:tc>
          <w:tcPr>
            <w:tcW w:w="190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Secrets</w:t>
            </w:r>
          </w:p>
        </w:tc>
        <w:tc>
          <w:tcPr>
            <w:tcW w:w="656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日志稱 owner 曾在聊天中貼出 live-looking provider key；repo/report 未寫入值，但應在 provider console rotation。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 w:eastAsia="Microsoft YaHei"/>
          <w:sz w:val="22"/>
          <w:szCs w:val="22"/>
        </w:rPr>
        <w:t xml:space="preserve"/>
      </w:r>
    </w:p>
    <w:p>
      <w:pPr>
        <w:pStyle w:val="Heading1"/>
        <w:spacing w:before="320" w:after="160" w:line="280" w:lineRule="auto"/>
      </w:pPr>
      <w:r>
        <w:rPr>
          <w:rFonts w:ascii="Calibri" w:hAnsi="Calibri" w:eastAsia="Microsoft YaHei"/>
          <w:b/>
          <w:color w:val="2E74B5"/>
          <w:sz w:val="32"/>
          <w:szCs w:val="32"/>
        </w:rPr>
        <w:t xml:space="preserve">八、Test / Build Status</w:t>
      </w:r>
    </w:p>
    <w:tbl>
      <w:tblPr>
        <w:tblW w:w="9360" w:type="dxa"/>
        <w:tblInd w:w="120" w:type="dxa"/>
        <w:tblLayout w:type="fixed"/>
        <w:tblBorders>
          <w:top w:val="single" w:sz="6" w:space="0" w:color="B8C1CC"/>
          <w:left w:val="single" w:sz="6" w:space="0" w:color="B8C1CC"/>
          <w:bottom w:val="single" w:sz="6" w:space="0" w:color="B8C1CC"/>
          <w:right w:val="single" w:sz="6" w:space="0" w:color="B8C1CC"/>
          <w:insideH w:val="single" w:sz="6" w:space="0" w:color="B8C1CC"/>
          <w:insideV w:val="single" w:sz="6" w:space="0" w:color="B8C1CC"/>
        </w:tblBorders>
      </w:tblPr>
      <w:tblGrid>
        <w:gridCol w:w="1400"/>
        <w:gridCol w:w="2200"/>
        <w:gridCol w:w="1300"/>
        <w:gridCol w:w="4460"/>
      </w:tblGrid>
      <w:tr>
        <w:tc>
          <w:tcPr>
            <w:tcW w:w="1400" w:type="dxa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9"/>
                <w:szCs w:val="19"/>
              </w:rPr>
              <w:t xml:space="preserve">來源</w:t>
            </w:r>
          </w:p>
        </w:tc>
        <w:tc>
          <w:tcPr>
            <w:tcW w:w="2200" w:type="dxa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9"/>
                <w:szCs w:val="19"/>
              </w:rPr>
              <w:t xml:space="preserve">檢查</w:t>
            </w:r>
          </w:p>
        </w:tc>
        <w:tc>
          <w:tcPr>
            <w:tcW w:w="1300" w:type="dxa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9"/>
                <w:szCs w:val="19"/>
              </w:rPr>
              <w:t xml:space="preserve">結果</w:t>
            </w:r>
          </w:p>
        </w:tc>
        <w:tc>
          <w:tcPr>
            <w:tcW w:w="4460" w:type="dxa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9"/>
                <w:szCs w:val="19"/>
              </w:rPr>
              <w:t xml:space="preserve">備註</w:t>
            </w:r>
          </w:p>
        </w:tc>
      </w:tr>
      <w:tr>
        <w:tc>
          <w:tcPr>
            <w:tcW w:w="140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Fresh S10</w:t>
            </w:r>
          </w:p>
        </w:tc>
        <w:tc>
          <w:tcPr>
            <w:tcW w:w="220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npm run type-check</w:t>
            </w:r>
          </w:p>
        </w:tc>
        <w:tc>
          <w:tcPr>
            <w:tcW w:w="130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Passed</w:t>
            </w:r>
          </w:p>
        </w:tc>
        <w:tc>
          <w:tcPr>
            <w:tcW w:w="446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tsc --noEmit --incremental false passed.</w:t>
            </w:r>
          </w:p>
        </w:tc>
      </w:tr>
      <w:tr>
        <w:tc>
          <w:tcPr>
            <w:tcW w:w="140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Fresh S10</w:t>
            </w:r>
          </w:p>
        </w:tc>
        <w:tc>
          <w:tcPr>
            <w:tcW w:w="220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npm run test:rag</w:t>
            </w:r>
          </w:p>
        </w:tc>
        <w:tc>
          <w:tcPr>
            <w:tcW w:w="130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Passed</w:t>
            </w:r>
          </w:p>
        </w:tc>
        <w:tc>
          <w:tcPr>
            <w:tcW w:w="446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62/62 Node RAG tests passed; all manifest self-tests passed.</w:t>
            </w:r>
          </w:p>
        </w:tc>
      </w:tr>
      <w:tr>
        <w:tc>
          <w:tcPr>
            <w:tcW w:w="140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Fresh S10</w:t>
            </w:r>
          </w:p>
        </w:tc>
        <w:tc>
          <w:tcPr>
            <w:tcW w:w="220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npm run test:question-bank</w:t>
            </w:r>
          </w:p>
        </w:tc>
        <w:tc>
          <w:tcPr>
            <w:tcW w:w="130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Passed</w:t>
            </w:r>
          </w:p>
        </w:tc>
        <w:tc>
          <w:tcPr>
            <w:tcW w:w="446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27/27 tests passed, including public/full solvability and candidate QA assertions as currently wired.</w:t>
            </w:r>
          </w:p>
        </w:tc>
      </w:tr>
      <w:tr>
        <w:tc>
          <w:tcPr>
            <w:tcW w:w="140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Fresh S10</w:t>
            </w:r>
          </w:p>
        </w:tc>
        <w:tc>
          <w:tcPr>
            <w:tcW w:w="220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npm run test:mvp</w:t>
            </w:r>
          </w:p>
        </w:tc>
        <w:tc>
          <w:tcPr>
            <w:tcW w:w="130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Passed</w:t>
            </w:r>
          </w:p>
        </w:tc>
        <w:tc>
          <w:tcPr>
            <w:tcW w:w="446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23/23 tests passed on clean rerun; first parallel attempt only hit .tmp cleanup collision.</w:t>
            </w:r>
          </w:p>
        </w:tc>
      </w:tr>
      <w:tr>
        <w:tc>
          <w:tcPr>
            <w:tcW w:w="140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Fresh S10</w:t>
            </w:r>
          </w:p>
        </w:tc>
        <w:tc>
          <w:tcPr>
            <w:tcW w:w="220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npm run build</w:t>
            </w:r>
          </w:p>
        </w:tc>
        <w:tc>
          <w:tcPr>
            <w:tcW w:w="130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Passed</w:t>
            </w:r>
          </w:p>
        </w:tc>
        <w:tc>
          <w:tcPr>
            <w:tcW w:w="446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Next build completed; 86 app routes generated. Compile phase took 5.3 minutes.</w:t>
            </w:r>
          </w:p>
        </w:tc>
      </w:tr>
      <w:tr>
        <w:tc>
          <w:tcPr>
            <w:tcW w:w="140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Session-reported</w:t>
            </w:r>
          </w:p>
        </w:tc>
        <w:tc>
          <w:tcPr>
            <w:tcW w:w="220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AI Tutor live text</w:t>
            </w:r>
          </w:p>
        </w:tc>
        <w:tc>
          <w:tcPr>
            <w:tcW w:w="130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Passed after repair</w:t>
            </w:r>
          </w:p>
        </w:tc>
        <w:tc>
          <w:tcPr>
            <w:tcW w:w="446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S07: 81/81 production matrix, 6/6 frontend, 180/180 soak.</w:t>
            </w:r>
          </w:p>
        </w:tc>
      </w:tr>
      <w:tr>
        <w:tc>
          <w:tcPr>
            <w:tcW w:w="140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Session-reported</w:t>
            </w:r>
          </w:p>
        </w:tc>
        <w:tc>
          <w:tcPr>
            <w:tcW w:w="220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SimpleTex saturation</w:t>
            </w:r>
          </w:p>
        </w:tc>
        <w:tc>
          <w:tcPr>
            <w:tcW w:w="130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Blocked</w:t>
            </w:r>
          </w:p>
        </w:tc>
        <w:tc>
          <w:tcPr>
            <w:tcW w:w="446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S11: stopped at provider:none and later upstream 402; full 750-call matrix not completed.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 w:eastAsia="Microsoft YaHei"/>
          <w:sz w:val="22"/>
          <w:szCs w:val="22"/>
        </w:rPr>
        <w:t xml:space="preserve"/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4B5563"/>
          <w:sz w:val="19"/>
          <w:szCs w:val="19"/>
        </w:rPr>
        <w:t xml:space="preserve">Report-owner note: No live LLM/OCR calls were made by S10 during report synthesis. Fresh build was slow but completed successfully; this supersedes the same-day local build-stall caveat for this environment at report time, but not the unresolved browser route smoke gaps.</w:t>
      </w:r>
    </w:p>
    <w:p>
      <w:pPr>
        <w:pStyle w:val="Heading1"/>
        <w:spacing w:before="320" w:after="160" w:line="280" w:lineRule="auto"/>
      </w:pPr>
      <w:r>
        <w:rPr>
          <w:rFonts w:ascii="Calibri" w:hAnsi="Calibri" w:eastAsia="Microsoft YaHei"/>
          <w:b/>
          <w:color w:val="2E74B5"/>
          <w:sz w:val="32"/>
          <w:szCs w:val="32"/>
        </w:rPr>
        <w:t xml:space="preserve">九、Changed Files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  <w:szCs w:val="22"/>
        </w:rPr>
        <w:t xml:space="preserve">本窗口按 mtime 檢出 262 個非 node_modules/.next/.tmp 文件變更，包含 source、QA/report artifacts 與 local-safe generated content packages。以下列出主要 source/report 群組；大量 batch JSON/CSV/Markdown content artifacts 已合併摘要，不逐檔展開。</w:t>
      </w:r>
    </w:p>
    <w:tbl>
      <w:tblPr>
        <w:tblW w:w="9360" w:type="dxa"/>
        <w:tblInd w:w="120" w:type="dxa"/>
        <w:tblLayout w:type="fixed"/>
        <w:tblBorders>
          <w:top w:val="single" w:sz="6" w:space="0" w:color="B8C1CC"/>
          <w:left w:val="single" w:sz="6" w:space="0" w:color="B8C1CC"/>
          <w:bottom w:val="single" w:sz="6" w:space="0" w:color="B8C1CC"/>
          <w:right w:val="single" w:sz="6" w:space="0" w:color="B8C1CC"/>
          <w:insideH w:val="single" w:sz="6" w:space="0" w:color="B8C1CC"/>
          <w:insideV w:val="single" w:sz="6" w:space="0" w:color="B8C1CC"/>
        </w:tblBorders>
      </w:tblPr>
      <w:tblGrid>
        <w:gridCol w:w="1600"/>
        <w:gridCol w:w="7760"/>
      </w:tblGrid>
      <w:tr>
        <w:tc>
          <w:tcPr>
            <w:tcW w:w="1600" w:type="dxa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9"/>
                <w:szCs w:val="19"/>
              </w:rPr>
              <w:t xml:space="preserve">類別</w:t>
            </w:r>
          </w:p>
        </w:tc>
        <w:tc>
          <w:tcPr>
            <w:tcW w:w="7760" w:type="dxa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9"/>
                <w:szCs w:val="19"/>
              </w:rPr>
              <w:t xml:space="preserve">代表性文件/目錄</w:t>
            </w:r>
          </w:p>
        </w:tc>
      </w:tr>
      <w:tr>
        <w:tc>
          <w:tcPr>
            <w:tcW w:w="160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App/UI/Auth</w:t>
            </w:r>
          </w:p>
        </w:tc>
        <w:tc>
          <w:tcPr>
            <w:tcW w:w="776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app/login/page.tsx; components/ui/CurriculumTrackSelector.tsx; components/providers/AppProviders.tsx; lib/curriculumProfile.ts; app/api/auth/login/route.ts; app/api/auth/register/route.ts; app/api/questions/route.ts</w:t>
            </w:r>
          </w:p>
        </w:tc>
      </w:tr>
      <w:tr>
        <w:tc>
          <w:tcPr>
            <w:tcW w:w="160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AI Tutor</w:t>
            </w:r>
          </w:p>
        </w:tc>
        <w:tc>
          <w:tcPr>
            <w:tcW w:w="776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app/api/ai-tutor/route.ts; .env.local.example; tests/e2e/ai-tutor-deepseek.spec.ts; tests/e2e/ai-tutor-live-text.spec.ts</w:t>
            </w:r>
          </w:p>
        </w:tc>
      </w:tr>
      <w:tr>
        <w:tc>
          <w:tcPr>
            <w:tcW w:w="160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Lessons</w:t>
            </w:r>
          </w:p>
        </w:tc>
        <w:tc>
          <w:tcPr>
            <w:tcW w:w="776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data/mainlandPepHighLessons.ts; data/lessons.ts; tests/e2e/lesson-all.spec.ts; lib/mvpReadiness.test.ts; coordination/content-qa/mainland-pep-high-lessons-v1/**</w:t>
            </w:r>
          </w:p>
        </w:tc>
      </w:tr>
      <w:tr>
        <w:tc>
          <w:tcPr>
            <w:tcW w:w="160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Question banks</w:t>
            </w:r>
          </w:p>
        </w:tc>
        <w:tc>
          <w:tcPr>
            <w:tcW w:w="776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data/mainlandPepHighQuestions.ts; data/mainlandPepPrimaryQuestions.ts; data/mainlandPepPrimaryTopics.ts; data/questions.ts; data/topics.ts; lib/*QuestionBank.test.ts; lib/questionBankSolvability.ts</w:t>
            </w:r>
          </w:p>
        </w:tc>
      </w:tr>
      <w:tr>
        <w:tc>
          <w:tcPr>
            <w:tcW w:w="160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RAG</w:t>
            </w:r>
          </w:p>
        </w:tc>
        <w:tc>
          <w:tcPr>
            <w:tcW w:w="776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data/rag/*.ts; lib/rag/*.ts; scripts/build-*manifest.py; tsconfig.rag.json; coordination/decisions/*.md; coordination/content-qa/*.md/json/csv</w:t>
            </w:r>
          </w:p>
        </w:tc>
      </w:tr>
      <w:tr>
        <w:tc>
          <w:tcPr>
            <w:tcW w:w="160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Tooling/QA</w:t>
            </w:r>
          </w:p>
        </w:tc>
        <w:tc>
          <w:tcPr>
            <w:tcW w:w="776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scripts/simpletex-local-smoke.mjs; tests/e2e/simpletex-saturation-harness.mjs; package.json; package-lock.json; tailwind.config.ts; AGENTS.md</w:t>
            </w:r>
          </w:p>
        </w:tc>
      </w:tr>
      <w:tr>
        <w:tc>
          <w:tcPr>
            <w:tcW w:w="160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Games/copy</w:t>
            </w:r>
          </w:p>
        </w:tc>
        <w:tc>
          <w:tcPr>
            <w:tcW w:w="776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components/gamification/GamePracticeBackLink.tsx; app/practice/adventure-island/page.tsx; app/practice/fishing-game/page.tsx; lib/i18n.ts; components/home/HeroSection.tsx</w:t>
            </w:r>
          </w:p>
        </w:tc>
      </w:tr>
      <w:tr>
        <w:tc>
          <w:tcPr>
            <w:tcW w:w="160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Reports/blockers</w:t>
            </w:r>
          </w:p>
        </w:tc>
        <w:tc>
          <w:tcPr>
            <w:tcW w:w="7760" w:type="dx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 w:eastAsia="Microsoft YaHei"/>
                <w:sz w:val="18"/>
                <w:szCs w:val="18"/>
              </w:rPr>
              <w:t xml:space="preserve">coordination/session-logs/2026-05-22-*.md; coordination/session-logs/2026-05-23-*.md; coordination/reports/2026-05-22-*.md/png/html/json; coordination/reports/2026-05-23-simpletex-*.md; coordination/blockers/*.md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 w:eastAsia="Microsoft YaHei"/>
          <w:sz w:val="22"/>
          <w:szCs w:val="22"/>
        </w:rPr>
        <w:t xml:space="preserve"/>
      </w:r>
    </w:p>
    <w:p>
      <w:pPr>
        <w:pStyle w:val="Heading1"/>
        <w:spacing w:before="320" w:after="160" w:line="280" w:lineRule="auto"/>
      </w:pPr>
      <w:r>
        <w:rPr>
          <w:rFonts w:ascii="Calibri" w:hAnsi="Calibri" w:eastAsia="Microsoft YaHei"/>
          <w:b/>
          <w:color w:val="2E74B5"/>
          <w:sz w:val="32"/>
          <w:szCs w:val="32"/>
        </w:rPr>
        <w:t xml:space="preserve">十、明日優先事項</w:t>
      </w:r>
    </w:p>
    <w:p>
      <w:pPr>
        <w:numPr>
          <w:ilvl w:val="0"/>
          <w:numId w:val="1"/>
        </w:numPr>
        <w:spacing w:before="0" w:after="80" w:line="260" w:lineRule="auto"/>
      </w:pPr>
      <w:r>
        <w:rPr>
          <w:rFonts w:ascii="Calibri" w:hAnsi="Calibri" w:eastAsia="Microsoft YaHei"/>
          <w:sz w:val="21"/>
          <w:szCs w:val="21"/>
        </w:rPr>
        <w:t xml:space="preserve">S19/S12：配置並 redacted 驗證 Vercel Production Postgres env，確認 /api/admin/storage/health、register/login、/api/me stability，再開 production game smoke。</w:t>
      </w:r>
    </w:p>
    <w:p>
      <w:pPr>
        <w:numPr>
          <w:ilvl w:val="0"/>
          <w:numId w:val="1"/>
        </w:numPr>
        <w:spacing w:before="0" w:after="80" w:line="260" w:lineRule="auto"/>
      </w:pPr>
      <w:r>
        <w:rPr>
          <w:rFonts w:ascii="Calibri" w:hAnsi="Calibri" w:eastAsia="Microsoft YaHei"/>
          <w:sz w:val="21"/>
          <w:szCs w:val="21"/>
        </w:rPr>
        <w:t xml:space="preserve">S12/S19/S11：先讓 SimpleTex 10-call smoke 回到 provider:simpletex，再修 retry/classification/normalization，最後重跑 750-call saturation。</w:t>
      </w:r>
    </w:p>
    <w:p>
      <w:pPr>
        <w:numPr>
          <w:ilvl w:val="0"/>
          <w:numId w:val="1"/>
        </w:numPr>
        <w:spacing w:before="0" w:after="80" w:line="260" w:lineRule="auto"/>
      </w:pPr>
      <w:r>
        <w:rPr>
          <w:rFonts w:ascii="Calibri" w:hAnsi="Calibri" w:eastAsia="Microsoft YaHei"/>
          <w:sz w:val="21"/>
          <w:szCs w:val="21"/>
        </w:rPr>
        <w:t xml:space="preserve">S18/S04/S05/S09：完成 Mainland PEP primary/high 題庫、DeepSeek offline bank、22 lessons 的人工抽樣與 source-distance/math/terminology signoff。</w:t>
      </w:r>
    </w:p>
    <w:p>
      <w:pPr>
        <w:numPr>
          <w:ilvl w:val="0"/>
          <w:numId w:val="1"/>
        </w:numPr>
        <w:spacing w:before="0" w:after="80" w:line="260" w:lineRule="auto"/>
      </w:pPr>
      <w:r>
        <w:rPr>
          <w:rFonts w:ascii="Calibri" w:hAnsi="Calibri" w:eastAsia="Microsoft YaHei"/>
          <w:sz w:val="21"/>
          <w:szCs w:val="21"/>
        </w:rPr>
        <w:t xml:space="preserve">S11：在 fresh build 已通過後，重跑 lesson-all route sweep、login curriculum selector E2E、production game smoke（等 storage gate）。</w:t>
      </w:r>
    </w:p>
    <w:p>
      <w:pPr>
        <w:numPr>
          <w:ilvl w:val="0"/>
          <w:numId w:val="1"/>
        </w:numPr>
        <w:spacing w:before="0" w:after="80" w:line="260" w:lineRule="auto"/>
      </w:pPr>
      <w:r>
        <w:rPr>
          <w:rFonts w:ascii="Calibri" w:hAnsi="Calibri" w:eastAsia="Microsoft YaHei"/>
          <w:sz w:val="21"/>
          <w:szCs w:val="21"/>
        </w:rPr>
        <w:t xml:space="preserve">S16/S18/S10：安排 US top-10 state safe-RAG 的 curriculum review、IP counsel review 與 principal-demo scope。</w:t>
      </w:r>
    </w:p>
    <w:p>
      <w:pPr>
        <w:pStyle w:val="Heading1"/>
        <w:spacing w:before="320" w:after="160" w:line="280" w:lineRule="auto"/>
      </w:pPr>
      <w:r>
        <w:rPr>
          <w:rFonts w:ascii="Calibri" w:hAnsi="Calibri" w:eastAsia="Microsoft YaHei"/>
          <w:b/>
          <w:color w:val="2E74B5"/>
          <w:sz w:val="32"/>
          <w:szCs w:val="32"/>
        </w:rPr>
        <w:t xml:space="preserve">十一、Owner Decisions Needed</w:t>
      </w:r>
    </w:p>
    <w:p>
      <w:pPr>
        <w:numPr>
          <w:ilvl w:val="0"/>
          <w:numId w:val="1"/>
        </w:numPr>
        <w:spacing w:before="0" w:after="80" w:line="260" w:lineRule="auto"/>
      </w:pPr>
      <w:r>
        <w:rPr>
          <w:rFonts w:ascii="Calibri" w:hAnsi="Calibri" w:eastAsia="Microsoft YaHei"/>
          <w:sz w:val="21"/>
          <w:szCs w:val="21"/>
        </w:rPr>
        <w:t xml:space="preserve">是否立即提供/批准 Production Postgres URL 與 admin smoke credential 給 S19/S12，用於 durable storage release gate。</w:t>
      </w:r>
    </w:p>
    <w:p>
      <w:pPr>
        <w:numPr>
          <w:ilvl w:val="0"/>
          <w:numId w:val="1"/>
        </w:numPr>
        <w:spacing w:before="0" w:after="80" w:line="260" w:lineRule="auto"/>
      </w:pPr>
      <w:r>
        <w:rPr>
          <w:rFonts w:ascii="Calibri" w:hAnsi="Calibri" w:eastAsia="Microsoft YaHei"/>
          <w:sz w:val="21"/>
          <w:szCs w:val="21"/>
        </w:rPr>
        <w:t xml:space="preserve">是否先投入 SimpleTex normalization/retry 修復，或暫時把 OCR saturation 標為非 release blocker。</w:t>
      </w:r>
    </w:p>
    <w:p>
      <w:pPr>
        <w:numPr>
          <w:ilvl w:val="0"/>
          <w:numId w:val="1"/>
        </w:numPr>
        <w:spacing w:before="0" w:after="80" w:line="260" w:lineRule="auto"/>
      </w:pPr>
      <w:r>
        <w:rPr>
          <w:rFonts w:ascii="Calibri" w:hAnsi="Calibri" w:eastAsia="Microsoft YaHei"/>
          <w:sz w:val="21"/>
          <w:szCs w:val="21"/>
        </w:rPr>
        <w:t xml:space="preserve">是否將 600 DeepSeek primary offline questions、1200 deterministic primary questions、1500 rag-v4 high-school candidates 分批進入 S04 practice rollout；每批需要明確 sample threshold。</w:t>
      </w:r>
    </w:p>
    <w:p>
      <w:pPr>
        <w:numPr>
          <w:ilvl w:val="0"/>
          <w:numId w:val="1"/>
        </w:numPr>
        <w:spacing w:before="0" w:after="80" w:line="260" w:lineRule="auto"/>
      </w:pPr>
      <w:r>
        <w:rPr>
          <w:rFonts w:ascii="Calibri" w:hAnsi="Calibri" w:eastAsia="Microsoft YaHei"/>
          <w:sz w:val="21"/>
          <w:szCs w:val="21"/>
        </w:rPr>
        <w:t xml:space="preserve">是否要求 provider key rotation（DeepSeek/SimpleTex）並記錄 redacted completion，因聊天中曾出現 live-looking credential。</w:t>
      </w:r>
    </w:p>
    <w:p>
      <w:pPr>
        <w:numPr>
          <w:ilvl w:val="0"/>
          <w:numId w:val="1"/>
        </w:numPr>
        <w:spacing w:before="0" w:after="80" w:line="260" w:lineRule="auto"/>
      </w:pPr>
      <w:r>
        <w:rPr>
          <w:rFonts w:ascii="Calibri" w:hAnsi="Calibri" w:eastAsia="Microsoft YaHei"/>
          <w:sz w:val="21"/>
          <w:szCs w:val="21"/>
        </w:rPr>
        <w:t xml:space="preserve">是否為 US curriculum pilot 指定 legal/IP counsel review owner 與 teacher-review rubric。</w:t>
      </w:r>
    </w:p>
    <w:p>
      <w:pPr>
        <w:pStyle w:val="Heading1"/>
        <w:spacing w:before="320" w:after="160" w:line="280" w:lineRule="auto"/>
      </w:pPr>
      <w:r>
        <w:rPr>
          <w:rFonts w:ascii="Calibri" w:hAnsi="Calibri" w:eastAsia="Microsoft YaHei"/>
          <w:b/>
          <w:color w:val="2E74B5"/>
          <w:sz w:val="32"/>
          <w:szCs w:val="32"/>
        </w:rPr>
        <w:t xml:space="preserve">十二、附註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  <w:szCs w:val="22"/>
        </w:rPr>
        <w:t xml:space="preserve">本報告未修改 feature code；只生成 president report 並更新 S10/automation memory。真實 secrets 未寫入報告。所有 provider/env 狀態均以 redacted outcome 描述。</w:t>
      </w:r>
    </w:p>
    <w:sectPr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eastAsia="Microsoft YaHei"/>
        <w:sz w:val="21"/>
        <w:szCs w:val="21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64" w:lineRule="auto"/>
    </w:pPr>
    <w:rPr>
      <w:rFonts w:ascii="Calibri" w:hAnsi="Calibri" w:eastAsia="Microsoft YaHei"/>
      <w:sz w:val="22"/>
      <w:szCs w:val="22"/>
    </w:rPr>
  </w:style>
  <w:style w:type="paragraph" w:styleId="Title">
    <w:name w:val="Title"/>
    <w:basedOn w:val="Normal"/>
    <w:qFormat/>
    <w:pPr>
      <w:spacing w:after="80"/>
    </w:pPr>
    <w:rPr>
      <w:rFonts w:ascii="Calibri" w:hAnsi="Calibri" w:eastAsia="Microsoft YaHei"/>
      <w:b/>
      <w:color w:val="17365D"/>
      <w:sz w:val="40"/>
      <w:szCs w:val="40"/>
    </w:rPr>
  </w:style>
  <w:style w:type="paragraph" w:styleId="Meta">
    <w:name w:val="Meta"/>
    <w:basedOn w:val="Normal"/>
    <w:rPr>
      <w:color w:val="4B5563"/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before="320" w:after="160" w:line="280" w:lineRule="auto"/>
      <w:outlineLvl w:val="0"/>
    </w:pPr>
    <w:rPr>
      <w:rFonts w:ascii="Calibri" w:hAnsi="Calibri" w:eastAsia="Microsoft YaHei"/>
      <w:b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 w:line="270" w:lineRule="auto"/>
      <w:outlineLvl w:val="1"/>
    </w:pPr>
    <w:rPr>
      <w:rFonts w:ascii="Calibri" w:hAnsi="Calibri" w:eastAsia="Microsoft YaHei"/>
      <w:b/>
      <w:color w:val="2E74B5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 OOXML writer</Application>
  <DocSecurity>0</DocSecurity>
  <ScaleCrop>false</ScaleCrop>
  <Company>MAIS-MVP</Company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MAIS-MVP President Report 2026-05-23</dc:title>
  <dc:creator>S10 Codex Automation</dc:creator>
  <cp:lastModifiedBy>S10 Codex Automation</cp:lastModifiedBy>
  <dcterms:created xsi:type="dcterms:W3CDTF">2026-05-23T00:19:03Z</dcterms:created>
  <dcterms:modified xsi:type="dcterms:W3CDTF">2026-05-23T00:19:03Z</dcterms:modified>
</cp:coreProperties>
</file>