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TRUST-MAIS v3 Research Agenda and Literature Review</w:t>
      </w:r>
    </w:p>
    <w:p>
      <w:pPr>
        <w:pStyle w:val="ListBullet"/>
      </w:pPr>
      <w:r>
        <w:t>Date: 2026-05-17</w:t>
      </w:r>
    </w:p>
    <w:p>
      <w:pPr>
        <w:pStyle w:val="ListBullet"/>
      </w:pPr>
      <w:r>
        <w:t>Session: S16, Research and learning science</w:t>
      </w:r>
    </w:p>
    <w:p>
      <w:pPr>
        <w:pStyle w:val="ListBullet"/>
      </w:pPr>
      <w:r>
        <w:t>Project: MAIS-MVP / MAIS Research Project</w:t>
      </w:r>
    </w:p>
    <w:p>
      <w:pPr>
        <w:pStyle w:val="ListBullet"/>
      </w:pPr>
      <w:r>
        <w:t>Audience: Dr. Peter Hu</w:t>
      </w:r>
    </w:p>
    <w:p>
      <w:pPr>
        <w:pStyle w:val="ListBullet"/>
      </w:pPr>
      <w:r>
        <w:t>Purpose: Build a research agenda for Deliverable 1, "TRUST-MAIS v3 adaptive decision engine," and identify impactful, innovative research questions for a future Hong Kong RGC General Research Fund proposal.</w:t>
      </w:r>
    </w:p>
    <w:p>
      <w:pPr>
        <w:pStyle w:val="Heading1"/>
      </w:pPr>
      <w:r>
        <w:t>Executive Position</w:t>
      </w:r>
    </w:p>
    <w:p>
      <w:pPr/>
      <w:r>
        <w:t>The strongest future GRF angle is not "MAIS adds an LLM tutor." That would be too crowded and too easy for reviewers to dismiss as product development. The stronger research contribution is:</w:t>
      </w:r>
    </w:p>
    <w:p>
      <w:pPr>
        <w:pStyle w:val="Quote"/>
      </w:pPr>
      <w:r>
        <w:t>TRUST-MAIS v3 is a verifiable adaptive instructional decision engine that studies how probabilistic learner modelling, curriculum knowledge graphs, retrieval grounding, constrained LLM reranking, and teacher governance can be integrated so that adaptive mathematics recommendations are educationally valid, auditable, fair, reversible, and effective in real classrooms.</w:t>
      </w:r>
    </w:p>
    <w:p>
      <w:pPr/>
      <w:r>
        <w:t>This framing turns Deliverable 1 into a research problem with theory, measurement, design, and classroom impact. It also aligns with the KT proposal's key principle: the LLM may rank and explain only BKT-generated candidates; it must not generate pathways or update mastery probabilities.</w:t>
      </w:r>
    </w:p>
    <w:p>
      <w:pPr>
        <w:pStyle w:val="Heading1"/>
      </w:pPr>
      <w:r>
        <w:t>Source Basis</w:t>
      </w:r>
    </w:p>
    <w:p>
      <w:pPr/>
      <w:r>
        <w:t>This note uses:</w:t>
      </w:r>
    </w:p>
    <w:p>
      <w:pPr>
        <w:pStyle w:val="ListBullet"/>
      </w:pPr>
      <w:r>
        <w:t>Local proposal sources reviewed on 2026-05-17:</w:t>
      </w:r>
    </w:p>
    <w:p>
      <w:pPr>
        <w:pStyle w:val="ListBullet"/>
      </w:pPr>
      <w:r>
        <w:rPr>
          <w:rFonts w:ascii="Consolas" w:hAnsi="Consolas" w:eastAsia="Consolas"/>
          <w:color w:val="0B2545"/>
          <w:sz w:val="20"/>
        </w:rPr>
        <w:t>/Users/dongpinhu/Desktop/MAIS Research Proposals/Proposals/KT - TRUST-MAIS_v3_KT_Fund_Proposal.docx</w:t>
      </w:r>
    </w:p>
    <w:p>
      <w:pPr>
        <w:pStyle w:val="ListBullet"/>
      </w:pPr>
      <w:r>
        <w:rPr>
          <w:rFonts w:ascii="Consolas" w:hAnsi="Consolas" w:eastAsia="Consolas"/>
          <w:color w:val="0B2545"/>
          <w:sz w:val="20"/>
        </w:rPr>
        <w:t>/Users/dongpinhu/Desktop/MAIS Research Proposals/Proposals/GRF_MAIS_v3_Research_Proposal_Draft.docx</w:t>
      </w:r>
    </w:p>
    <w:p>
      <w:pPr>
        <w:pStyle w:val="ListBullet"/>
      </w:pPr>
      <w:r>
        <w:t>Literature and policy sources searched on 2026-05-17, prioritising peer-reviewed papers, official curriculum/policy sources, and major research proceedings.</w:t>
      </w:r>
    </w:p>
    <w:p>
      <w:pPr>
        <w:pStyle w:val="Heading1"/>
      </w:pPr>
      <w:r>
        <w:t>What Deliverable 1 Should Mean Operationally</w:t>
      </w:r>
    </w:p>
    <w:p>
      <w:pPr/>
      <w:r>
        <w:t>Deliverable 1 should be defined as a bounded decision engine, not a general AI tutor.</w:t>
      </w:r>
    </w:p>
    <w:p>
      <w:pPr/>
      <w:r>
        <w:t>Core decision rule:</w:t>
      </w:r>
    </w:p>
    <w:tbl>
      <w:tblPr>
        <w:tblW w:type="dxa" w:w="9360"/>
        <w:jc w:val="left"/>
        <w:tblLayout w:type="fixed"/>
        <w:tblLook w:firstColumn="1" w:firstRow="1" w:lastColumn="0" w:lastRow="0" w:noHBand="0" w:noVBand="1" w:val="04A0"/>
        <w:tblInd w:w="120" w:type="dxa"/>
        <w:tblBorders>
          <w:top w:val="single" w:sz="4" w:space="0" w:color="E3E7EE"/>
          <w:left w:val="single" w:sz="4" w:space="0" w:color="E3E7EE"/>
          <w:bottom w:val="single" w:sz="4" w:space="0" w:color="E3E7EE"/>
          <w:right w:val="single" w:sz="4" w:space="0" w:color="E3E7EE"/>
          <w:insideH w:val="single" w:sz="4" w:space="0" w:color="E3E7EE"/>
          <w:insideV w:val="single" w:sz="4" w:space="0" w:color="E3E7EE"/>
        </w:tblBorders>
      </w:tblPr>
      <w:tblGrid>
        <w:gridCol w:w="9360"/>
      </w:tblGrid>
      <w:tr>
        <w:trPr>
          <w:tblHeader w:val="true"/>
        </w:trPr>
        <w:tc>
          <w:tcPr>
            <w:tcW w:type="dxa" w:w="9360"/>
            <w:tcMar>
              <w:top w:w="80" w:type="dxa"/>
              <w:start w:w="120" w:type="dxa"/>
              <w:bottom w:w="80" w:type="dxa"/>
              <w:end w:w="120" w:type="dxa"/>
            </w:tcMar>
            <w:vAlign w:val="center"/>
            <w:shd w:fill="F4F6F9"/>
          </w:tcPr>
          <w:p>
            <w:pPr>
              <w:pStyle w:val="CodeBlock"/>
            </w:pPr>
            <w:r>
              <w:rPr>
                <w:rFonts w:ascii="Consolas" w:hAnsi="Consolas" w:eastAsia="Consolas"/>
                <w:color w:val="0B2545"/>
                <w:sz w:val="19"/>
              </w:rPr>
              <w:t>Student event history -&gt; BKT mastery state -&gt; safe candidate set</w:t>
            </w:r>
            <w:r>
              <w:br/>
            </w:r>
            <w:r>
              <w:rPr>
                <w:rFonts w:ascii="Consolas" w:hAnsi="Consolas" w:eastAsia="Consolas"/>
                <w:color w:val="0B2545"/>
                <w:sz w:val="19"/>
              </w:rPr>
              <w:t>Safe candidate set + KG/RAG evidence pack -&gt; constrained LLM reranking</w:t>
            </w:r>
            <w:r>
              <w:br/>
            </w:r>
            <w:r>
              <w:rPr>
                <w:rFonts w:ascii="Consolas" w:hAnsi="Consolas" w:eastAsia="Consolas"/>
                <w:color w:val="0B2545"/>
                <w:sz w:val="19"/>
              </w:rPr>
              <w:t>Constrained output -&gt; validator -&gt; teacher-visible recommendation or deterministic fallback</w:t>
            </w:r>
            <w:r>
              <w:br/>
            </w:r>
            <w:r>
              <w:rPr>
                <w:rFonts w:ascii="Consolas" w:hAnsi="Consolas" w:eastAsia="Consolas"/>
                <w:color w:val="0B2545"/>
                <w:sz w:val="19"/>
              </w:rPr>
              <w:t>Teacher decision -&gt; audit log -&gt; evaluation dataset</w:t>
            </w:r>
          </w:p>
        </w:tc>
      </w:tr>
    </w:tbl>
    <w:p>
      <w:pPr>
        <w:pStyle w:val="TableGap"/>
      </w:pPr>
    </w:p>
    <w:p>
      <w:pPr/>
      <w:r>
        <w:t>Non-negotiable design rule:</w:t>
      </w:r>
    </w:p>
    <w:tbl>
      <w:tblPr>
        <w:tblW w:type="dxa" w:w="9360"/>
        <w:jc w:val="left"/>
        <w:tblLayout w:type="fixed"/>
        <w:tblLook w:firstColumn="1" w:firstRow="1" w:lastColumn="0" w:lastRow="0" w:noHBand="0" w:noVBand="1" w:val="04A0"/>
        <w:tblInd w:w="120" w:type="dxa"/>
        <w:tblBorders>
          <w:top w:val="single" w:sz="4" w:space="0" w:color="E3E7EE"/>
          <w:left w:val="single" w:sz="4" w:space="0" w:color="E3E7EE"/>
          <w:bottom w:val="single" w:sz="4" w:space="0" w:color="E3E7EE"/>
          <w:right w:val="single" w:sz="4" w:space="0" w:color="E3E7EE"/>
          <w:insideH w:val="single" w:sz="4" w:space="0" w:color="E3E7EE"/>
          <w:insideV w:val="single" w:sz="4" w:space="0" w:color="E3E7EE"/>
        </w:tblBorders>
      </w:tblPr>
      <w:tblGrid>
        <w:gridCol w:w="9360"/>
      </w:tblGrid>
      <w:tr>
        <w:trPr>
          <w:tblHeader w:val="true"/>
        </w:trPr>
        <w:tc>
          <w:tcPr>
            <w:tcW w:type="dxa" w:w="9360"/>
            <w:tcMar>
              <w:top w:w="80" w:type="dxa"/>
              <w:start w:w="120" w:type="dxa"/>
              <w:bottom w:w="80" w:type="dxa"/>
              <w:end w:w="120" w:type="dxa"/>
            </w:tcMar>
            <w:vAlign w:val="center"/>
            <w:shd w:fill="F4F6F9"/>
          </w:tcPr>
          <w:p>
            <w:pPr>
              <w:pStyle w:val="CodeBlock"/>
            </w:pPr>
            <w:r>
              <w:rPr>
                <w:rFonts w:ascii="Consolas" w:hAnsi="Consolas" w:eastAsia="Consolas"/>
                <w:color w:val="0B2545"/>
                <w:sz w:val="19"/>
              </w:rPr>
              <w:t>The LLM may rerank, explain, and draft audit notes for candidates generated by the BKT/KG policy.</w:t>
            </w:r>
            <w:r>
              <w:br/>
            </w:r>
            <w:r>
              <w:rPr>
                <w:rFonts w:ascii="Consolas" w:hAnsi="Consolas" w:eastAsia="Consolas"/>
                <w:color w:val="0B2545"/>
                <w:sz w:val="19"/>
              </w:rPr>
              <w:t>The LLM may not create new candidate IDs, bypass prerequisite or review guards, update BKT probabilities, introduce new question IDs, or make claims without retrieved evidence.</w:t>
            </w:r>
          </w:p>
        </w:tc>
      </w:tr>
    </w:tbl>
    <w:p>
      <w:pPr>
        <w:pStyle w:val="TableGap"/>
      </w:pPr>
    </w:p>
    <w:p>
      <w:pPr/>
      <w:r>
        <w:t>Minimum data objects for v3 research:</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3300"/>
        <w:gridCol w:w="3860"/>
      </w:tblGrid>
      <w:tr>
        <w:trPr>
          <w:tblHeader w:val="true"/>
        </w:trPr>
        <w:tc>
          <w:tcPr>
            <w:tcW w:type="dxa" w:w="2200"/>
            <w:tcMar>
              <w:top w:w="80" w:type="dxa"/>
              <w:start w:w="120" w:type="dxa"/>
              <w:bottom w:w="80" w:type="dxa"/>
              <w:end w:w="120" w:type="dxa"/>
            </w:tcMar>
            <w:vAlign w:val="center"/>
            <w:shd w:fill="F2F4F7"/>
          </w:tcPr>
          <w:p>
            <w:pPr>
              <w:pStyle w:val="TableBody"/>
            </w:pPr>
            <w:r>
              <w:rPr>
                <w:b/>
                <w:color w:val="0B2545"/>
              </w:rPr>
            </w:r>
            <w:r>
              <w:rPr>
                <w:b/>
                <w:color w:val="0B2545"/>
                <w:sz w:val="18"/>
              </w:rPr>
              <w:t>Object</w:t>
            </w:r>
          </w:p>
        </w:tc>
        <w:tc>
          <w:tcPr>
            <w:tcW w:type="dxa" w:w="3300"/>
            <w:tcMar>
              <w:top w:w="80" w:type="dxa"/>
              <w:start w:w="120" w:type="dxa"/>
              <w:bottom w:w="80" w:type="dxa"/>
              <w:end w:w="120" w:type="dxa"/>
            </w:tcMar>
            <w:vAlign w:val="center"/>
            <w:shd w:fill="F2F4F7"/>
          </w:tcPr>
          <w:p>
            <w:pPr>
              <w:pStyle w:val="TableBody"/>
            </w:pPr>
            <w:r>
              <w:rPr>
                <w:b/>
                <w:color w:val="0B2545"/>
              </w:rPr>
            </w:r>
            <w:r>
              <w:rPr>
                <w:b/>
                <w:color w:val="0B2545"/>
                <w:sz w:val="18"/>
              </w:rPr>
              <w:t>Research purpose</w:t>
            </w:r>
          </w:p>
        </w:tc>
        <w:tc>
          <w:tcPr>
            <w:tcW w:type="dxa" w:w="3860"/>
            <w:tcMar>
              <w:top w:w="80" w:type="dxa"/>
              <w:start w:w="120" w:type="dxa"/>
              <w:bottom w:w="80" w:type="dxa"/>
              <w:end w:w="120" w:type="dxa"/>
            </w:tcMar>
            <w:vAlign w:val="center"/>
            <w:shd w:fill="F2F4F7"/>
          </w:tcPr>
          <w:p>
            <w:pPr>
              <w:pStyle w:val="TableBody"/>
            </w:pPr>
            <w:r>
              <w:rPr>
                <w:b/>
                <w:color w:val="0B2545"/>
              </w:rPr>
            </w:r>
            <w:r>
              <w:rPr>
                <w:b/>
                <w:color w:val="0B2545"/>
                <w:sz w:val="18"/>
              </w:rPr>
              <w:t>Example fields</w:t>
            </w:r>
          </w:p>
        </w:tc>
      </w:tr>
      <w:tr>
        <w:tc>
          <w:tcPr>
            <w:tcW w:type="dxa" w:w="2200"/>
            <w:tcMar>
              <w:top w:w="80" w:type="dxa"/>
              <w:start w:w="120" w:type="dxa"/>
              <w:bottom w:w="80" w:type="dxa"/>
              <w:end w:w="120" w:type="dxa"/>
            </w:tcMar>
            <w:vAlign w:val="center"/>
          </w:tcPr>
          <w:p>
            <w:pPr>
              <w:pStyle w:val="TableBody"/>
            </w:pPr>
            <w:r/>
            <w:r>
              <w:rPr>
                <w:sz w:val="18"/>
              </w:rPr>
              <w:t>Learner state</w:t>
            </w:r>
          </w:p>
        </w:tc>
        <w:tc>
          <w:tcPr>
            <w:tcW w:type="dxa" w:w="3300"/>
            <w:tcMar>
              <w:top w:w="80" w:type="dxa"/>
              <w:start w:w="120" w:type="dxa"/>
              <w:bottom w:w="80" w:type="dxa"/>
              <w:end w:w="120" w:type="dxa"/>
            </w:tcMar>
            <w:vAlign w:val="center"/>
          </w:tcPr>
          <w:p>
            <w:pPr>
              <w:pStyle w:val="TableBody"/>
            </w:pPr>
            <w:r/>
            <w:r>
              <w:rPr>
                <w:sz w:val="18"/>
              </w:rPr>
              <w:t>Measurement validity and uncertainty</w:t>
            </w:r>
          </w:p>
        </w:tc>
        <w:tc>
          <w:tcPr>
            <w:tcW w:type="dxa" w:w="3860"/>
            <w:tcMar>
              <w:top w:w="80" w:type="dxa"/>
              <w:start w:w="120" w:type="dxa"/>
              <w:bottom w:w="80" w:type="dxa"/>
              <w:end w:w="120" w:type="dxa"/>
            </w:tcMar>
            <w:vAlign w:val="center"/>
          </w:tcPr>
          <w:p>
            <w:pPr>
              <w:pStyle w:val="TableBody"/>
            </w:pPr>
            <w:r/>
            <w:r>
              <w:rPr>
                <w:sz w:val="18"/>
              </w:rPr>
              <w:t>learnerId pseudonym, KC mastery, uncertainty, slip/guess version, due review, wrong streak</w:t>
            </w:r>
          </w:p>
        </w:tc>
      </w:tr>
      <w:tr>
        <w:tc>
          <w:tcPr>
            <w:tcW w:type="dxa" w:w="2200"/>
            <w:tcMar>
              <w:top w:w="80" w:type="dxa"/>
              <w:start w:w="120" w:type="dxa"/>
              <w:bottom w:w="80" w:type="dxa"/>
              <w:end w:w="120" w:type="dxa"/>
            </w:tcMar>
            <w:vAlign w:val="center"/>
          </w:tcPr>
          <w:p>
            <w:pPr>
              <w:pStyle w:val="TableBody"/>
            </w:pPr>
            <w:r/>
            <w:r>
              <w:rPr>
                <w:sz w:val="18"/>
              </w:rPr>
              <w:t>Candidate set</w:t>
            </w:r>
          </w:p>
        </w:tc>
        <w:tc>
          <w:tcPr>
            <w:tcW w:type="dxa" w:w="3300"/>
            <w:tcMar>
              <w:top w:w="80" w:type="dxa"/>
              <w:start w:w="120" w:type="dxa"/>
              <w:bottom w:w="80" w:type="dxa"/>
              <w:end w:w="120" w:type="dxa"/>
            </w:tcMar>
            <w:vAlign w:val="center"/>
          </w:tcPr>
          <w:p>
            <w:pPr>
              <w:pStyle w:val="TableBody"/>
            </w:pPr>
            <w:r/>
            <w:r>
              <w:rPr>
                <w:sz w:val="18"/>
              </w:rPr>
              <w:t>Decision validity</w:t>
            </w:r>
          </w:p>
        </w:tc>
        <w:tc>
          <w:tcPr>
            <w:tcW w:type="dxa" w:w="3860"/>
            <w:tcMar>
              <w:top w:w="80" w:type="dxa"/>
              <w:start w:w="120" w:type="dxa"/>
              <w:bottom w:w="80" w:type="dxa"/>
              <w:end w:w="120" w:type="dxa"/>
            </w:tcMar>
            <w:vAlign w:val="center"/>
          </w:tcPr>
          <w:p>
            <w:pPr>
              <w:pStyle w:val="TableBody"/>
            </w:pPr>
            <w:r/>
            <w:r>
              <w:rPr>
                <w:sz w:val="18"/>
              </w:rPr>
              <w:t>candidateId, action type, KC, prerequisite status, deterministic score, guard reason</w:t>
            </w:r>
          </w:p>
        </w:tc>
      </w:tr>
      <w:tr>
        <w:tc>
          <w:tcPr>
            <w:tcW w:type="dxa" w:w="2200"/>
            <w:tcMar>
              <w:top w:w="80" w:type="dxa"/>
              <w:start w:w="120" w:type="dxa"/>
              <w:bottom w:w="80" w:type="dxa"/>
              <w:end w:w="120" w:type="dxa"/>
            </w:tcMar>
            <w:vAlign w:val="center"/>
          </w:tcPr>
          <w:p>
            <w:pPr>
              <w:pStyle w:val="TableBody"/>
            </w:pPr>
            <w:r/>
            <w:r>
              <w:rPr>
                <w:sz w:val="18"/>
              </w:rPr>
              <w:t>Evidence pack</w:t>
            </w:r>
          </w:p>
        </w:tc>
        <w:tc>
          <w:tcPr>
            <w:tcW w:type="dxa" w:w="3300"/>
            <w:tcMar>
              <w:top w:w="80" w:type="dxa"/>
              <w:start w:w="120" w:type="dxa"/>
              <w:bottom w:w="80" w:type="dxa"/>
              <w:end w:w="120" w:type="dxa"/>
            </w:tcMar>
            <w:vAlign w:val="center"/>
          </w:tcPr>
          <w:p>
            <w:pPr>
              <w:pStyle w:val="TableBody"/>
            </w:pPr>
            <w:r/>
            <w:r>
              <w:rPr>
                <w:sz w:val="18"/>
              </w:rPr>
              <w:t>Retrieval grounding</w:t>
            </w:r>
          </w:p>
        </w:tc>
        <w:tc>
          <w:tcPr>
            <w:tcW w:type="dxa" w:w="3860"/>
            <w:tcMar>
              <w:top w:w="80" w:type="dxa"/>
              <w:start w:w="120" w:type="dxa"/>
              <w:bottom w:w="80" w:type="dxa"/>
              <w:end w:w="120" w:type="dxa"/>
            </w:tcMar>
            <w:vAlign w:val="center"/>
          </w:tcPr>
          <w:p>
            <w:pPr>
              <w:pStyle w:val="TableBody"/>
            </w:pPr>
            <w:r/>
            <w:r>
              <w:rPr>
                <w:sz w:val="18"/>
              </w:rPr>
              <w:t>curriculum source IDs, KC nodes, item metadata, misconception tags, lesson IDs, teacher notes</w:t>
            </w:r>
          </w:p>
        </w:tc>
      </w:tr>
      <w:tr>
        <w:tc>
          <w:tcPr>
            <w:tcW w:type="dxa" w:w="2200"/>
            <w:tcMar>
              <w:top w:w="80" w:type="dxa"/>
              <w:start w:w="120" w:type="dxa"/>
              <w:bottom w:w="80" w:type="dxa"/>
              <w:end w:w="120" w:type="dxa"/>
            </w:tcMar>
            <w:vAlign w:val="center"/>
          </w:tcPr>
          <w:p>
            <w:pPr>
              <w:pStyle w:val="TableBody"/>
            </w:pPr>
            <w:r/>
            <w:r>
              <w:rPr>
                <w:sz w:val="18"/>
              </w:rPr>
              <w:t>LLM rerank output</w:t>
            </w:r>
          </w:p>
        </w:tc>
        <w:tc>
          <w:tcPr>
            <w:tcW w:type="dxa" w:w="3300"/>
            <w:tcMar>
              <w:top w:w="80" w:type="dxa"/>
              <w:start w:w="120" w:type="dxa"/>
              <w:bottom w:w="80" w:type="dxa"/>
              <w:end w:w="120" w:type="dxa"/>
            </w:tcMar>
            <w:vAlign w:val="center"/>
          </w:tcPr>
          <w:p>
            <w:pPr>
              <w:pStyle w:val="TableBody"/>
            </w:pPr>
            <w:r/>
            <w:r>
              <w:rPr>
                <w:sz w:val="18"/>
              </w:rPr>
              <w:t>Constrained generation</w:t>
            </w:r>
          </w:p>
        </w:tc>
        <w:tc>
          <w:tcPr>
            <w:tcW w:type="dxa" w:w="3860"/>
            <w:tcMar>
              <w:top w:w="80" w:type="dxa"/>
              <w:start w:w="120" w:type="dxa"/>
              <w:bottom w:w="80" w:type="dxa"/>
              <w:end w:w="120" w:type="dxa"/>
            </w:tcMar>
            <w:vAlign w:val="center"/>
          </w:tcPr>
          <w:p>
            <w:pPr>
              <w:pStyle w:val="TableBody"/>
            </w:pPr>
            <w:r/>
            <w:r>
              <w:rPr>
                <w:sz w:val="18"/>
              </w:rPr>
              <w:t>selectedCandidateId, ranking, explanation, teacherAuditNote, signalsUsed</w:t>
            </w:r>
          </w:p>
        </w:tc>
      </w:tr>
      <w:tr>
        <w:tc>
          <w:tcPr>
            <w:tcW w:type="dxa" w:w="2200"/>
            <w:tcMar>
              <w:top w:w="80" w:type="dxa"/>
              <w:start w:w="120" w:type="dxa"/>
              <w:bottom w:w="80" w:type="dxa"/>
              <w:end w:w="120" w:type="dxa"/>
            </w:tcMar>
            <w:vAlign w:val="center"/>
          </w:tcPr>
          <w:p>
            <w:pPr>
              <w:pStyle w:val="TableBody"/>
            </w:pPr>
            <w:r/>
            <w:r>
              <w:rPr>
                <w:sz w:val="18"/>
              </w:rPr>
              <w:t>Validator report</w:t>
            </w:r>
          </w:p>
        </w:tc>
        <w:tc>
          <w:tcPr>
            <w:tcW w:type="dxa" w:w="3300"/>
            <w:tcMar>
              <w:top w:w="80" w:type="dxa"/>
              <w:start w:w="120" w:type="dxa"/>
              <w:bottom w:w="80" w:type="dxa"/>
              <w:end w:w="120" w:type="dxa"/>
            </w:tcMar>
            <w:vAlign w:val="center"/>
          </w:tcPr>
          <w:p>
            <w:pPr>
              <w:pStyle w:val="TableBody"/>
            </w:pPr>
            <w:r/>
            <w:r>
              <w:rPr>
                <w:sz w:val="18"/>
              </w:rPr>
              <w:t>Safety and traceability</w:t>
            </w:r>
          </w:p>
        </w:tc>
        <w:tc>
          <w:tcPr>
            <w:tcW w:type="dxa" w:w="3860"/>
            <w:tcMar>
              <w:top w:w="80" w:type="dxa"/>
              <w:start w:w="120" w:type="dxa"/>
              <w:bottom w:w="80" w:type="dxa"/>
              <w:end w:w="120" w:type="dxa"/>
            </w:tcMar>
            <w:vAlign w:val="center"/>
          </w:tcPr>
          <w:p>
            <w:pPr>
              <w:pStyle w:val="TableBody"/>
            </w:pPr>
            <w:r/>
            <w:r>
              <w:rPr>
                <w:sz w:val="18"/>
              </w:rPr>
              <w:t>schema valid, candidate ID valid, prerequisite valid, evidence support, PII check, rejection reason</w:t>
            </w:r>
          </w:p>
        </w:tc>
      </w:tr>
      <w:tr>
        <w:tc>
          <w:tcPr>
            <w:tcW w:type="dxa" w:w="2200"/>
            <w:tcMar>
              <w:top w:w="80" w:type="dxa"/>
              <w:start w:w="120" w:type="dxa"/>
              <w:bottom w:w="80" w:type="dxa"/>
              <w:end w:w="120" w:type="dxa"/>
            </w:tcMar>
            <w:vAlign w:val="center"/>
          </w:tcPr>
          <w:p>
            <w:pPr>
              <w:pStyle w:val="TableBody"/>
            </w:pPr>
            <w:r/>
            <w:r>
              <w:rPr>
                <w:sz w:val="18"/>
              </w:rPr>
              <w:t>Teacher governance record</w:t>
            </w:r>
          </w:p>
        </w:tc>
        <w:tc>
          <w:tcPr>
            <w:tcW w:type="dxa" w:w="3300"/>
            <w:tcMar>
              <w:top w:w="80" w:type="dxa"/>
              <w:start w:w="120" w:type="dxa"/>
              <w:bottom w:w="80" w:type="dxa"/>
              <w:end w:w="120" w:type="dxa"/>
            </w:tcMar>
            <w:vAlign w:val="center"/>
          </w:tcPr>
          <w:p>
            <w:pPr>
              <w:pStyle w:val="TableBody"/>
            </w:pPr>
            <w:r/>
            <w:r>
              <w:rPr>
                <w:sz w:val="18"/>
              </w:rPr>
              <w:t>Human-in-the-loop evidence</w:t>
            </w:r>
          </w:p>
        </w:tc>
        <w:tc>
          <w:tcPr>
            <w:tcW w:type="dxa" w:w="3860"/>
            <w:tcMar>
              <w:top w:w="80" w:type="dxa"/>
              <w:start w:w="120" w:type="dxa"/>
              <w:bottom w:w="80" w:type="dxa"/>
              <w:end w:w="120" w:type="dxa"/>
            </w:tcMar>
            <w:vAlign w:val="center"/>
          </w:tcPr>
          <w:p>
            <w:pPr>
              <w:pStyle w:val="TableBody"/>
            </w:pPr>
            <w:r/>
            <w:r>
              <w:rPr>
                <w:sz w:val="18"/>
              </w:rPr>
              <w:t>approved, overridden, rollback, reason code, confidence rating, time-to-decision</w:t>
            </w:r>
          </w:p>
        </w:tc>
      </w:tr>
      <w:tr>
        <w:tc>
          <w:tcPr>
            <w:tcW w:type="dxa" w:w="2200"/>
            <w:tcMar>
              <w:top w:w="80" w:type="dxa"/>
              <w:start w:w="120" w:type="dxa"/>
              <w:bottom w:w="80" w:type="dxa"/>
              <w:end w:w="120" w:type="dxa"/>
            </w:tcMar>
            <w:vAlign w:val="center"/>
          </w:tcPr>
          <w:p>
            <w:pPr>
              <w:pStyle w:val="TableBody"/>
            </w:pPr>
            <w:r/>
            <w:r>
              <w:rPr>
                <w:sz w:val="18"/>
              </w:rPr>
              <w:t>Outcome record</w:t>
            </w:r>
          </w:p>
        </w:tc>
        <w:tc>
          <w:tcPr>
            <w:tcW w:type="dxa" w:w="3300"/>
            <w:tcMar>
              <w:top w:w="80" w:type="dxa"/>
              <w:start w:w="120" w:type="dxa"/>
              <w:bottom w:w="80" w:type="dxa"/>
              <w:end w:w="120" w:type="dxa"/>
            </w:tcMar>
            <w:vAlign w:val="center"/>
          </w:tcPr>
          <w:p>
            <w:pPr>
              <w:pStyle w:val="TableBody"/>
            </w:pPr>
            <w:r/>
            <w:r>
              <w:rPr>
                <w:sz w:val="18"/>
              </w:rPr>
              <w:t>Classroom evaluation</w:t>
            </w:r>
          </w:p>
        </w:tc>
        <w:tc>
          <w:tcPr>
            <w:tcW w:type="dxa" w:w="3860"/>
            <w:tcMar>
              <w:top w:w="80" w:type="dxa"/>
              <w:start w:w="120" w:type="dxa"/>
              <w:bottom w:w="80" w:type="dxa"/>
              <w:end w:w="120" w:type="dxa"/>
            </w:tcMar>
            <w:vAlign w:val="center"/>
          </w:tcPr>
          <w:p>
            <w:pPr>
              <w:pStyle w:val="TableBody"/>
            </w:pPr>
            <w:r/>
            <w:r>
              <w:rPr>
                <w:sz w:val="18"/>
              </w:rPr>
              <w:t>practice completion, repair speed, post-test, retention, engagement, subgroup tags where ethically approved</w:t>
            </w:r>
          </w:p>
        </w:tc>
      </w:tr>
    </w:tbl>
    <w:p>
      <w:pPr>
        <w:pStyle w:val="TableGap"/>
      </w:pPr>
    </w:p>
    <w:p>
      <w:pPr>
        <w:pStyle w:val="Heading1"/>
      </w:pPr>
      <w:r>
        <w:t>Literature Review: Why TRUST-MAIS Is Research-Worthy</w:t>
      </w:r>
    </w:p>
    <w:p>
      <w:pPr>
        <w:pStyle w:val="Heading2"/>
      </w:pPr>
      <w:r>
        <w:t>1. Adaptive learning and intelligent tutoring have evidence, but evaluation must be careful</w:t>
      </w:r>
    </w:p>
    <w:p>
      <w:pPr/>
      <w:r>
        <w:t>Intelligent tutoring systems have demonstrated positive learning effects, but the literature warns that effect sizes depend on domain, comparison condition, study quality, implementation fidelity, and whether outcomes align with the system's instructional objectives. Meta-analyses by Ma et al. (2014) and Kulik and Fletcher (2016) support the promise of ITS, while VanLehn (2011) shows that tutoring effectiveness is a nuanced comparison, not a simple "AI beats teachers" story. For GRF, this means MAIS should avoid overclaiming product impact before rigorous classroom evidence.</w:t>
      </w:r>
    </w:p>
    <w:p>
      <w:pPr/>
      <w:r>
        <w:t>Applicability to TRUST-MAIS:</w:t>
      </w:r>
    </w:p>
    <w:p>
      <w:pPr>
        <w:pStyle w:val="ListBullet"/>
      </w:pPr>
      <w:r>
        <w:t>Use ITS evidence to justify the general potential of adaptive tutoring.</w:t>
      </w:r>
    </w:p>
    <w:p>
      <w:pPr>
        <w:pStyle w:val="ListBullet"/>
      </w:pPr>
      <w:r>
        <w:t>Make the novel claim narrower: trustworthy adaptive decisions in Hong Kong mathematics.</w:t>
      </w:r>
    </w:p>
    <w:p>
      <w:pPr>
        <w:pStyle w:val="ListBullet"/>
      </w:pPr>
      <w:r>
        <w:t>Measure learning impact with both aligned unit assessments and delayed retention checks.</w:t>
      </w:r>
    </w:p>
    <w:p>
      <w:pPr/>
      <w:r>
        <w:t>Key proposal implication:</w:t>
      </w:r>
    </w:p>
    <w:p>
      <w:pPr>
        <w:pStyle w:val="Quote"/>
      </w:pPr>
      <w:r>
        <w:t>TRUST-MAIS should study when an adaptive recommendation is valid, explainable, and teacher-actionable before studying whether it raises test scores.</w:t>
      </w:r>
    </w:p>
    <w:p>
      <w:pPr>
        <w:pStyle w:val="Heading2"/>
      </w:pPr>
      <w:r>
        <w:t>2. BKT is a strong safety floor because it is interpretable, but it is not enough by itself</w:t>
      </w:r>
    </w:p>
    <w:p>
      <w:pPr/>
      <w:r>
        <w:t>Bayesian Knowledge Tracing remains useful because it models mastery as a latent state and updates that state from learner actions (Corbett &amp; Anderson, 1995). Reviews and comparative studies show that learner modelling quality depends heavily on KC quality, item difficulty, calibration, data volume, and evaluation design (Desmarais &amp; Baker, 2012; Pelanek, 2017; Gervet et al., 2020). Extensions such as individualized BKT and item-difficulty BKT address limitations of the basic model (Pardos &amp; Heffernan, 2010, 2011).</w:t>
      </w:r>
    </w:p>
    <w:p>
      <w:pPr/>
      <w:r>
        <w:t>Applicability to TRUST-MAIS:</w:t>
      </w:r>
    </w:p>
    <w:p>
      <w:pPr>
        <w:pStyle w:val="ListBullet"/>
      </w:pPr>
      <w:r>
        <w:t>BKT should provide the interpretable learner-state floor, not the entire pedagogical brain.</w:t>
      </w:r>
    </w:p>
    <w:p>
      <w:pPr>
        <w:pStyle w:val="ListBullet"/>
      </w:pPr>
      <w:r>
        <w:t>v3 should evaluate BKT calibration by KC, grade, item type, and learner subgroup.</w:t>
      </w:r>
    </w:p>
    <w:p>
      <w:pPr>
        <w:pStyle w:val="ListBullet"/>
      </w:pPr>
      <w:r>
        <w:t>The engine should expose uncertainty and fallback conditions instead of pretending mastery estimates are exact.</w:t>
      </w:r>
    </w:p>
    <w:p>
      <w:pPr/>
      <w:r>
        <w:t>Research gap:</w:t>
      </w:r>
    </w:p>
    <w:p>
      <w:pPr/>
      <w:r>
        <w:t>Most KT research optimises prediction. TRUST-MAIS can contribute by studying how BKT estimates become governed instructional decisions when combined with prerequisite rules, RAG evidence, and teacher override.</w:t>
      </w:r>
    </w:p>
    <w:p>
      <w:pPr>
        <w:pStyle w:val="Heading2"/>
      </w:pPr>
      <w:r>
        <w:t>3. Learning science supports repair and spaced review, but adaptive scheduling needs classroom evidence</w:t>
      </w:r>
    </w:p>
    <w:p>
      <w:pPr/>
      <w:r>
        <w:t>Spaced practice and retrieval practice have strong cognitive-science support. Cepeda et al. (2006) synthesised distributed-practice evidence, and Roediger and Karpicke (2006) showed benefits of retrieval practice for long-term retention. In mathematics, the practical issue is not whether review matters, but when to trigger review, how to balance repair versus progression, and how teachers interpret system-scheduled review.</w:t>
      </w:r>
    </w:p>
    <w:p>
      <w:pPr/>
      <w:r>
        <w:t>Applicability to TRUST-MAIS:</w:t>
      </w:r>
    </w:p>
    <w:p>
      <w:pPr>
        <w:pStyle w:val="ListBullet"/>
      </w:pPr>
      <w:r>
        <w:t>"Due review" and "repair required" should be hard candidate-generation signals.</w:t>
      </w:r>
    </w:p>
    <w:p>
      <w:pPr>
        <w:pStyle w:val="ListBullet"/>
      </w:pPr>
      <w:r>
        <w:t>v3 should compare immediate progression, repair, and spaced-review candidates.</w:t>
      </w:r>
    </w:p>
    <w:p>
      <w:pPr>
        <w:pStyle w:val="ListBullet"/>
      </w:pPr>
      <w:r>
        <w:t>Outcomes should include delayed retention and mistake-repair speed, not only immediate correctness.</w:t>
      </w:r>
    </w:p>
    <w:p>
      <w:pPr/>
      <w:r>
        <w:t>Research gap:</w:t>
      </w:r>
    </w:p>
    <w:p>
      <w:pPr/>
      <w:r>
        <w:t>Few school-facing adaptive systems evaluate the combined effect of mastery uncertainty, prerequisite risk, and spaced-review scheduling under teacher-governed conditions.</w:t>
      </w:r>
    </w:p>
    <w:p>
      <w:pPr>
        <w:pStyle w:val="Heading2"/>
      </w:pPr>
      <w:r>
        <w:t>4. Knowledge graphs and RAG are promising for grounding, but they need educational validation</w:t>
      </w:r>
    </w:p>
    <w:p>
      <w:pPr/>
      <w:r>
        <w:t>RAG was introduced to combine parametric models with retrieved external knowledge (Lewis et al., 2020). Recent RAG work has moved toward self-reflection and diagnostic evaluation, such as Self-RAG (Asai et al., 2024), RAGAs (Es et al., 2024), and RAGChecker (Ru et al., 2024). Education-specific KG reviews show growing use of knowledge graphs for learning resources, recommendation, performance prediction, and explainability (Li et al., 2026), and newer neuro-symbolic education reviews argue that LLM-KG integration can improve explainable reasoning while still needing stronger benchmarks and equity validation (Ben Chaabene &amp; Hammami, 2026). However, many education KG studies remain technically oriented and weakly validated with teachers or classroom outcomes.</w:t>
      </w:r>
    </w:p>
    <w:p>
      <w:pPr/>
      <w:r>
        <w:t>Applicability to TRUST-MAIS:</w:t>
      </w:r>
    </w:p>
    <w:p>
      <w:pPr>
        <w:pStyle w:val="ListBullet"/>
      </w:pPr>
      <w:r>
        <w:t>The KG should not merely store content. It should encode curriculum objectives, grade/topic/KC structure, prerequisite relations, item metadata, misconceptions, lesson blocks, repair actions, and bilingual labels.</w:t>
      </w:r>
    </w:p>
    <w:p>
      <w:pPr>
        <w:pStyle w:val="ListBullet"/>
      </w:pPr>
      <w:r>
        <w:t>RAG should retrieve evidence for candidate rationales and audit notes, not generate new curriculum paths.</w:t>
      </w:r>
    </w:p>
    <w:p>
      <w:pPr>
        <w:pStyle w:val="ListBullet"/>
      </w:pPr>
      <w:r>
        <w:t>Evaluation should include retrieval precision, source coverage, claim support, unsupported-claim rate, and teacher-rated usefulness.</w:t>
      </w:r>
    </w:p>
    <w:p>
      <w:pPr/>
      <w:r>
        <w:t>Research gap:</w:t>
      </w:r>
    </w:p>
    <w:p>
      <w:pPr/>
      <w:r>
        <w:t>There is a strong GRF contribution in validating an educational KG/RAG layer as a source of curriculum alignment, explanation faithfulness, and teacher trust in adaptive decision-making.</w:t>
      </w:r>
    </w:p>
    <w:p>
      <w:pPr>
        <w:pStyle w:val="Heading2"/>
      </w:pPr>
      <w:r>
        <w:t>5. LLMs create new educational affordances, but unconstrained LLM tutoring is too risky for pathway decisions</w:t>
      </w:r>
    </w:p>
    <w:p>
      <w:pPr/>
      <w:r>
        <w:t>LLMs can produce fluent explanations, feedback, and dialogue, but education reviews identify practical and ethical issues: hallucination, weak pedagogical reliability, bias, privacy, opacity, overtrust, and insufficient empirical validation (Kasneci et al., 2023; Yan et al., 2024). Hallucination and factuality research shows that generated text can be unsupported even when it sounds convincing (Ji et al., 2023; Maynez et al., 2020). Math-tutoring dialogue work such as MathDial (Macina et al., 2023) and the AI Teacher Test (Tack &amp; Piech, 2022) reinforces that pedagogical quality requires domain-specific evaluation.</w:t>
      </w:r>
    </w:p>
    <w:p>
      <w:pPr/>
      <w:r>
        <w:t>Applicability to TRUST-MAIS:</w:t>
      </w:r>
    </w:p>
    <w:p>
      <w:pPr>
        <w:pStyle w:val="ListBullet"/>
      </w:pPr>
      <w:r>
        <w:t>The LLM should be framed as a constrained reranker and explainer, not as the instructional authority.</w:t>
      </w:r>
    </w:p>
    <w:p>
      <w:pPr>
        <w:pStyle w:val="ListBullet"/>
      </w:pPr>
      <w:r>
        <w:t>v3 should evaluate whether LLM reranking adds value beyond deterministic BKT in teacher agreement, bilingual rationale quality, and workflow efficiency.</w:t>
      </w:r>
    </w:p>
    <w:p>
      <w:pPr>
        <w:pStyle w:val="ListBullet"/>
      </w:pPr>
      <w:r>
        <w:t>The validator should treat unsupported claims as failures, not as minor style issues.</w:t>
      </w:r>
    </w:p>
    <w:p>
      <w:pPr/>
      <w:r>
        <w:t>Research gap:</w:t>
      </w:r>
    </w:p>
    <w:p>
      <w:pPr/>
      <w:r>
        <w:t>Most LLM-in-education studies examine content generation, feedback, or dialogue. TRUST-MAIS can study constrained LLM participation in instructional decision-making, where the candidate set is generated by an interpretable learning model.</w:t>
      </w:r>
    </w:p>
    <w:p>
      <w:pPr>
        <w:pStyle w:val="Heading2"/>
      </w:pPr>
      <w:r>
        <w:t>6. Teacher governance is the main differentiator</w:t>
      </w:r>
    </w:p>
    <w:p>
      <w:pPr/>
      <w:r>
        <w:t>Teacher-AI complementarity research argues that classroom AI should augment teacher judgement rather than replace it. Holstein, McLaren, and Aleven (2019) show the importance of co-designing orchestration tools that fit teacher needs. Human-AI interaction guidelines also stress visible system capability, appropriate uncertainty, user correction, and graceful fallback (Amershi et al., 2019).</w:t>
      </w:r>
    </w:p>
    <w:p>
      <w:pPr/>
      <w:r>
        <w:t>Applicability to TRUST-MAIS:</w:t>
      </w:r>
    </w:p>
    <w:p>
      <w:pPr>
        <w:pStyle w:val="ListBullet"/>
      </w:pPr>
      <w:r>
        <w:t>Teacher console design is not just UX. It is a research instrument.</w:t>
      </w:r>
    </w:p>
    <w:p>
      <w:pPr>
        <w:pStyle w:val="ListBullet"/>
      </w:pPr>
      <w:r>
        <w:t>Teacher override data should be analysed as evidence of recommendation validity, trust calibration, workflow fit, and blind spots in the engine.</w:t>
      </w:r>
    </w:p>
    <w:p>
      <w:pPr>
        <w:pStyle w:val="ListBullet"/>
      </w:pPr>
      <w:r>
        <w:t>The central teacher-facing question is: "Can I understand, trust, change, and later audit this recommendation?"</w:t>
      </w:r>
    </w:p>
    <w:p>
      <w:pPr/>
      <w:r>
        <w:t>Research gap:</w:t>
      </w:r>
    </w:p>
    <w:p>
      <w:pPr/>
      <w:r>
        <w:t>There is room for a strong teacher-governance study: which audit evidence changes teacher trust, approval, override, and classroom use of adaptive recommendations?</w:t>
      </w:r>
    </w:p>
    <w:p>
      <w:pPr>
        <w:pStyle w:val="Heading2"/>
      </w:pPr>
      <w:r>
        <w:t>7. Fairness, privacy, and safety must be measured, not merely asserted</w:t>
      </w:r>
    </w:p>
    <w:p>
      <w:pPr/>
      <w:r>
        <w:t>Algorithmic bias in education is a known risk because educational predictions can encode unequal opportunity, measurement bias, or differential data quality (Baker &amp; Hawn, 2021). Language-model risk taxonomies warn about bias, misinformation, privacy, and misuse (Weidinger et al., 2022). Official guidance from NIST (2023), UNESCO (2023), and Hong Kong PCPD's AI/data-protection guidance (2021, 2024) supports a human-centred, accountable, privacy-aware design.</w:t>
      </w:r>
    </w:p>
    <w:p>
      <w:pPr/>
      <w:r>
        <w:t>Applicability to TRUST-MAIS:</w:t>
      </w:r>
    </w:p>
    <w:p>
      <w:pPr>
        <w:pStyle w:val="ListBullet"/>
      </w:pPr>
      <w:r>
        <w:t>Use pseudonymized learner IDs and avoid PII in prompts.</w:t>
      </w:r>
    </w:p>
    <w:p>
      <w:pPr>
        <w:pStyle w:val="ListBullet"/>
      </w:pPr>
      <w:r>
        <w:t>Compare model error and recommendation quality across prior achievement, grade, language background, and other ethically approved groups.</w:t>
      </w:r>
    </w:p>
    <w:p>
      <w:pPr>
        <w:pStyle w:val="ListBullet"/>
      </w:pPr>
      <w:r>
        <w:t>Audit whether teacher overrides reduce or amplify inequity.</w:t>
      </w:r>
    </w:p>
    <w:p>
      <w:pPr/>
      <w:r>
        <w:t>Research gap:</w:t>
      </w:r>
    </w:p>
    <w:p>
      <w:pPr/>
      <w:r>
        <w:t>Many adaptive systems report average learning gains. A stronger proposal asks whether trustworthy adaptive decisions remain valid across learner groups and under classroom governance.</w:t>
      </w:r>
    </w:p>
    <w:p>
      <w:pPr>
        <w:pStyle w:val="Heading2"/>
      </w:pPr>
      <w:r>
        <w:t>8. Hong Kong mathematics is an ideal domain because prerequisite structure and curriculum alignment matter</w:t>
      </w:r>
    </w:p>
    <w:p>
      <w:pPr/>
      <w:r>
        <w:t>The Hong Kong Education Bureau positions mathematics as central to reasoning, problem solving, STEAM learning, e-learning, and self-directed learning. Official Mathematics Education curriculum documents provide grade/topic structures and learning content that can ground a KG/RAG corpus. The P1-S6 scope creates a coherent vertical pathway where prerequisite mistakes can silently affect later achievement.</w:t>
      </w:r>
    </w:p>
    <w:p>
      <w:pPr/>
      <w:r>
        <w:t>Applicability to TRUST-MAIS:</w:t>
      </w:r>
    </w:p>
    <w:p>
      <w:pPr>
        <w:pStyle w:val="ListBullet"/>
      </w:pPr>
      <w:r>
        <w:t>The KG should cite official curriculum nodes and local school mathematics pathways.</w:t>
      </w:r>
    </w:p>
    <w:p>
      <w:pPr>
        <w:pStyle w:val="ListBullet"/>
      </w:pPr>
      <w:r>
        <w:t>Bilingual rationales should support Hong Kong classroom realities.</w:t>
      </w:r>
    </w:p>
    <w:p>
      <w:pPr>
        <w:pStyle w:val="ListBullet"/>
      </w:pPr>
      <w:r>
        <w:t>The project should avoid claiming all P1-S6 coverage unless item/KC coverage is verified.</w:t>
      </w:r>
    </w:p>
    <w:p>
      <w:pPr/>
      <w:r>
        <w:t>Research gap:</w:t>
      </w:r>
    </w:p>
    <w:p>
      <w:pPr/>
      <w:r>
        <w:t>There is a locally significant contribution in building and validating a Hong Kong mathematics adaptive decision framework, rather than importing generic AI tutoring claims.</w:t>
      </w:r>
    </w:p>
    <w:p>
      <w:pPr>
        <w:pStyle w:val="Heading1"/>
      </w:pPr>
      <w:r>
        <w:t>Proposed GRF Research Agenda</w:t>
      </w:r>
    </w:p>
    <w:p>
      <w:pPr>
        <w:pStyle w:val="Heading2"/>
      </w:pPr>
      <w:r>
        <w:t>Recommended Core Claim</w:t>
      </w:r>
    </w:p>
    <w:p>
      <w:pPr/>
      <w:r>
        <w:t>The future GRF proposal should ask:</w:t>
      </w:r>
    </w:p>
    <w:p>
      <w:pPr>
        <w:pStyle w:val="Quote"/>
      </w:pPr>
      <w:r>
        <w:t>How can a teacher-governed, retrieval-grounded, uncertainty-aware, safe, and traceable adaptive decision engine improve the validity, trustworthiness, and classroom impact of AI-assisted mathematics learning?</w:t>
      </w:r>
    </w:p>
    <w:p>
      <w:pPr/>
      <w:r>
        <w:t>This is more defensible than asking whether an LLM improves learning. It lets the project make contributions even if the LLM improves explanations but not test scores, or if teacher governance reveals limits that are scientifically valuable.</w:t>
      </w:r>
    </w:p>
    <w:p>
      <w:pPr>
        <w:pStyle w:val="Heading2"/>
      </w:pPr>
      <w:r>
        <w:t>Recommended Title Options</w:t>
      </w:r>
    </w:p>
    <w:p>
      <w:pPr>
        <w:pStyle w:val="ListNumber"/>
      </w:pPr>
      <w:r>
        <w:t>Developing and Evaluating a Teacher-Governed Adaptive Instructional Decision Engine for Hong Kong Mathematics Learning</w:t>
      </w:r>
    </w:p>
    <w:p>
      <w:pPr>
        <w:pStyle w:val="ListNumber"/>
      </w:pPr>
      <w:r>
        <w:t>TRUST-MAIS: A Verifiable BKT-RAG Framework for Safe and Auditable Adaptive Mathematics Learning</w:t>
      </w:r>
    </w:p>
    <w:p>
      <w:pPr>
        <w:pStyle w:val="ListNumber"/>
      </w:pPr>
      <w:r>
        <w:t>From AI Tutoring to Governed Instructional Decisions: Evaluating a Traceable Adaptive Learning Engine in Hong Kong Mathematics</w:t>
      </w:r>
    </w:p>
    <w:p>
      <w:pPr/>
      <w:r>
        <w:t>Option 1 is likely the safest GRF title. Option 2 is stronger for technical reviewers. Option 3 is strongest rhetorically if the panel is open to AI governance.</w:t>
      </w:r>
    </w:p>
    <w:p>
      <w:pPr>
        <w:pStyle w:val="Heading1"/>
      </w:pPr>
      <w:r>
        <w:t>High-Impact Research Questions</w:t>
      </w:r>
    </w:p>
    <w:p>
      <w:pPr>
        <w:pStyle w:val="Heading2"/>
      </w:pPr>
      <w:r>
        <w:t>RQ1. Design validity</w:t>
      </w:r>
    </w:p>
    <w:p>
      <w:pPr/>
      <w:r>
        <w:t>What educational, technical, and governance requirements are necessary to transform MAIS from guarded LLM reranking into a verifiable adaptive instructional decision engine?</w:t>
      </w:r>
    </w:p>
    <w:p>
      <w:pPr>
        <w:pStyle w:val="ListBullet"/>
      </w:pPr>
      <w:r>
        <w:t>Novelty: Shifts the unit of research from "AI answer quality" to "instructional decision validity."</w:t>
      </w:r>
    </w:p>
    <w:p>
      <w:pPr>
        <w:pStyle w:val="ListBullet"/>
      </w:pPr>
      <w:r>
        <w:t>Data: Platform audit, v2 documentation, expert review, teacher interviews, risk analysis.</w:t>
      </w:r>
    </w:p>
    <w:p>
      <w:pPr>
        <w:pStyle w:val="ListBullet"/>
      </w:pPr>
      <w:r>
        <w:t>Outputs: Requirements matrix, decision taxonomy, risk register, audit-log schema.</w:t>
      </w:r>
    </w:p>
    <w:p>
      <w:pPr>
        <w:pStyle w:val="Heading2"/>
      </w:pPr>
      <w:r>
        <w:t>RQ2. Learner-model validity and uncertainty</w:t>
      </w:r>
    </w:p>
    <w:p>
      <w:pPr/>
      <w:r>
        <w:t>How well do BKT mastery estimates, prerequisite guards, review signals, and repair rules support safe candidate generation across Hong Kong mathematics KCs?</w:t>
      </w:r>
    </w:p>
    <w:p>
      <w:pPr>
        <w:pStyle w:val="ListBullet"/>
      </w:pPr>
      <w:r>
        <w:t>Novelty: Treats BKT as a safety floor whose decision consequences must be evaluated.</w:t>
      </w:r>
    </w:p>
    <w:p>
      <w:pPr>
        <w:pStyle w:val="ListBullet"/>
      </w:pPr>
      <w:r>
        <w:t>Data: Historical or simulated logs, item/KC metadata, teacher-coded reference decisions.</w:t>
      </w:r>
    </w:p>
    <w:p>
      <w:pPr>
        <w:pStyle w:val="ListBullet"/>
      </w:pPr>
      <w:r>
        <w:t>Metrics: AUC, Brier score, expected calibration error, prerequisite-bypass rate, repair-needed detection, due-review accuracy.</w:t>
      </w:r>
    </w:p>
    <w:p>
      <w:pPr>
        <w:pStyle w:val="Heading2"/>
      </w:pPr>
      <w:r>
        <w:t>RQ3. Curriculum knowledge graph contribution</w:t>
      </w:r>
    </w:p>
    <w:p>
      <w:pPr/>
      <w:r>
        <w:t>To what extent does a Hong Kong mathematics knowledge graph improve prerequisite validity, curriculum alignment, and explanation traceability in adaptive recommendations?</w:t>
      </w:r>
    </w:p>
    <w:p>
      <w:pPr>
        <w:pStyle w:val="ListBullet"/>
      </w:pPr>
      <w:r>
        <w:t>Novelty: Validates KG as a pedagogical governance layer, not only as a recommendation technology.</w:t>
      </w:r>
    </w:p>
    <w:p>
      <w:pPr>
        <w:pStyle w:val="ListBullet"/>
      </w:pPr>
      <w:r>
        <w:t>Data: Official curriculum documents, MAIS content metadata, teacher/curriculum expert validation.</w:t>
      </w:r>
    </w:p>
    <w:p>
      <w:pPr>
        <w:pStyle w:val="ListBullet"/>
      </w:pPr>
      <w:r>
        <w:t>Metrics: KG coverage, relation correctness, inter-rater agreement, prerequisite path validity, teacher-rated curriculum fit.</w:t>
      </w:r>
    </w:p>
    <w:p>
      <w:pPr>
        <w:pStyle w:val="Heading2"/>
      </w:pPr>
      <w:r>
        <w:t>RQ4. Retrieval-grounding and explanation faithfulness</w:t>
      </w:r>
    </w:p>
    <w:p>
      <w:pPr/>
      <w:r>
        <w:t>Does a RAG evidence pack reduce unsupported rationales and improve teacher trust in adaptive recommendations?</w:t>
      </w:r>
    </w:p>
    <w:p>
      <w:pPr>
        <w:pStyle w:val="ListBullet"/>
      </w:pPr>
      <w:r>
        <w:t>Novelty: Applies RAG evaluation to teacher-facing instructional audit notes.</w:t>
      </w:r>
    </w:p>
    <w:p>
      <w:pPr>
        <w:pStyle w:val="ListBullet"/>
      </w:pPr>
      <w:r>
        <w:t>Data: Candidate recommendations, retrieved source packs, LLM rationales, teacher ratings.</w:t>
      </w:r>
    </w:p>
    <w:p>
      <w:pPr>
        <w:pStyle w:val="ListBullet"/>
      </w:pPr>
      <w:r>
        <w:t>Metrics: Retrieval precision@k, source coverage, claim support, unsupported-claim rate, evidence citation coverage, teacher-rated usefulness.</w:t>
      </w:r>
    </w:p>
    <w:p>
      <w:pPr>
        <w:pStyle w:val="Heading2"/>
      </w:pPr>
      <w:r>
        <w:t>RQ5. Guarded LLM reranking value</w:t>
      </w:r>
    </w:p>
    <w:p>
      <w:pPr/>
      <w:r>
        <w:t>Compared with deterministic BKT ranking, does candidate-only LLM reranking improve teacher agreement, bilingual explanation quality, and workflow efficiency without increasing unsafe decisions?</w:t>
      </w:r>
    </w:p>
    <w:p>
      <w:pPr>
        <w:pStyle w:val="ListBullet"/>
      </w:pPr>
      <w:r>
        <w:t>Novelty: Tests LLM value under hard constraints rather than free generation.</w:t>
      </w:r>
    </w:p>
    <w:p>
      <w:pPr>
        <w:pStyle w:val="ListBullet"/>
      </w:pPr>
      <w:r>
        <w:t>Data: Offline replay, shadow-mode teacher evaluation, v2/v3 comparison.</w:t>
      </w:r>
    </w:p>
    <w:p>
      <w:pPr>
        <w:pStyle w:val="ListBullet"/>
      </w:pPr>
      <w:r>
        <w:t>Metrics: Top-k agreement with teacher choice, NDCG against teacher-coded reference, valid-output rate, validator rejection rate, latency, cost, fallback rate.</w:t>
      </w:r>
    </w:p>
    <w:p>
      <w:pPr>
        <w:pStyle w:val="Heading2"/>
      </w:pPr>
      <w:r>
        <w:t>RQ6. Teacher governance and calibrated trust</w:t>
      </w:r>
    </w:p>
    <w:p>
      <w:pPr/>
      <w:r>
        <w:t>How do teachers interpret, approve, override, and roll back TRUST-MAIS recommendations, and what audit evidence leads to calibrated rather than excessive trust?</w:t>
      </w:r>
    </w:p>
    <w:p>
      <w:pPr>
        <w:pStyle w:val="ListBullet"/>
      </w:pPr>
      <w:r>
        <w:t>Novelty: Positions teacher override as both safety mechanism and research data.</w:t>
      </w:r>
    </w:p>
    <w:p>
      <w:pPr>
        <w:pStyle w:val="ListBullet"/>
      </w:pPr>
      <w:r>
        <w:t>Data: Shadow-mode console logs, teacher think-alouds, interviews, surveys.</w:t>
      </w:r>
    </w:p>
    <w:p>
      <w:pPr>
        <w:pStyle w:val="ListBullet"/>
      </w:pPr>
      <w:r>
        <w:t>Metrics: Approval rate, override rate, reason-code distribution, confidence calibration, decision time, workload, perceived transparency, qualitative themes.</w:t>
      </w:r>
    </w:p>
    <w:p>
      <w:pPr>
        <w:pStyle w:val="Heading2"/>
      </w:pPr>
      <w:r>
        <w:t>RQ7. Fairness and subgroup robustness</w:t>
      </w:r>
    </w:p>
    <w:p>
      <w:pPr/>
      <w:r>
        <w:t>Do mastery estimates, recommendation quality, LLM explanations, and teacher overrides differ across learner groups, and how can v3 reduce unfair error patterns?</w:t>
      </w:r>
    </w:p>
    <w:p>
      <w:pPr>
        <w:pStyle w:val="ListBullet"/>
      </w:pPr>
      <w:r>
        <w:t>Novelty: Moves beyond average accuracy to equitable instructional decision-making.</w:t>
      </w:r>
    </w:p>
    <w:p>
      <w:pPr>
        <w:pStyle w:val="ListBullet"/>
      </w:pPr>
      <w:r>
        <w:t>Data: De-identified logs and subgroup variables where ethically approved.</w:t>
      </w:r>
    </w:p>
    <w:p>
      <w:pPr>
        <w:pStyle w:val="ListBullet"/>
      </w:pPr>
      <w:r>
        <w:t>Metrics: Error gaps, calibration gaps, recommendation benefit gaps, override disparities, fairness-aware sensitivity analysis.</w:t>
      </w:r>
    </w:p>
    <w:p>
      <w:pPr>
        <w:pStyle w:val="Heading2"/>
      </w:pPr>
      <w:r>
        <w:t>RQ8. Classroom learning impact</w:t>
      </w:r>
    </w:p>
    <w:p>
      <w:pPr/>
      <w:r>
        <w:t>Does teacher-governed v3 improve learning gain, retention, time-to-mastery, mistake-repair speed, engagement, and teacher trust compared with v2 or deterministic BKT baseline?</w:t>
      </w:r>
    </w:p>
    <w:p>
      <w:pPr>
        <w:pStyle w:val="ListBullet"/>
      </w:pPr>
      <w:r>
        <w:t>Novelty: Tests whether governance plus grounding produces educational value under classroom conditions.</w:t>
      </w:r>
    </w:p>
    <w:p>
      <w:pPr>
        <w:pStyle w:val="ListBullet"/>
      </w:pPr>
      <w:r>
        <w:t>Data: Pre/post/delayed tests, system logs, teacher decisions, student/teacher surveys.</w:t>
      </w:r>
    </w:p>
    <w:p>
      <w:pPr>
        <w:pStyle w:val="ListBullet"/>
      </w:pPr>
      <w:r>
        <w:t>Metrics: Learning gain, delayed retention, repair speed, time-to-mastery, engagement, teacher trust, subgroup effects.</w:t>
      </w:r>
    </w:p>
    <w:p>
      <w:pPr>
        <w:pStyle w:val="Heading2"/>
      </w:pPr>
      <w:r>
        <w:t>RQ9. Transferable design principles</w:t>
      </w:r>
    </w:p>
    <w:p>
      <w:pPr/>
      <w:r>
        <w:t>What general design principles can be derived for safe, auditable, and reversible LLM-enhanced adaptive learning systems?</w:t>
      </w:r>
    </w:p>
    <w:p>
      <w:pPr>
        <w:pStyle w:val="ListBullet"/>
      </w:pPr>
      <w:r>
        <w:t>Novelty: Generalises beyond MAIS while preserving local Hong Kong mathematics specificity.</w:t>
      </w:r>
    </w:p>
    <w:p>
      <w:pPr>
        <w:pStyle w:val="ListBullet"/>
      </w:pPr>
      <w:r>
        <w:t>Data: Cross-study synthesis.</w:t>
      </w:r>
    </w:p>
    <w:p>
      <w:pPr>
        <w:pStyle w:val="ListBullet"/>
      </w:pPr>
      <w:r>
        <w:t>Outputs: BKT-RAG governance framework, teacher audit templates, evaluation rubrics, school implementation guide.</w:t>
      </w:r>
    </w:p>
    <w:p>
      <w:pPr>
        <w:pStyle w:val="Heading1"/>
      </w:pPr>
      <w:r>
        <w:t>Recommended Study Programme</w:t>
      </w:r>
    </w:p>
    <w:p>
      <w:pPr>
        <w:pStyle w:val="Heading2"/>
      </w:pPr>
      <w:r>
        <w:t>Study 1: v2 audit and requirements</w:t>
      </w:r>
    </w:p>
    <w:p>
      <w:pPr/>
      <w:r>
        <w:t>Purpose: Establish what MAIS currently does and what v3 must make verifiable.</w:t>
      </w:r>
    </w:p>
    <w:p>
      <w:pPr/>
      <w:r>
        <w:t>Methods:</w:t>
      </w:r>
    </w:p>
    <w:p>
      <w:pPr>
        <w:pStyle w:val="ListBullet"/>
      </w:pPr>
      <w:r>
        <w:t>Platform walkthrough and documentation review.</w:t>
      </w:r>
    </w:p>
    <w:p>
      <w:pPr>
        <w:pStyle w:val="ListBullet"/>
      </w:pPr>
      <w:r>
        <w:t>Decision pipeline mapping.</w:t>
      </w:r>
    </w:p>
    <w:p>
      <w:pPr>
        <w:pStyle w:val="ListBullet"/>
      </w:pPr>
      <w:r>
        <w:t>Teacher interviews/focus groups.</w:t>
      </w:r>
    </w:p>
    <w:p>
      <w:pPr>
        <w:pStyle w:val="ListBullet"/>
      </w:pPr>
      <w:r>
        <w:t>Risk and data-governance review.</w:t>
      </w:r>
    </w:p>
    <w:p>
      <w:pPr/>
      <w:r>
        <w:t>Deliverables:</w:t>
      </w:r>
    </w:p>
    <w:p>
      <w:pPr>
        <w:pStyle w:val="ListBullet"/>
      </w:pPr>
      <w:r>
        <w:t>v3 requirements matrix.</w:t>
      </w:r>
    </w:p>
    <w:p>
      <w:pPr>
        <w:pStyle w:val="ListBullet"/>
      </w:pPr>
      <w:r>
        <w:t>Audit-log schema.</w:t>
      </w:r>
    </w:p>
    <w:p>
      <w:pPr>
        <w:pStyle w:val="ListBullet"/>
      </w:pPr>
      <w:r>
        <w:t>Teacher evidence-needs taxonomy.</w:t>
      </w:r>
    </w:p>
    <w:p>
      <w:pPr>
        <w:pStyle w:val="ListBullet"/>
      </w:pPr>
      <w:r>
        <w:t>Risk register.</w:t>
      </w:r>
    </w:p>
    <w:p>
      <w:pPr>
        <w:pStyle w:val="Heading2"/>
      </w:pPr>
      <w:r>
        <w:t>Study 2: HK mathematics KG/RAG validation</w:t>
      </w:r>
    </w:p>
    <w:p>
      <w:pPr/>
      <w:r>
        <w:t>Purpose: Build and validate the evidence layer.</w:t>
      </w:r>
    </w:p>
    <w:p>
      <w:pPr/>
      <w:r>
        <w:t>Methods:</w:t>
      </w:r>
    </w:p>
    <w:p>
      <w:pPr>
        <w:pStyle w:val="ListBullet"/>
      </w:pPr>
      <w:r>
        <w:t>Map official curriculum objectives to MAIS grades, topics, KCs, items, lessons, misconceptions, and repair paths.</w:t>
      </w:r>
    </w:p>
    <w:p>
      <w:pPr>
        <w:pStyle w:val="ListBullet"/>
      </w:pPr>
      <w:r>
        <w:t>Conduct expert review of nodes and edges.</w:t>
      </w:r>
    </w:p>
    <w:p>
      <w:pPr>
        <w:pStyle w:val="ListBullet"/>
      </w:pPr>
      <w:r>
        <w:t>Build retrieval benchmark questions from teacher use cases.</w:t>
      </w:r>
    </w:p>
    <w:p>
      <w:pPr/>
      <w:r>
        <w:t>Deliverables:</w:t>
      </w:r>
    </w:p>
    <w:p>
      <w:pPr>
        <w:pStyle w:val="ListBullet"/>
      </w:pPr>
      <w:r>
        <w:t>KG schema.</w:t>
      </w:r>
    </w:p>
    <w:p>
      <w:pPr>
        <w:pStyle w:val="ListBullet"/>
      </w:pPr>
      <w:r>
        <w:t>RAG source inventory.</w:t>
      </w:r>
    </w:p>
    <w:p>
      <w:pPr>
        <w:pStyle w:val="ListBullet"/>
      </w:pPr>
      <w:r>
        <w:t>Retrieval benchmark.</w:t>
      </w:r>
    </w:p>
    <w:p>
      <w:pPr>
        <w:pStyle w:val="ListBullet"/>
      </w:pPr>
      <w:r>
        <w:t>Coverage and relation-validity report.</w:t>
      </w:r>
    </w:p>
    <w:p>
      <w:pPr>
        <w:pStyle w:val="Heading2"/>
      </w:pPr>
      <w:r>
        <w:t>Study 3: Offline replay and adversarial safety evaluation</w:t>
      </w:r>
    </w:p>
    <w:p>
      <w:pPr/>
      <w:r>
        <w:t>Purpose: Test v3 before classroom impact.</w:t>
      </w:r>
    </w:p>
    <w:p>
      <w:pPr/>
      <w:r>
        <w:t>Methods:</w:t>
      </w:r>
    </w:p>
    <w:p>
      <w:pPr>
        <w:pStyle w:val="ListBullet"/>
      </w:pPr>
      <w:r>
        <w:t>Compare deterministic BKT, guarded LLM reranking, and fallback outputs on historical/simulated logs.</w:t>
      </w:r>
    </w:p>
    <w:p>
      <w:pPr>
        <w:pStyle w:val="ListBullet"/>
      </w:pPr>
      <w:r>
        <w:t>Inject adversarial cases: missing candidate, invalid item ID, prerequisite bypass, unsupported claim, PII leakage, invalid JSON.</w:t>
      </w:r>
    </w:p>
    <w:p>
      <w:pPr>
        <w:pStyle w:val="ListBullet"/>
      </w:pPr>
      <w:r>
        <w:t>Evaluate cost and latency.</w:t>
      </w:r>
    </w:p>
    <w:p>
      <w:pPr/>
      <w:r>
        <w:t>Deliverables:</w:t>
      </w:r>
    </w:p>
    <w:p>
      <w:pPr>
        <w:pStyle w:val="ListBullet"/>
      </w:pPr>
      <w:r>
        <w:t>Offline model and safety report.</w:t>
      </w:r>
    </w:p>
    <w:p>
      <w:pPr>
        <w:pStyle w:val="ListBullet"/>
      </w:pPr>
      <w:r>
        <w:t>Guardrail rejection taxonomy.</w:t>
      </w:r>
    </w:p>
    <w:p>
      <w:pPr>
        <w:pStyle w:val="ListBullet"/>
      </w:pPr>
      <w:r>
        <w:t>Release thresholds for shadow mode.</w:t>
      </w:r>
    </w:p>
    <w:p>
      <w:pPr>
        <w:pStyle w:val="Heading2"/>
      </w:pPr>
      <w:r>
        <w:t>Study 4: Teacher-in-the-loop shadow mode</w:t>
      </w:r>
    </w:p>
    <w:p>
      <w:pPr/>
      <w:r>
        <w:t>Purpose: Study teacher governance without affecting live student pathways.</w:t>
      </w:r>
    </w:p>
    <w:p>
      <w:pPr/>
      <w:r>
        <w:t>Methods:</w:t>
      </w:r>
    </w:p>
    <w:p>
      <w:pPr>
        <w:pStyle w:val="ListBullet"/>
      </w:pPr>
      <w:r>
        <w:t>Teachers compare v2/v3 recommendations.</w:t>
      </w:r>
    </w:p>
    <w:p>
      <w:pPr>
        <w:pStyle w:val="ListBullet"/>
      </w:pPr>
      <w:r>
        <w:t>Teachers approve, reject, override, and explain decisions.</w:t>
      </w:r>
    </w:p>
    <w:p>
      <w:pPr>
        <w:pStyle w:val="ListBullet"/>
      </w:pPr>
      <w:r>
        <w:t>Collect trust, transparency, workload, and usability data.</w:t>
      </w:r>
    </w:p>
    <w:p>
      <w:pPr/>
      <w:r>
        <w:t>Deliverables:</w:t>
      </w:r>
    </w:p>
    <w:p>
      <w:pPr>
        <w:pStyle w:val="ListBullet"/>
      </w:pPr>
      <w:r>
        <w:t>Teacher governance paper.</w:t>
      </w:r>
    </w:p>
    <w:p>
      <w:pPr>
        <w:pStyle w:val="ListBullet"/>
      </w:pPr>
      <w:r>
        <w:t>Audit evidence design principles.</w:t>
      </w:r>
    </w:p>
    <w:p>
      <w:pPr>
        <w:pStyle w:val="ListBullet"/>
      </w:pPr>
      <w:r>
        <w:t>Console revision requirements.</w:t>
      </w:r>
    </w:p>
    <w:p>
      <w:pPr>
        <w:pStyle w:val="Heading2"/>
      </w:pPr>
      <w:r>
        <w:t>Study 5: Classroom pilot</w:t>
      </w:r>
    </w:p>
    <w:p>
      <w:pPr/>
      <w:r>
        <w:t>Purpose: Estimate educational impact under school conditions.</w:t>
      </w:r>
    </w:p>
    <w:p>
      <w:pPr/>
      <w:r>
        <w:t>Preferred design:</w:t>
      </w:r>
    </w:p>
    <w:p>
      <w:pPr>
        <w:pStyle w:val="ListBullet"/>
      </w:pPr>
      <w:r>
        <w:t>Class-level A/B trial where feasible.</w:t>
      </w:r>
    </w:p>
    <w:p>
      <w:pPr>
        <w:pStyle w:val="ListBullet"/>
      </w:pPr>
      <w:r>
        <w:t>If randomisation is infeasible, matched quasi-experimental design with baseline covariates.</w:t>
      </w:r>
    </w:p>
    <w:p>
      <w:pPr>
        <w:pStyle w:val="ListBullet"/>
      </w:pPr>
      <w:r>
        <w:t>Include pre-test, post-test, delayed retention, logs, teacher actions, surveys.</w:t>
      </w:r>
    </w:p>
    <w:p>
      <w:pPr/>
      <w:r>
        <w:t>Deliverables:</w:t>
      </w:r>
    </w:p>
    <w:p>
      <w:pPr>
        <w:pStyle w:val="ListBullet"/>
      </w:pPr>
      <w:r>
        <w:t>Learning impact paper.</w:t>
      </w:r>
    </w:p>
    <w:p>
      <w:pPr>
        <w:pStyle w:val="ListBullet"/>
      </w:pPr>
      <w:r>
        <w:t>Fairness and subgroup analysis.</w:t>
      </w:r>
    </w:p>
    <w:p>
      <w:pPr>
        <w:pStyle w:val="ListBullet"/>
      </w:pPr>
      <w:r>
        <w:t>School implementation guide.</w:t>
      </w:r>
    </w:p>
    <w:p>
      <w:pPr>
        <w:pStyle w:val="Heading1"/>
      </w:pPr>
      <w:r>
        <w:t>How to Build TRUST-MAIS v3: Research-Informed Architecture</w:t>
      </w:r>
    </w:p>
    <w:p>
      <w:pPr>
        <w:pStyle w:val="Heading2"/>
      </w:pPr>
      <w:r>
        <w:t>Layer 1: KC and item evidence base</w:t>
      </w:r>
    </w:p>
    <w:p>
      <w:pPr/>
      <w:r>
        <w:t>Build:</w:t>
      </w:r>
    </w:p>
    <w:p>
      <w:pPr>
        <w:pStyle w:val="ListBullet"/>
      </w:pPr>
      <w:r>
        <w:t>Stable KC IDs and bilingual KC labels.</w:t>
      </w:r>
    </w:p>
    <w:p>
      <w:pPr>
        <w:pStyle w:val="ListBullet"/>
      </w:pPr>
      <w:r>
        <w:t>Item-to-KC mapping.</w:t>
      </w:r>
    </w:p>
    <w:p>
      <w:pPr>
        <w:pStyle w:val="ListBullet"/>
      </w:pPr>
      <w:r>
        <w:t>Item difficulty and common misconception tags.</w:t>
      </w:r>
    </w:p>
    <w:p>
      <w:pPr>
        <w:pStyle w:val="ListBullet"/>
      </w:pPr>
      <w:r>
        <w:t>Prerequisite relations with source provenance.</w:t>
      </w:r>
    </w:p>
    <w:p>
      <w:pPr>
        <w:pStyle w:val="ListBullet"/>
      </w:pPr>
      <w:r>
        <w:t>Lesson/visualisation/remediation links.</w:t>
      </w:r>
    </w:p>
    <w:p>
      <w:pPr/>
      <w:r>
        <w:t>Research checks:</w:t>
      </w:r>
    </w:p>
    <w:p>
      <w:pPr>
        <w:pStyle w:val="ListBullet"/>
      </w:pPr>
      <w:r>
        <w:t>Expert agreement on mappings.</w:t>
      </w:r>
    </w:p>
    <w:p>
      <w:pPr>
        <w:pStyle w:val="ListBullet"/>
      </w:pPr>
      <w:r>
        <w:t>Coverage by grade/topic/KC.</w:t>
      </w:r>
    </w:p>
    <w:p>
      <w:pPr>
        <w:pStyle w:val="ListBullet"/>
      </w:pPr>
      <w:r>
        <w:t>Ambiguous or under-covered KCs flagged.</w:t>
      </w:r>
    </w:p>
    <w:p>
      <w:pPr>
        <w:pStyle w:val="Heading2"/>
      </w:pPr>
      <w:r>
        <w:t>Layer 2: BKT safety floor</w:t>
      </w:r>
    </w:p>
    <w:p>
      <w:pPr/>
      <w:r>
        <w:t>Build:</w:t>
      </w:r>
    </w:p>
    <w:p>
      <w:pPr>
        <w:pStyle w:val="ListBullet"/>
      </w:pPr>
      <w:r>
        <w:t>BKT mastery estimates by KC.</w:t>
      </w:r>
    </w:p>
    <w:p>
      <w:pPr>
        <w:pStyle w:val="ListBullet"/>
      </w:pPr>
      <w:r>
        <w:t>Parameter versioning.</w:t>
      </w:r>
    </w:p>
    <w:p>
      <w:pPr>
        <w:pStyle w:val="ListBullet"/>
      </w:pPr>
      <w:r>
        <w:t>Calibration reports.</w:t>
      </w:r>
    </w:p>
    <w:p>
      <w:pPr>
        <w:pStyle w:val="ListBullet"/>
      </w:pPr>
      <w:r>
        <w:t>Review due, repair required, prerequisite risk, wrong streak, correct streak.</w:t>
      </w:r>
    </w:p>
    <w:p>
      <w:pPr/>
      <w:r>
        <w:t>Hard rule:</w:t>
      </w:r>
    </w:p>
    <w:p>
      <w:pPr>
        <w:pStyle w:val="ListBullet"/>
      </w:pPr>
      <w:r>
        <w:t>BKT/prerequisite/repair guards generate and constrain candidates.</w:t>
      </w:r>
    </w:p>
    <w:p>
      <w:pPr/>
      <w:r>
        <w:t>Research checks:</w:t>
      </w:r>
    </w:p>
    <w:p>
      <w:pPr>
        <w:pStyle w:val="ListBullet"/>
      </w:pPr>
      <w:r>
        <w:t>AUC, Brier score, ECE.</w:t>
      </w:r>
    </w:p>
    <w:p>
      <w:pPr>
        <w:pStyle w:val="ListBullet"/>
      </w:pPr>
      <w:r>
        <w:t>Mastery threshold sensitivity.</w:t>
      </w:r>
    </w:p>
    <w:p>
      <w:pPr>
        <w:pStyle w:val="ListBullet"/>
      </w:pPr>
      <w:r>
        <w:t>Failure case analysis by KC and item type.</w:t>
      </w:r>
    </w:p>
    <w:p>
      <w:pPr>
        <w:pStyle w:val="Heading2"/>
      </w:pPr>
      <w:r>
        <w:t>Layer 3: Candidate generator</w:t>
      </w:r>
    </w:p>
    <w:p>
      <w:pPr/>
      <w:r>
        <w:t>Build candidate actions:</w:t>
      </w:r>
    </w:p>
    <w:p>
      <w:pPr>
        <w:pStyle w:val="ListBullet"/>
      </w:pPr>
      <w:r>
        <w:t>Review previous KC.</w:t>
      </w:r>
    </w:p>
    <w:p>
      <w:pPr>
        <w:pStyle w:val="ListBullet"/>
      </w:pPr>
      <w:r>
        <w:t>Repair prerequisite.</w:t>
      </w:r>
    </w:p>
    <w:p>
      <w:pPr>
        <w:pStyle w:val="ListBullet"/>
      </w:pPr>
      <w:r>
        <w:t>Practice current KC.</w:t>
      </w:r>
    </w:p>
    <w:p>
      <w:pPr>
        <w:pStyle w:val="ListBullet"/>
      </w:pPr>
      <w:r>
        <w:t>Lesson/reteach.</w:t>
      </w:r>
    </w:p>
    <w:p>
      <w:pPr>
        <w:pStyle w:val="ListBullet"/>
      </w:pPr>
      <w:r>
        <w:t>Challenge/advance.</w:t>
      </w:r>
    </w:p>
    <w:p>
      <w:pPr>
        <w:pStyle w:val="ListBullet"/>
      </w:pPr>
      <w:r>
        <w:t>Teacher-only alert.</w:t>
      </w:r>
    </w:p>
    <w:p>
      <w:pPr/>
      <w:r>
        <w:t>Hard rule:</w:t>
      </w:r>
    </w:p>
    <w:p>
      <w:pPr>
        <w:pStyle w:val="ListBullet"/>
      </w:pPr>
      <w:r>
        <w:t>Candidate generator is deterministic and auditable. The LLM receives only this bounded set.</w:t>
      </w:r>
    </w:p>
    <w:p>
      <w:pPr/>
      <w:r>
        <w:t>Research checks:</w:t>
      </w:r>
    </w:p>
    <w:p>
      <w:pPr>
        <w:pStyle w:val="ListBullet"/>
      </w:pPr>
      <w:r>
        <w:t>Candidate coverage.</w:t>
      </w:r>
    </w:p>
    <w:p>
      <w:pPr>
        <w:pStyle w:val="ListBullet"/>
      </w:pPr>
      <w:r>
        <w:t>Harmful omission rate.</w:t>
      </w:r>
    </w:p>
    <w:p>
      <w:pPr>
        <w:pStyle w:val="ListBullet"/>
      </w:pPr>
      <w:r>
        <w:t>Teacher agreement with candidate set before LLM reranking.</w:t>
      </w:r>
    </w:p>
    <w:p>
      <w:pPr>
        <w:pStyle w:val="Heading2"/>
      </w:pPr>
      <w:r>
        <w:t>Layer 4: KG/RAG evidence pack</w:t>
      </w:r>
    </w:p>
    <w:p>
      <w:pPr/>
      <w:r>
        <w:t>Build:</w:t>
      </w:r>
    </w:p>
    <w:p>
      <w:pPr>
        <w:pStyle w:val="ListBullet"/>
      </w:pPr>
      <w:r>
        <w:t>Evidence pack per candidate.</w:t>
      </w:r>
    </w:p>
    <w:p>
      <w:pPr>
        <w:pStyle w:val="ListBullet"/>
      </w:pPr>
      <w:r>
        <w:t>Retrieved curriculum and item sources.</w:t>
      </w:r>
    </w:p>
    <w:p>
      <w:pPr>
        <w:pStyle w:val="ListBullet"/>
      </w:pPr>
      <w:r>
        <w:t>Misconception evidence.</w:t>
      </w:r>
    </w:p>
    <w:p>
      <w:pPr>
        <w:pStyle w:val="ListBullet"/>
      </w:pPr>
      <w:r>
        <w:t>Teacher notes where permitted.</w:t>
      </w:r>
    </w:p>
    <w:p>
      <w:pPr>
        <w:pStyle w:val="ListBullet"/>
      </w:pPr>
      <w:r>
        <w:t>Bilingual evidence labels.</w:t>
      </w:r>
    </w:p>
    <w:p>
      <w:pPr/>
      <w:r>
        <w:t>Hard rule:</w:t>
      </w:r>
    </w:p>
    <w:p>
      <w:pPr>
        <w:pStyle w:val="ListBullet"/>
      </w:pPr>
      <w:r>
        <w:t>LLM rationales must cite evidence IDs or be rejected.</w:t>
      </w:r>
    </w:p>
    <w:p>
      <w:pPr/>
      <w:r>
        <w:t>Research checks:</w:t>
      </w:r>
    </w:p>
    <w:p>
      <w:pPr>
        <w:pStyle w:val="ListBullet"/>
      </w:pPr>
      <w:r>
        <w:t>Retrieval precision.</w:t>
      </w:r>
    </w:p>
    <w:p>
      <w:pPr>
        <w:pStyle w:val="ListBullet"/>
      </w:pPr>
      <w:r>
        <w:t>Evidence coverage.</w:t>
      </w:r>
    </w:p>
    <w:p>
      <w:pPr>
        <w:pStyle w:val="ListBullet"/>
      </w:pPr>
      <w:r>
        <w:t>Unsupported claim rate.</w:t>
      </w:r>
    </w:p>
    <w:p>
      <w:pPr>
        <w:pStyle w:val="ListBullet"/>
      </w:pPr>
      <w:r>
        <w:t>Teacher usefulness ratings.</w:t>
      </w:r>
    </w:p>
    <w:p>
      <w:pPr>
        <w:pStyle w:val="Heading2"/>
      </w:pPr>
      <w:r>
        <w:t>Layer 5: Guarded LLM reranker</w:t>
      </w:r>
    </w:p>
    <w:p>
      <w:pPr/>
      <w:r>
        <w:t>Build:</w:t>
      </w:r>
    </w:p>
    <w:p>
      <w:pPr>
        <w:pStyle w:val="ListBullet"/>
      </w:pPr>
      <w:r>
        <w:t>Structured prompt with candidate set and evidence pack.</w:t>
      </w:r>
    </w:p>
    <w:p>
      <w:pPr>
        <w:pStyle w:val="ListBullet"/>
      </w:pPr>
      <w:r>
        <w:t>JSON schema.</w:t>
      </w:r>
    </w:p>
    <w:p>
      <w:pPr>
        <w:pStyle w:val="ListBullet"/>
      </w:pPr>
      <w:r>
        <w:t>Short learner-facing explanation.</w:t>
      </w:r>
    </w:p>
    <w:p>
      <w:pPr>
        <w:pStyle w:val="ListBullet"/>
      </w:pPr>
      <w:r>
        <w:t>Teacher audit note.</w:t>
      </w:r>
    </w:p>
    <w:p>
      <w:pPr>
        <w:pStyle w:val="ListBullet"/>
      </w:pPr>
      <w:r>
        <w:t>signalsUsed array.</w:t>
      </w:r>
    </w:p>
    <w:p>
      <w:pPr/>
      <w:r>
        <w:t>Hard prohibitions:</w:t>
      </w:r>
    </w:p>
    <w:p>
      <w:pPr>
        <w:pStyle w:val="ListBullet"/>
      </w:pPr>
      <w:r>
        <w:t>No new candidate IDs.</w:t>
      </w:r>
    </w:p>
    <w:p>
      <w:pPr>
        <w:pStyle w:val="ListBullet"/>
      </w:pPr>
      <w:r>
        <w:t>No new question IDs.</w:t>
      </w:r>
    </w:p>
    <w:p>
      <w:pPr>
        <w:pStyle w:val="ListBullet"/>
      </w:pPr>
      <w:r>
        <w:t>No prerequisite bypass.</w:t>
      </w:r>
    </w:p>
    <w:p>
      <w:pPr>
        <w:pStyle w:val="ListBullet"/>
      </w:pPr>
      <w:r>
        <w:t>No BKT update.</w:t>
      </w:r>
    </w:p>
    <w:p>
      <w:pPr>
        <w:pStyle w:val="ListBullet"/>
      </w:pPr>
      <w:r>
        <w:t>No PII.</w:t>
      </w:r>
    </w:p>
    <w:p>
      <w:pPr>
        <w:pStyle w:val="ListBullet"/>
      </w:pPr>
      <w:r>
        <w:t>No unsupported claim.</w:t>
      </w:r>
    </w:p>
    <w:p>
      <w:pPr/>
      <w:r>
        <w:t>Research checks:</w:t>
      </w:r>
    </w:p>
    <w:p>
      <w:pPr>
        <w:pStyle w:val="ListBullet"/>
      </w:pPr>
      <w:r>
        <w:t>Valid JSON rate.</w:t>
      </w:r>
    </w:p>
    <w:p>
      <w:pPr>
        <w:pStyle w:val="ListBullet"/>
      </w:pPr>
      <w:r>
        <w:t>Validator rejection rate.</w:t>
      </w:r>
    </w:p>
    <w:p>
      <w:pPr>
        <w:pStyle w:val="ListBullet"/>
      </w:pPr>
      <w:r>
        <w:t>Rerank improvement versus deterministic baseline.</w:t>
      </w:r>
    </w:p>
    <w:p>
      <w:pPr>
        <w:pStyle w:val="ListBullet"/>
      </w:pPr>
      <w:r>
        <w:t>Cost and latency.</w:t>
      </w:r>
    </w:p>
    <w:p>
      <w:pPr>
        <w:pStyle w:val="Heading2"/>
      </w:pPr>
      <w:r>
        <w:t>Layer 6: Validator and fallback</w:t>
      </w:r>
    </w:p>
    <w:p>
      <w:pPr/>
      <w:r>
        <w:t>Build:</w:t>
      </w:r>
    </w:p>
    <w:p>
      <w:pPr>
        <w:pStyle w:val="ListBullet"/>
      </w:pPr>
      <w:r>
        <w:t>Candidate identity validator.</w:t>
      </w:r>
    </w:p>
    <w:p>
      <w:pPr>
        <w:pStyle w:val="ListBullet"/>
      </w:pPr>
      <w:r>
        <w:t>Question/item ID validator.</w:t>
      </w:r>
    </w:p>
    <w:p>
      <w:pPr>
        <w:pStyle w:val="ListBullet"/>
      </w:pPr>
      <w:r>
        <w:t>Prerequisite guard validator.</w:t>
      </w:r>
    </w:p>
    <w:p>
      <w:pPr>
        <w:pStyle w:val="ListBullet"/>
      </w:pPr>
      <w:r>
        <w:t>Evidence support validator.</w:t>
      </w:r>
    </w:p>
    <w:p>
      <w:pPr>
        <w:pStyle w:val="ListBullet"/>
      </w:pPr>
      <w:r>
        <w:t>PII validator.</w:t>
      </w:r>
    </w:p>
    <w:p>
      <w:pPr>
        <w:pStyle w:val="ListBullet"/>
      </w:pPr>
      <w:r>
        <w:t>JSON/schema validator.</w:t>
      </w:r>
    </w:p>
    <w:p>
      <w:pPr>
        <w:pStyle w:val="ListBullet"/>
      </w:pPr>
      <w:r>
        <w:t>Fallback to deterministic BKT.</w:t>
      </w:r>
    </w:p>
    <w:p>
      <w:pPr/>
      <w:r>
        <w:t>Research checks:</w:t>
      </w:r>
    </w:p>
    <w:p>
      <w:pPr>
        <w:pStyle w:val="ListBullet"/>
      </w:pPr>
      <w:r>
        <w:t>Rejection taxonomy.</w:t>
      </w:r>
    </w:p>
    <w:p>
      <w:pPr>
        <w:pStyle w:val="ListBullet"/>
      </w:pPr>
      <w:r>
        <w:t>False reject/false accept analysis.</w:t>
      </w:r>
    </w:p>
    <w:p>
      <w:pPr>
        <w:pStyle w:val="ListBullet"/>
      </w:pPr>
      <w:r>
        <w:t>Fallback frequency.</w:t>
      </w:r>
    </w:p>
    <w:p>
      <w:pPr>
        <w:pStyle w:val="ListBullet"/>
      </w:pPr>
      <w:r>
        <w:t>Teacher perception of fallback reliability.</w:t>
      </w:r>
    </w:p>
    <w:p>
      <w:pPr>
        <w:pStyle w:val="Heading2"/>
      </w:pPr>
      <w:r>
        <w:t>Layer 7: Teacher governance console</w:t>
      </w:r>
    </w:p>
    <w:p>
      <w:pPr/>
      <w:r>
        <w:t>Build:</w:t>
      </w:r>
    </w:p>
    <w:p>
      <w:pPr>
        <w:pStyle w:val="ListBullet"/>
      </w:pPr>
      <w:r>
        <w:t>deterministicCandidateId and selectedCandidateId display.</w:t>
      </w:r>
    </w:p>
    <w:p>
      <w:pPr>
        <w:pStyle w:val="ListBullet"/>
      </w:pPr>
      <w:r>
        <w:t>Mastery and confidence explanation.</w:t>
      </w:r>
    </w:p>
    <w:p>
      <w:pPr>
        <w:pStyle w:val="ListBullet"/>
      </w:pPr>
      <w:r>
        <w:t>Evidence card.</w:t>
      </w:r>
    </w:p>
    <w:p>
      <w:pPr>
        <w:pStyle w:val="ListBullet"/>
      </w:pPr>
      <w:r>
        <w:t>signalsUsed and teacherAuditNote.</w:t>
      </w:r>
    </w:p>
    <w:p>
      <w:pPr>
        <w:pStyle w:val="ListBullet"/>
      </w:pPr>
      <w:r>
        <w:t>Approve, override, rollback.</w:t>
      </w:r>
    </w:p>
    <w:p>
      <w:pPr>
        <w:pStyle w:val="ListBullet"/>
      </w:pPr>
      <w:r>
        <w:t>Batch assignment.</w:t>
      </w:r>
    </w:p>
    <w:p>
      <w:pPr>
        <w:pStyle w:val="ListBullet"/>
      </w:pPr>
      <w:r>
        <w:t>Override reason codes.</w:t>
      </w:r>
    </w:p>
    <w:p>
      <w:pPr/>
      <w:r>
        <w:t>Research checks:</w:t>
      </w:r>
    </w:p>
    <w:p>
      <w:pPr>
        <w:pStyle w:val="ListBullet"/>
      </w:pPr>
      <w:r>
        <w:t>Teacher agreement.</w:t>
      </w:r>
    </w:p>
    <w:p>
      <w:pPr>
        <w:pStyle w:val="ListBullet"/>
      </w:pPr>
      <w:r>
        <w:t>Override rate.</w:t>
      </w:r>
    </w:p>
    <w:p>
      <w:pPr>
        <w:pStyle w:val="ListBullet"/>
      </w:pPr>
      <w:r>
        <w:t>Time-to-decision.</w:t>
      </w:r>
    </w:p>
    <w:p>
      <w:pPr>
        <w:pStyle w:val="ListBullet"/>
      </w:pPr>
      <w:r>
        <w:t>Trust calibration.</w:t>
      </w:r>
    </w:p>
    <w:p>
      <w:pPr>
        <w:pStyle w:val="ListBullet"/>
      </w:pPr>
      <w:r>
        <w:t>Qualitative usability themes.</w:t>
      </w:r>
    </w:p>
    <w:p>
      <w:pPr>
        <w:pStyle w:val="Heading2"/>
      </w:pPr>
      <w:r>
        <w:t>Layer 8: Traceable evaluation and governance</w:t>
      </w:r>
    </w:p>
    <w:p>
      <w:pPr/>
      <w:r>
        <w:t>Build:</w:t>
      </w:r>
    </w:p>
    <w:p>
      <w:pPr>
        <w:pStyle w:val="ListBullet"/>
      </w:pPr>
      <w:r>
        <w:t>Versioned logs.</w:t>
      </w:r>
    </w:p>
    <w:p>
      <w:pPr>
        <w:pStyle w:val="ListBullet"/>
      </w:pPr>
      <w:r>
        <w:t>Parameter version.</w:t>
      </w:r>
    </w:p>
    <w:p>
      <w:pPr>
        <w:pStyle w:val="ListBullet"/>
      </w:pPr>
      <w:r>
        <w:t>KG/RAG version.</w:t>
      </w:r>
    </w:p>
    <w:p>
      <w:pPr>
        <w:pStyle w:val="ListBullet"/>
      </w:pPr>
      <w:r>
        <w:t>Prompt and validator version.</w:t>
      </w:r>
    </w:p>
    <w:p>
      <w:pPr>
        <w:pStyle w:val="ListBullet"/>
      </w:pPr>
      <w:r>
        <w:t>Teacher decision trace.</w:t>
      </w:r>
    </w:p>
    <w:p>
      <w:pPr>
        <w:pStyle w:val="ListBullet"/>
      </w:pPr>
      <w:r>
        <w:t>Rollback and fallback records.</w:t>
      </w:r>
    </w:p>
    <w:p>
      <w:pPr/>
      <w:r>
        <w:t>Research checks:</w:t>
      </w:r>
    </w:p>
    <w:p>
      <w:pPr>
        <w:pStyle w:val="ListBullet"/>
      </w:pPr>
      <w:r>
        <w:t>Log completeness.</w:t>
      </w:r>
    </w:p>
    <w:p>
      <w:pPr>
        <w:pStyle w:val="ListBullet"/>
      </w:pPr>
      <w:r>
        <w:t>Reproducibility of sampled decisions.</w:t>
      </w:r>
    </w:p>
    <w:p>
      <w:pPr>
        <w:pStyle w:val="ListBullet"/>
      </w:pPr>
      <w:r>
        <w:t>Auditability by independent reviewer.</w:t>
      </w:r>
    </w:p>
    <w:p>
      <w:pPr>
        <w:pStyle w:val="Heading1"/>
      </w:pPr>
      <w:r>
        <w:t>Proposed Metric Dashboard</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3300"/>
        <w:gridCol w:w="3860"/>
      </w:tblGrid>
      <w:tr>
        <w:trPr>
          <w:tblHeader w:val="true"/>
        </w:trPr>
        <w:tc>
          <w:tcPr>
            <w:tcW w:type="dxa" w:w="2200"/>
            <w:tcMar>
              <w:top w:w="80" w:type="dxa"/>
              <w:start w:w="120" w:type="dxa"/>
              <w:bottom w:w="80" w:type="dxa"/>
              <w:end w:w="120" w:type="dxa"/>
            </w:tcMar>
            <w:vAlign w:val="center"/>
            <w:shd w:fill="F2F4F7"/>
          </w:tcPr>
          <w:p>
            <w:pPr>
              <w:pStyle w:val="TableBody"/>
            </w:pPr>
            <w:r>
              <w:rPr>
                <w:b/>
                <w:color w:val="0B2545"/>
              </w:rPr>
            </w:r>
            <w:r>
              <w:rPr>
                <w:b/>
                <w:color w:val="0B2545"/>
                <w:sz w:val="18"/>
              </w:rPr>
              <w:t>Dimension</w:t>
            </w:r>
          </w:p>
        </w:tc>
        <w:tc>
          <w:tcPr>
            <w:tcW w:type="dxa" w:w="3300"/>
            <w:tcMar>
              <w:top w:w="80" w:type="dxa"/>
              <w:start w:w="120" w:type="dxa"/>
              <w:bottom w:w="80" w:type="dxa"/>
              <w:end w:w="120" w:type="dxa"/>
            </w:tcMar>
            <w:vAlign w:val="center"/>
            <w:shd w:fill="F2F4F7"/>
          </w:tcPr>
          <w:p>
            <w:pPr>
              <w:pStyle w:val="TableBody"/>
            </w:pPr>
            <w:r>
              <w:rPr>
                <w:b/>
                <w:color w:val="0B2545"/>
              </w:rPr>
            </w:r>
            <w:r>
              <w:rPr>
                <w:b/>
                <w:color w:val="0B2545"/>
                <w:sz w:val="18"/>
              </w:rPr>
              <w:t>Metrics</w:t>
            </w:r>
          </w:p>
        </w:tc>
        <w:tc>
          <w:tcPr>
            <w:tcW w:type="dxa" w:w="3860"/>
            <w:tcMar>
              <w:top w:w="80" w:type="dxa"/>
              <w:start w:w="120" w:type="dxa"/>
              <w:bottom w:w="80" w:type="dxa"/>
              <w:end w:w="120" w:type="dxa"/>
            </w:tcMar>
            <w:vAlign w:val="center"/>
            <w:shd w:fill="F2F4F7"/>
          </w:tcPr>
          <w:p>
            <w:pPr>
              <w:pStyle w:val="TableBody"/>
            </w:pPr>
            <w:r>
              <w:rPr>
                <w:b/>
                <w:color w:val="0B2545"/>
              </w:rPr>
            </w:r>
            <w:r>
              <w:rPr>
                <w:b/>
                <w:color w:val="0B2545"/>
                <w:sz w:val="18"/>
              </w:rPr>
              <w:t>Why it matters</w:t>
            </w:r>
          </w:p>
        </w:tc>
      </w:tr>
      <w:tr>
        <w:tc>
          <w:tcPr>
            <w:tcW w:type="dxa" w:w="2200"/>
            <w:tcMar>
              <w:top w:w="80" w:type="dxa"/>
              <w:start w:w="120" w:type="dxa"/>
              <w:bottom w:w="80" w:type="dxa"/>
              <w:end w:w="120" w:type="dxa"/>
            </w:tcMar>
            <w:vAlign w:val="center"/>
          </w:tcPr>
          <w:p>
            <w:pPr>
              <w:pStyle w:val="TableBody"/>
            </w:pPr>
            <w:r/>
            <w:r>
              <w:rPr>
                <w:sz w:val="18"/>
              </w:rPr>
              <w:t>Learner model</w:t>
            </w:r>
          </w:p>
        </w:tc>
        <w:tc>
          <w:tcPr>
            <w:tcW w:type="dxa" w:w="3300"/>
            <w:tcMar>
              <w:top w:w="80" w:type="dxa"/>
              <w:start w:w="120" w:type="dxa"/>
              <w:bottom w:w="80" w:type="dxa"/>
              <w:end w:w="120" w:type="dxa"/>
            </w:tcMar>
            <w:vAlign w:val="center"/>
          </w:tcPr>
          <w:p>
            <w:pPr>
              <w:pStyle w:val="TableBody"/>
            </w:pPr>
            <w:r/>
            <w:r>
              <w:rPr>
                <w:sz w:val="18"/>
              </w:rPr>
              <w:t>AUC, Brier, ECE, calibration by KC</w:t>
            </w:r>
          </w:p>
        </w:tc>
        <w:tc>
          <w:tcPr>
            <w:tcW w:type="dxa" w:w="3860"/>
            <w:tcMar>
              <w:top w:w="80" w:type="dxa"/>
              <w:start w:w="120" w:type="dxa"/>
              <w:bottom w:w="80" w:type="dxa"/>
              <w:end w:w="120" w:type="dxa"/>
            </w:tcMar>
            <w:vAlign w:val="center"/>
          </w:tcPr>
          <w:p>
            <w:pPr>
              <w:pStyle w:val="TableBody"/>
            </w:pPr>
            <w:r/>
            <w:r>
              <w:rPr>
                <w:sz w:val="18"/>
              </w:rPr>
              <w:t>Checks whether mastery estimates are valid enough to guide decisions</w:t>
            </w:r>
          </w:p>
        </w:tc>
      </w:tr>
      <w:tr>
        <w:tc>
          <w:tcPr>
            <w:tcW w:type="dxa" w:w="2200"/>
            <w:tcMar>
              <w:top w:w="80" w:type="dxa"/>
              <w:start w:w="120" w:type="dxa"/>
              <w:bottom w:w="80" w:type="dxa"/>
              <w:end w:w="120" w:type="dxa"/>
            </w:tcMar>
            <w:vAlign w:val="center"/>
          </w:tcPr>
          <w:p>
            <w:pPr>
              <w:pStyle w:val="TableBody"/>
            </w:pPr>
            <w:r/>
            <w:r>
              <w:rPr>
                <w:sz w:val="18"/>
              </w:rPr>
              <w:t>Candidate safety</w:t>
            </w:r>
          </w:p>
        </w:tc>
        <w:tc>
          <w:tcPr>
            <w:tcW w:type="dxa" w:w="3300"/>
            <w:tcMar>
              <w:top w:w="80" w:type="dxa"/>
              <w:start w:w="120" w:type="dxa"/>
              <w:bottom w:w="80" w:type="dxa"/>
              <w:end w:w="120" w:type="dxa"/>
            </w:tcMar>
            <w:vAlign w:val="center"/>
          </w:tcPr>
          <w:p>
            <w:pPr>
              <w:pStyle w:val="TableBody"/>
            </w:pPr>
            <w:r/>
            <w:r>
              <w:rPr>
                <w:sz w:val="18"/>
              </w:rPr>
              <w:t>prerequisite-bypass rate, repair-missed rate, harmful candidate rate</w:t>
            </w:r>
          </w:p>
        </w:tc>
        <w:tc>
          <w:tcPr>
            <w:tcW w:type="dxa" w:w="3860"/>
            <w:tcMar>
              <w:top w:w="80" w:type="dxa"/>
              <w:start w:w="120" w:type="dxa"/>
              <w:bottom w:w="80" w:type="dxa"/>
              <w:end w:w="120" w:type="dxa"/>
            </w:tcMar>
            <w:vAlign w:val="center"/>
          </w:tcPr>
          <w:p>
            <w:pPr>
              <w:pStyle w:val="TableBody"/>
            </w:pPr>
            <w:r/>
            <w:r>
              <w:rPr>
                <w:sz w:val="18"/>
              </w:rPr>
              <w:t>Tests the safety floor</w:t>
            </w:r>
          </w:p>
        </w:tc>
      </w:tr>
      <w:tr>
        <w:tc>
          <w:tcPr>
            <w:tcW w:type="dxa" w:w="2200"/>
            <w:tcMar>
              <w:top w:w="80" w:type="dxa"/>
              <w:start w:w="120" w:type="dxa"/>
              <w:bottom w:w="80" w:type="dxa"/>
              <w:end w:w="120" w:type="dxa"/>
            </w:tcMar>
            <w:vAlign w:val="center"/>
          </w:tcPr>
          <w:p>
            <w:pPr>
              <w:pStyle w:val="TableBody"/>
            </w:pPr>
            <w:r/>
            <w:r>
              <w:rPr>
                <w:sz w:val="18"/>
              </w:rPr>
              <w:t>RAG quality</w:t>
            </w:r>
          </w:p>
        </w:tc>
        <w:tc>
          <w:tcPr>
            <w:tcW w:type="dxa" w:w="3300"/>
            <w:tcMar>
              <w:top w:w="80" w:type="dxa"/>
              <w:start w:w="120" w:type="dxa"/>
              <w:bottom w:w="80" w:type="dxa"/>
              <w:end w:w="120" w:type="dxa"/>
            </w:tcMar>
            <w:vAlign w:val="center"/>
          </w:tcPr>
          <w:p>
            <w:pPr>
              <w:pStyle w:val="TableBody"/>
            </w:pPr>
            <w:r/>
            <w:r>
              <w:rPr>
                <w:sz w:val="18"/>
              </w:rPr>
              <w:t>precision@k, source coverage, claim support, unsupported-claim rate</w:t>
            </w:r>
          </w:p>
        </w:tc>
        <w:tc>
          <w:tcPr>
            <w:tcW w:type="dxa" w:w="3860"/>
            <w:tcMar>
              <w:top w:w="80" w:type="dxa"/>
              <w:start w:w="120" w:type="dxa"/>
              <w:bottom w:w="80" w:type="dxa"/>
              <w:end w:w="120" w:type="dxa"/>
            </w:tcMar>
            <w:vAlign w:val="center"/>
          </w:tcPr>
          <w:p>
            <w:pPr>
              <w:pStyle w:val="TableBody"/>
            </w:pPr>
            <w:r/>
            <w:r>
              <w:rPr>
                <w:sz w:val="18"/>
              </w:rPr>
              <w:t>Tests grounding and faithfulness</w:t>
            </w:r>
          </w:p>
        </w:tc>
      </w:tr>
      <w:tr>
        <w:tc>
          <w:tcPr>
            <w:tcW w:type="dxa" w:w="2200"/>
            <w:tcMar>
              <w:top w:w="80" w:type="dxa"/>
              <w:start w:w="120" w:type="dxa"/>
              <w:bottom w:w="80" w:type="dxa"/>
              <w:end w:w="120" w:type="dxa"/>
            </w:tcMar>
            <w:vAlign w:val="center"/>
          </w:tcPr>
          <w:p>
            <w:pPr>
              <w:pStyle w:val="TableBody"/>
            </w:pPr>
            <w:r/>
            <w:r>
              <w:rPr>
                <w:sz w:val="18"/>
              </w:rPr>
              <w:t>LLM validity</w:t>
            </w:r>
          </w:p>
        </w:tc>
        <w:tc>
          <w:tcPr>
            <w:tcW w:type="dxa" w:w="3300"/>
            <w:tcMar>
              <w:top w:w="80" w:type="dxa"/>
              <w:start w:w="120" w:type="dxa"/>
              <w:bottom w:w="80" w:type="dxa"/>
              <w:end w:w="120" w:type="dxa"/>
            </w:tcMar>
            <w:vAlign w:val="center"/>
          </w:tcPr>
          <w:p>
            <w:pPr>
              <w:pStyle w:val="TableBody"/>
            </w:pPr>
            <w:r/>
            <w:r>
              <w:rPr>
                <w:sz w:val="18"/>
              </w:rPr>
              <w:t>schema pass, candidate ID pass, rejection rate, fallback rate</w:t>
            </w:r>
          </w:p>
        </w:tc>
        <w:tc>
          <w:tcPr>
            <w:tcW w:type="dxa" w:w="3860"/>
            <w:tcMar>
              <w:top w:w="80" w:type="dxa"/>
              <w:start w:w="120" w:type="dxa"/>
              <w:bottom w:w="80" w:type="dxa"/>
              <w:end w:w="120" w:type="dxa"/>
            </w:tcMar>
            <w:vAlign w:val="center"/>
          </w:tcPr>
          <w:p>
            <w:pPr>
              <w:pStyle w:val="TableBody"/>
            </w:pPr>
            <w:r/>
            <w:r>
              <w:rPr>
                <w:sz w:val="18"/>
              </w:rPr>
              <w:t>Tests constrained generation</w:t>
            </w:r>
          </w:p>
        </w:tc>
      </w:tr>
      <w:tr>
        <w:tc>
          <w:tcPr>
            <w:tcW w:type="dxa" w:w="2200"/>
            <w:tcMar>
              <w:top w:w="80" w:type="dxa"/>
              <w:start w:w="120" w:type="dxa"/>
              <w:bottom w:w="80" w:type="dxa"/>
              <w:end w:w="120" w:type="dxa"/>
            </w:tcMar>
            <w:vAlign w:val="center"/>
          </w:tcPr>
          <w:p>
            <w:pPr>
              <w:pStyle w:val="TableBody"/>
            </w:pPr>
            <w:r/>
            <w:r>
              <w:rPr>
                <w:sz w:val="18"/>
              </w:rPr>
              <w:t>Teacher governance</w:t>
            </w:r>
          </w:p>
        </w:tc>
        <w:tc>
          <w:tcPr>
            <w:tcW w:type="dxa" w:w="3300"/>
            <w:tcMar>
              <w:top w:w="80" w:type="dxa"/>
              <w:start w:w="120" w:type="dxa"/>
              <w:bottom w:w="80" w:type="dxa"/>
              <w:end w:w="120" w:type="dxa"/>
            </w:tcMar>
            <w:vAlign w:val="center"/>
          </w:tcPr>
          <w:p>
            <w:pPr>
              <w:pStyle w:val="TableBody"/>
            </w:pPr>
            <w:r/>
            <w:r>
              <w:rPr>
                <w:sz w:val="18"/>
              </w:rPr>
              <w:t>approval, override, rollback, decision time, trust calibration</w:t>
            </w:r>
          </w:p>
        </w:tc>
        <w:tc>
          <w:tcPr>
            <w:tcW w:type="dxa" w:w="3860"/>
            <w:tcMar>
              <w:top w:w="80" w:type="dxa"/>
              <w:start w:w="120" w:type="dxa"/>
              <w:bottom w:w="80" w:type="dxa"/>
              <w:end w:w="120" w:type="dxa"/>
            </w:tcMar>
            <w:vAlign w:val="center"/>
          </w:tcPr>
          <w:p>
            <w:pPr>
              <w:pStyle w:val="TableBody"/>
            </w:pPr>
            <w:r/>
            <w:r>
              <w:rPr>
                <w:sz w:val="18"/>
              </w:rPr>
              <w:t>Tests classroom usability and human control</w:t>
            </w:r>
          </w:p>
        </w:tc>
      </w:tr>
      <w:tr>
        <w:tc>
          <w:tcPr>
            <w:tcW w:type="dxa" w:w="2200"/>
            <w:tcMar>
              <w:top w:w="80" w:type="dxa"/>
              <w:start w:w="120" w:type="dxa"/>
              <w:bottom w:w="80" w:type="dxa"/>
              <w:end w:w="120" w:type="dxa"/>
            </w:tcMar>
            <w:vAlign w:val="center"/>
          </w:tcPr>
          <w:p>
            <w:pPr>
              <w:pStyle w:val="TableBody"/>
            </w:pPr>
            <w:r/>
            <w:r>
              <w:rPr>
                <w:sz w:val="18"/>
              </w:rPr>
              <w:t>Product feasibility</w:t>
            </w:r>
          </w:p>
        </w:tc>
        <w:tc>
          <w:tcPr>
            <w:tcW w:type="dxa" w:w="3300"/>
            <w:tcMar>
              <w:top w:w="80" w:type="dxa"/>
              <w:start w:w="120" w:type="dxa"/>
              <w:bottom w:w="80" w:type="dxa"/>
              <w:end w:w="120" w:type="dxa"/>
            </w:tcMar>
            <w:vAlign w:val="center"/>
          </w:tcPr>
          <w:p>
            <w:pPr>
              <w:pStyle w:val="TableBody"/>
            </w:pPr>
            <w:r/>
            <w:r>
              <w:rPr>
                <w:sz w:val="18"/>
              </w:rPr>
              <w:t>latency, cost per recommendation, cache hit rate</w:t>
            </w:r>
          </w:p>
        </w:tc>
        <w:tc>
          <w:tcPr>
            <w:tcW w:type="dxa" w:w="3860"/>
            <w:tcMar>
              <w:top w:w="80" w:type="dxa"/>
              <w:start w:w="120" w:type="dxa"/>
              <w:bottom w:w="80" w:type="dxa"/>
              <w:end w:w="120" w:type="dxa"/>
            </w:tcMar>
            <w:vAlign w:val="center"/>
          </w:tcPr>
          <w:p>
            <w:pPr>
              <w:pStyle w:val="TableBody"/>
            </w:pPr>
            <w:r/>
            <w:r>
              <w:rPr>
                <w:sz w:val="18"/>
              </w:rPr>
              <w:t>Tests deployment viability</w:t>
            </w:r>
          </w:p>
        </w:tc>
      </w:tr>
      <w:tr>
        <w:tc>
          <w:tcPr>
            <w:tcW w:type="dxa" w:w="2200"/>
            <w:tcMar>
              <w:top w:w="80" w:type="dxa"/>
              <w:start w:w="120" w:type="dxa"/>
              <w:bottom w:w="80" w:type="dxa"/>
              <w:end w:w="120" w:type="dxa"/>
            </w:tcMar>
            <w:vAlign w:val="center"/>
          </w:tcPr>
          <w:p>
            <w:pPr>
              <w:pStyle w:val="TableBody"/>
            </w:pPr>
            <w:r/>
            <w:r>
              <w:rPr>
                <w:sz w:val="18"/>
              </w:rPr>
              <w:t>Learning impact</w:t>
            </w:r>
          </w:p>
        </w:tc>
        <w:tc>
          <w:tcPr>
            <w:tcW w:type="dxa" w:w="3300"/>
            <w:tcMar>
              <w:top w:w="80" w:type="dxa"/>
              <w:start w:w="120" w:type="dxa"/>
              <w:bottom w:w="80" w:type="dxa"/>
              <w:end w:w="120" w:type="dxa"/>
            </w:tcMar>
            <w:vAlign w:val="center"/>
          </w:tcPr>
          <w:p>
            <w:pPr>
              <w:pStyle w:val="TableBody"/>
            </w:pPr>
            <w:r/>
            <w:r>
              <w:rPr>
                <w:sz w:val="18"/>
              </w:rPr>
              <w:t>pre/post gain, delayed retention, time-to-mastery, repair speed</w:t>
            </w:r>
          </w:p>
        </w:tc>
        <w:tc>
          <w:tcPr>
            <w:tcW w:type="dxa" w:w="3860"/>
            <w:tcMar>
              <w:top w:w="80" w:type="dxa"/>
              <w:start w:w="120" w:type="dxa"/>
              <w:bottom w:w="80" w:type="dxa"/>
              <w:end w:w="120" w:type="dxa"/>
            </w:tcMar>
            <w:vAlign w:val="center"/>
          </w:tcPr>
          <w:p>
            <w:pPr>
              <w:pStyle w:val="TableBody"/>
            </w:pPr>
            <w:r/>
            <w:r>
              <w:rPr>
                <w:sz w:val="18"/>
              </w:rPr>
              <w:t>Tests educational value</w:t>
            </w:r>
          </w:p>
        </w:tc>
      </w:tr>
      <w:tr>
        <w:tc>
          <w:tcPr>
            <w:tcW w:type="dxa" w:w="2200"/>
            <w:tcMar>
              <w:top w:w="80" w:type="dxa"/>
              <w:start w:w="120" w:type="dxa"/>
              <w:bottom w:w="80" w:type="dxa"/>
              <w:end w:w="120" w:type="dxa"/>
            </w:tcMar>
            <w:vAlign w:val="center"/>
          </w:tcPr>
          <w:p>
            <w:pPr>
              <w:pStyle w:val="TableBody"/>
            </w:pPr>
            <w:r/>
            <w:r>
              <w:rPr>
                <w:sz w:val="18"/>
              </w:rPr>
              <w:t>Fairness</w:t>
            </w:r>
          </w:p>
        </w:tc>
        <w:tc>
          <w:tcPr>
            <w:tcW w:type="dxa" w:w="3300"/>
            <w:tcMar>
              <w:top w:w="80" w:type="dxa"/>
              <w:start w:w="120" w:type="dxa"/>
              <w:bottom w:w="80" w:type="dxa"/>
              <w:end w:w="120" w:type="dxa"/>
            </w:tcMar>
            <w:vAlign w:val="center"/>
          </w:tcPr>
          <w:p>
            <w:pPr>
              <w:pStyle w:val="TableBody"/>
            </w:pPr>
            <w:r/>
            <w:r>
              <w:rPr>
                <w:sz w:val="18"/>
              </w:rPr>
              <w:t>calibration gaps, error gaps, recommendation benefit gaps</w:t>
            </w:r>
          </w:p>
        </w:tc>
        <w:tc>
          <w:tcPr>
            <w:tcW w:type="dxa" w:w="3860"/>
            <w:tcMar>
              <w:top w:w="80" w:type="dxa"/>
              <w:start w:w="120" w:type="dxa"/>
              <w:bottom w:w="80" w:type="dxa"/>
              <w:end w:w="120" w:type="dxa"/>
            </w:tcMar>
            <w:vAlign w:val="center"/>
          </w:tcPr>
          <w:p>
            <w:pPr>
              <w:pStyle w:val="TableBody"/>
            </w:pPr>
            <w:r/>
            <w:r>
              <w:rPr>
                <w:sz w:val="18"/>
              </w:rPr>
              <w:t>Tests equity and subgroup robustness</w:t>
            </w:r>
          </w:p>
        </w:tc>
      </w:tr>
    </w:tbl>
    <w:p>
      <w:pPr>
        <w:pStyle w:val="TableGap"/>
      </w:pPr>
    </w:p>
    <w:p>
      <w:pPr>
        <w:pStyle w:val="Heading1"/>
      </w:pPr>
      <w:r>
        <w:t>What Would Be Innovative Enough for GRF</w:t>
      </w:r>
    </w:p>
    <w:p>
      <w:pPr/>
      <w:r>
        <w:t>The innovation should be stated as a framework plus empirical validation:</w:t>
      </w:r>
    </w:p>
    <w:p>
      <w:pPr>
        <w:pStyle w:val="ListNumber"/>
      </w:pPr>
      <w:r>
        <w:t>A BKT-RAG teacher-governed adaptive decision framework for mathematics learning.</w:t>
      </w:r>
    </w:p>
    <w:p>
      <w:pPr>
        <w:pStyle w:val="ListNumber"/>
      </w:pPr>
      <w:r>
        <w:t>A validated Hong Kong mathematics KG/RAG evidence layer.</w:t>
      </w:r>
    </w:p>
    <w:p>
      <w:pPr>
        <w:pStyle w:val="ListNumber"/>
      </w:pPr>
      <w:r>
        <w:t>A constrained LLM reranking model where the LLM is deliberately not the pedagogical authority.</w:t>
      </w:r>
    </w:p>
    <w:p>
      <w:pPr>
        <w:pStyle w:val="ListNumber"/>
      </w:pPr>
      <w:r>
        <w:t>A teacher governance model where approval, override, and rollback are first-class data.</w:t>
      </w:r>
    </w:p>
    <w:p>
      <w:pPr>
        <w:pStyle w:val="ListNumber"/>
      </w:pPr>
      <w:r>
        <w:t>A multi-layer evaluation protocol covering prediction, calibration, explanation faithfulness, safety, cost, teacher trust, fairness, and classroom learning.</w:t>
      </w:r>
    </w:p>
    <w:p>
      <w:pPr/>
      <w:r>
        <w:t>The deepest research contribution is not the engineering stack. It is the claim that adaptive learning systems should be evaluated as governed instructional decision systems.</w:t>
      </w:r>
    </w:p>
    <w:p>
      <w:pPr>
        <w:pStyle w:val="Heading1"/>
      </w:pPr>
      <w:r>
        <w:t>Suggested Proposal Abstract Paragraph</w:t>
      </w:r>
    </w:p>
    <w:p>
      <w:pPr/>
      <w:r>
        <w:t>Adaptive learning systems increasingly determine what students practise, review, and learn next, yet the introduction of large language models risks turning instructional pathway decisions into opaque and weakly governed outputs. This project develops and evaluates TRUST-MAIS, a Teacher-governed, Retrieval-grounded, Uncertainty-aware, Safe, and Traceable adaptive decision engine for Hong Kong P1-S6 mathematics. TRUST-MAIS retains Bayesian Knowledge Tracing as an interpretable safety floor, uses a curriculum knowledge graph and retrieval-augmented evidence packs to ground decisions, permits LLMs only to rerank and explain bounded BKT-generated candidates, and exposes every recommendation to teacher approval, override, fallback, and audit. Through design-based mixed methods, offline replay, adversarial validation, teacher shadow-mode studies, and classroom pilots, the project will examine whether governed adaptive decisions improve measurement validity, explanation faithfulness, teacher trust, fairness, and mathematics learning outcomes. The expected contribution is a transferable framework for safe, auditable, and reversible LLM-enhanced adaptive learning.</w:t>
      </w:r>
    </w:p>
    <w:p>
      <w:pPr>
        <w:pStyle w:val="Heading1"/>
      </w:pPr>
      <w:r>
        <w:t>Risks and Mitigations for the GRF Proposal</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3300"/>
        <w:gridCol w:w="3860"/>
      </w:tblGrid>
      <w:tr>
        <w:trPr>
          <w:tblHeader w:val="true"/>
        </w:trPr>
        <w:tc>
          <w:tcPr>
            <w:tcW w:type="dxa" w:w="2200"/>
            <w:tcMar>
              <w:top w:w="80" w:type="dxa"/>
              <w:start w:w="120" w:type="dxa"/>
              <w:bottom w:w="80" w:type="dxa"/>
              <w:end w:w="120" w:type="dxa"/>
            </w:tcMar>
            <w:vAlign w:val="center"/>
            <w:shd w:fill="F2F4F7"/>
          </w:tcPr>
          <w:p>
            <w:pPr>
              <w:pStyle w:val="TableBody"/>
            </w:pPr>
            <w:r>
              <w:rPr>
                <w:b/>
                <w:color w:val="0B2545"/>
              </w:rPr>
            </w:r>
            <w:r>
              <w:rPr>
                <w:b/>
                <w:color w:val="0B2545"/>
                <w:sz w:val="18"/>
              </w:rPr>
              <w:t>Risk</w:t>
            </w:r>
          </w:p>
        </w:tc>
        <w:tc>
          <w:tcPr>
            <w:tcW w:type="dxa" w:w="3300"/>
            <w:tcMar>
              <w:top w:w="80" w:type="dxa"/>
              <w:start w:w="120" w:type="dxa"/>
              <w:bottom w:w="80" w:type="dxa"/>
              <w:end w:w="120" w:type="dxa"/>
            </w:tcMar>
            <w:vAlign w:val="center"/>
            <w:shd w:fill="F2F4F7"/>
          </w:tcPr>
          <w:p>
            <w:pPr>
              <w:pStyle w:val="TableBody"/>
            </w:pPr>
            <w:r>
              <w:rPr>
                <w:b/>
                <w:color w:val="0B2545"/>
              </w:rPr>
            </w:r>
            <w:r>
              <w:rPr>
                <w:b/>
                <w:color w:val="0B2545"/>
                <w:sz w:val="18"/>
              </w:rPr>
              <w:t>Why reviewers may care</w:t>
            </w:r>
          </w:p>
        </w:tc>
        <w:tc>
          <w:tcPr>
            <w:tcW w:type="dxa" w:w="3860"/>
            <w:tcMar>
              <w:top w:w="80" w:type="dxa"/>
              <w:start w:w="120" w:type="dxa"/>
              <w:bottom w:w="80" w:type="dxa"/>
              <w:end w:w="120" w:type="dxa"/>
            </w:tcMar>
            <w:vAlign w:val="center"/>
            <w:shd w:fill="F2F4F7"/>
          </w:tcPr>
          <w:p>
            <w:pPr>
              <w:pStyle w:val="TableBody"/>
            </w:pPr>
            <w:r>
              <w:rPr>
                <w:b/>
                <w:color w:val="0B2545"/>
              </w:rPr>
            </w:r>
            <w:r>
              <w:rPr>
                <w:b/>
                <w:color w:val="0B2545"/>
                <w:sz w:val="18"/>
              </w:rPr>
              <w:t>Mitigation</w:t>
            </w:r>
          </w:p>
        </w:tc>
      </w:tr>
      <w:tr>
        <w:tc>
          <w:tcPr>
            <w:tcW w:type="dxa" w:w="2200"/>
            <w:tcMar>
              <w:top w:w="80" w:type="dxa"/>
              <w:start w:w="120" w:type="dxa"/>
              <w:bottom w:w="80" w:type="dxa"/>
              <w:end w:w="120" w:type="dxa"/>
            </w:tcMar>
            <w:vAlign w:val="center"/>
          </w:tcPr>
          <w:p>
            <w:pPr>
              <w:pStyle w:val="TableBody"/>
            </w:pPr>
            <w:r/>
            <w:r>
              <w:rPr>
                <w:sz w:val="18"/>
              </w:rPr>
              <w:t>Looks like product development</w:t>
            </w:r>
          </w:p>
        </w:tc>
        <w:tc>
          <w:tcPr>
            <w:tcW w:type="dxa" w:w="3300"/>
            <w:tcMar>
              <w:top w:w="80" w:type="dxa"/>
              <w:start w:w="120" w:type="dxa"/>
              <w:bottom w:w="80" w:type="dxa"/>
              <w:end w:w="120" w:type="dxa"/>
            </w:tcMar>
            <w:vAlign w:val="center"/>
          </w:tcPr>
          <w:p>
            <w:pPr>
              <w:pStyle w:val="TableBody"/>
            </w:pPr>
            <w:r/>
            <w:r>
              <w:rPr>
                <w:sz w:val="18"/>
              </w:rPr>
              <w:t>GRF funds research, not only platform building</w:t>
            </w:r>
          </w:p>
        </w:tc>
        <w:tc>
          <w:tcPr>
            <w:tcW w:type="dxa" w:w="3860"/>
            <w:tcMar>
              <w:top w:w="80" w:type="dxa"/>
              <w:start w:w="120" w:type="dxa"/>
              <w:bottom w:w="80" w:type="dxa"/>
              <w:end w:w="120" w:type="dxa"/>
            </w:tcMar>
            <w:vAlign w:val="center"/>
          </w:tcPr>
          <w:p>
            <w:pPr>
              <w:pStyle w:val="TableBody"/>
            </w:pPr>
            <w:r/>
            <w:r>
              <w:rPr>
                <w:sz w:val="18"/>
              </w:rPr>
              <w:t>Lead with theory, measurement, governance, and classroom studies</w:t>
            </w:r>
          </w:p>
        </w:tc>
      </w:tr>
      <w:tr>
        <w:tc>
          <w:tcPr>
            <w:tcW w:type="dxa" w:w="2200"/>
            <w:tcMar>
              <w:top w:w="80" w:type="dxa"/>
              <w:start w:w="120" w:type="dxa"/>
              <w:bottom w:w="80" w:type="dxa"/>
              <w:end w:w="120" w:type="dxa"/>
            </w:tcMar>
            <w:vAlign w:val="center"/>
          </w:tcPr>
          <w:p>
            <w:pPr>
              <w:pStyle w:val="TableBody"/>
            </w:pPr>
            <w:r/>
            <w:r>
              <w:rPr>
                <w:sz w:val="18"/>
              </w:rPr>
              <w:t>LLM novelty ages quickly</w:t>
            </w:r>
          </w:p>
        </w:tc>
        <w:tc>
          <w:tcPr>
            <w:tcW w:type="dxa" w:w="3300"/>
            <w:tcMar>
              <w:top w:w="80" w:type="dxa"/>
              <w:start w:w="120" w:type="dxa"/>
              <w:bottom w:w="80" w:type="dxa"/>
              <w:end w:w="120" w:type="dxa"/>
            </w:tcMar>
            <w:vAlign w:val="center"/>
          </w:tcPr>
          <w:p>
            <w:pPr>
              <w:pStyle w:val="TableBody"/>
            </w:pPr>
            <w:r/>
            <w:r>
              <w:rPr>
                <w:sz w:val="18"/>
              </w:rPr>
              <w:t>Model capabilities change quickly</w:t>
            </w:r>
          </w:p>
        </w:tc>
        <w:tc>
          <w:tcPr>
            <w:tcW w:type="dxa" w:w="3860"/>
            <w:tcMar>
              <w:top w:w="80" w:type="dxa"/>
              <w:start w:w="120" w:type="dxa"/>
              <w:bottom w:w="80" w:type="dxa"/>
              <w:end w:w="120" w:type="dxa"/>
            </w:tcMar>
            <w:vAlign w:val="center"/>
          </w:tcPr>
          <w:p>
            <w:pPr>
              <w:pStyle w:val="TableBody"/>
            </w:pPr>
            <w:r/>
            <w:r>
              <w:rPr>
                <w:sz w:val="18"/>
              </w:rPr>
              <w:t>Make the contribution model-agnostic: candidate-bounded reranking, validators, audit logs</w:t>
            </w:r>
          </w:p>
        </w:tc>
      </w:tr>
      <w:tr>
        <w:tc>
          <w:tcPr>
            <w:tcW w:type="dxa" w:w="2200"/>
            <w:tcMar>
              <w:top w:w="80" w:type="dxa"/>
              <w:start w:w="120" w:type="dxa"/>
              <w:bottom w:w="80" w:type="dxa"/>
              <w:end w:w="120" w:type="dxa"/>
            </w:tcMar>
            <w:vAlign w:val="center"/>
          </w:tcPr>
          <w:p>
            <w:pPr>
              <w:pStyle w:val="TableBody"/>
            </w:pPr>
            <w:r/>
            <w:r>
              <w:rPr>
                <w:sz w:val="18"/>
              </w:rPr>
              <w:t>Data access uncertain</w:t>
            </w:r>
          </w:p>
        </w:tc>
        <w:tc>
          <w:tcPr>
            <w:tcW w:type="dxa" w:w="3300"/>
            <w:tcMar>
              <w:top w:w="80" w:type="dxa"/>
              <w:start w:w="120" w:type="dxa"/>
              <w:bottom w:w="80" w:type="dxa"/>
              <w:end w:w="120" w:type="dxa"/>
            </w:tcMar>
            <w:vAlign w:val="center"/>
          </w:tcPr>
          <w:p>
            <w:pPr>
              <w:pStyle w:val="TableBody"/>
            </w:pPr>
            <w:r/>
            <w:r>
              <w:rPr>
                <w:sz w:val="18"/>
              </w:rPr>
              <w:t>Offline evaluation needs logs and metadata</w:t>
            </w:r>
          </w:p>
        </w:tc>
        <w:tc>
          <w:tcPr>
            <w:tcW w:type="dxa" w:w="3860"/>
            <w:tcMar>
              <w:top w:w="80" w:type="dxa"/>
              <w:start w:w="120" w:type="dxa"/>
              <w:bottom w:w="80" w:type="dxa"/>
              <w:end w:w="120" w:type="dxa"/>
            </w:tcMar>
            <w:vAlign w:val="center"/>
          </w:tcPr>
          <w:p>
            <w:pPr>
              <w:pStyle w:val="TableBody"/>
            </w:pPr>
            <w:r/>
            <w:r>
              <w:rPr>
                <w:sz w:val="18"/>
              </w:rPr>
              <w:t>Include contingency: simulated logs, teacher-coded cases, shadow mode</w:t>
            </w:r>
          </w:p>
        </w:tc>
      </w:tr>
      <w:tr>
        <w:tc>
          <w:tcPr>
            <w:tcW w:type="dxa" w:w="2200"/>
            <w:tcMar>
              <w:top w:w="80" w:type="dxa"/>
              <w:start w:w="120" w:type="dxa"/>
              <w:bottom w:w="80" w:type="dxa"/>
              <w:end w:w="120" w:type="dxa"/>
            </w:tcMar>
            <w:vAlign w:val="center"/>
          </w:tcPr>
          <w:p>
            <w:pPr>
              <w:pStyle w:val="TableBody"/>
            </w:pPr>
            <w:r/>
            <w:r>
              <w:rPr>
                <w:sz w:val="18"/>
              </w:rPr>
              <w:t>Curriculum/KC quality unclear</w:t>
            </w:r>
          </w:p>
        </w:tc>
        <w:tc>
          <w:tcPr>
            <w:tcW w:type="dxa" w:w="3300"/>
            <w:tcMar>
              <w:top w:w="80" w:type="dxa"/>
              <w:start w:w="120" w:type="dxa"/>
              <w:bottom w:w="80" w:type="dxa"/>
              <w:end w:w="120" w:type="dxa"/>
            </w:tcMar>
            <w:vAlign w:val="center"/>
          </w:tcPr>
          <w:p>
            <w:pPr>
              <w:pStyle w:val="TableBody"/>
            </w:pPr>
            <w:r/>
            <w:r>
              <w:rPr>
                <w:sz w:val="18"/>
              </w:rPr>
              <w:t>Weak KC mapping weakens BKT</w:t>
            </w:r>
          </w:p>
        </w:tc>
        <w:tc>
          <w:tcPr>
            <w:tcW w:type="dxa" w:w="3860"/>
            <w:tcMar>
              <w:top w:w="80" w:type="dxa"/>
              <w:start w:w="120" w:type="dxa"/>
              <w:bottom w:w="80" w:type="dxa"/>
              <w:end w:w="120" w:type="dxa"/>
            </w:tcMar>
            <w:vAlign w:val="center"/>
          </w:tcPr>
          <w:p>
            <w:pPr>
              <w:pStyle w:val="TableBody"/>
            </w:pPr>
            <w:r/>
            <w:r>
              <w:rPr>
                <w:sz w:val="18"/>
              </w:rPr>
              <w:t>Put KG/KC validation as Study 2, not a hidden assumption</w:t>
            </w:r>
          </w:p>
        </w:tc>
      </w:tr>
      <w:tr>
        <w:tc>
          <w:tcPr>
            <w:tcW w:type="dxa" w:w="2200"/>
            <w:tcMar>
              <w:top w:w="80" w:type="dxa"/>
              <w:start w:w="120" w:type="dxa"/>
              <w:bottom w:w="80" w:type="dxa"/>
              <w:end w:w="120" w:type="dxa"/>
            </w:tcMar>
            <w:vAlign w:val="center"/>
          </w:tcPr>
          <w:p>
            <w:pPr>
              <w:pStyle w:val="TableBody"/>
            </w:pPr>
            <w:r/>
            <w:r>
              <w:rPr>
                <w:sz w:val="18"/>
              </w:rPr>
              <w:t>Teacher trust overclaimed</w:t>
            </w:r>
          </w:p>
        </w:tc>
        <w:tc>
          <w:tcPr>
            <w:tcW w:type="dxa" w:w="3300"/>
            <w:tcMar>
              <w:top w:w="80" w:type="dxa"/>
              <w:start w:w="120" w:type="dxa"/>
              <w:bottom w:w="80" w:type="dxa"/>
              <w:end w:w="120" w:type="dxa"/>
            </w:tcMar>
            <w:vAlign w:val="center"/>
          </w:tcPr>
          <w:p>
            <w:pPr>
              <w:pStyle w:val="TableBody"/>
            </w:pPr>
            <w:r/>
            <w:r>
              <w:rPr>
                <w:sz w:val="18"/>
              </w:rPr>
              <w:t>Trust can become overtrust</w:t>
            </w:r>
          </w:p>
        </w:tc>
        <w:tc>
          <w:tcPr>
            <w:tcW w:type="dxa" w:w="3860"/>
            <w:tcMar>
              <w:top w:w="80" w:type="dxa"/>
              <w:start w:w="120" w:type="dxa"/>
              <w:bottom w:w="80" w:type="dxa"/>
              <w:end w:w="120" w:type="dxa"/>
            </w:tcMar>
            <w:vAlign w:val="center"/>
          </w:tcPr>
          <w:p>
            <w:pPr>
              <w:pStyle w:val="TableBody"/>
            </w:pPr>
            <w:r/>
            <w:r>
              <w:rPr>
                <w:sz w:val="18"/>
              </w:rPr>
              <w:t>Use calibrated trust, override quality, and error awareness metrics</w:t>
            </w:r>
          </w:p>
        </w:tc>
      </w:tr>
      <w:tr>
        <w:tc>
          <w:tcPr>
            <w:tcW w:type="dxa" w:w="2200"/>
            <w:tcMar>
              <w:top w:w="80" w:type="dxa"/>
              <w:start w:w="120" w:type="dxa"/>
              <w:bottom w:w="80" w:type="dxa"/>
              <w:end w:w="120" w:type="dxa"/>
            </w:tcMar>
            <w:vAlign w:val="center"/>
          </w:tcPr>
          <w:p>
            <w:pPr>
              <w:pStyle w:val="TableBody"/>
            </w:pPr>
            <w:r/>
            <w:r>
              <w:rPr>
                <w:sz w:val="18"/>
              </w:rPr>
              <w:t>Privacy risk with minors</w:t>
            </w:r>
          </w:p>
        </w:tc>
        <w:tc>
          <w:tcPr>
            <w:tcW w:type="dxa" w:w="3300"/>
            <w:tcMar>
              <w:top w:w="80" w:type="dxa"/>
              <w:start w:w="120" w:type="dxa"/>
              <w:bottom w:w="80" w:type="dxa"/>
              <w:end w:w="120" w:type="dxa"/>
            </w:tcMar>
            <w:vAlign w:val="center"/>
          </w:tcPr>
          <w:p>
            <w:pPr>
              <w:pStyle w:val="TableBody"/>
            </w:pPr>
            <w:r/>
            <w:r>
              <w:rPr>
                <w:sz w:val="18"/>
              </w:rPr>
              <w:t>P1-S6 data is sensitive</w:t>
            </w:r>
          </w:p>
        </w:tc>
        <w:tc>
          <w:tcPr>
            <w:tcW w:type="dxa" w:w="3860"/>
            <w:tcMar>
              <w:top w:w="80" w:type="dxa"/>
              <w:start w:w="120" w:type="dxa"/>
              <w:bottom w:w="80" w:type="dxa"/>
              <w:end w:w="120" w:type="dxa"/>
            </w:tcMar>
            <w:vAlign w:val="center"/>
          </w:tcPr>
          <w:p>
            <w:pPr>
              <w:pStyle w:val="TableBody"/>
            </w:pPr>
            <w:r/>
            <w:r>
              <w:rPr>
                <w:sz w:val="18"/>
              </w:rPr>
              <w:t>No PII in prompts, de-identification, consent/assent, PDPO-aligned protocol</w:t>
            </w:r>
          </w:p>
        </w:tc>
      </w:tr>
      <w:tr>
        <w:tc>
          <w:tcPr>
            <w:tcW w:type="dxa" w:w="2200"/>
            <w:tcMar>
              <w:top w:w="80" w:type="dxa"/>
              <w:start w:w="120" w:type="dxa"/>
              <w:bottom w:w="80" w:type="dxa"/>
              <w:end w:w="120" w:type="dxa"/>
            </w:tcMar>
            <w:vAlign w:val="center"/>
          </w:tcPr>
          <w:p>
            <w:pPr>
              <w:pStyle w:val="TableBody"/>
            </w:pPr>
            <w:r/>
            <w:r>
              <w:rPr>
                <w:sz w:val="18"/>
              </w:rPr>
              <w:t>Learning gains may be modest</w:t>
            </w:r>
          </w:p>
        </w:tc>
        <w:tc>
          <w:tcPr>
            <w:tcW w:type="dxa" w:w="3300"/>
            <w:tcMar>
              <w:top w:w="80" w:type="dxa"/>
              <w:start w:w="120" w:type="dxa"/>
              <w:bottom w:w="80" w:type="dxa"/>
              <w:end w:w="120" w:type="dxa"/>
            </w:tcMar>
            <w:vAlign w:val="center"/>
          </w:tcPr>
          <w:p>
            <w:pPr>
              <w:pStyle w:val="TableBody"/>
            </w:pPr>
            <w:r/>
            <w:r>
              <w:rPr>
                <w:sz w:val="18"/>
              </w:rPr>
              <w:t>Classroom effects are hard</w:t>
            </w:r>
          </w:p>
        </w:tc>
        <w:tc>
          <w:tcPr>
            <w:tcW w:type="dxa" w:w="3860"/>
            <w:tcMar>
              <w:top w:w="80" w:type="dxa"/>
              <w:start w:w="120" w:type="dxa"/>
              <w:bottom w:w="80" w:type="dxa"/>
              <w:end w:w="120" w:type="dxa"/>
            </w:tcMar>
            <w:vAlign w:val="center"/>
          </w:tcPr>
          <w:p>
            <w:pPr>
              <w:pStyle w:val="TableBody"/>
            </w:pPr>
            <w:r/>
            <w:r>
              <w:rPr>
                <w:sz w:val="18"/>
              </w:rPr>
              <w:t>Include intermediate outcomes: repair speed, retention, teacher agreement, explanation faithfulness</w:t>
            </w:r>
          </w:p>
        </w:tc>
      </w:tr>
    </w:tbl>
    <w:p>
      <w:pPr>
        <w:pStyle w:val="TableGap"/>
      </w:pPr>
    </w:p>
    <w:p>
      <w:pPr>
        <w:pStyle w:val="Heading1"/>
      </w:pPr>
      <w:r>
        <w:t>Priority Literature Map</w:t>
      </w:r>
    </w:p>
    <w:tbl>
      <w:tblPr>
        <w:tblStyle w:val="TableGrid"/>
        <w:tblW w:type="dxa" w:w="9360"/>
        <w:jc w:val="left"/>
        <w:tblLayout w:type="fixed"/>
        <w:tblLook w:firstColumn="1" w:firstRow="1" w:lastColumn="0" w:lastRow="0" w:noHBand="0" w:noVBand="1" w:val="04A0"/>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Pr>
      <w:tblGrid>
        <w:gridCol w:w="2200"/>
        <w:gridCol w:w="3300"/>
        <w:gridCol w:w="3860"/>
      </w:tblGrid>
      <w:tr>
        <w:trPr>
          <w:tblHeader w:val="true"/>
        </w:trPr>
        <w:tc>
          <w:tcPr>
            <w:tcW w:type="dxa" w:w="2200"/>
            <w:tcMar>
              <w:top w:w="80" w:type="dxa"/>
              <w:start w:w="120" w:type="dxa"/>
              <w:bottom w:w="80" w:type="dxa"/>
              <w:end w:w="120" w:type="dxa"/>
            </w:tcMar>
            <w:vAlign w:val="center"/>
            <w:shd w:fill="F2F4F7"/>
          </w:tcPr>
          <w:p>
            <w:pPr>
              <w:pStyle w:val="TableBody"/>
            </w:pPr>
            <w:r>
              <w:rPr>
                <w:b/>
                <w:color w:val="0B2545"/>
              </w:rPr>
            </w:r>
            <w:r>
              <w:rPr>
                <w:b/>
                <w:color w:val="0B2545"/>
                <w:sz w:val="18"/>
              </w:rPr>
              <w:t>Pillar</w:t>
            </w:r>
          </w:p>
        </w:tc>
        <w:tc>
          <w:tcPr>
            <w:tcW w:type="dxa" w:w="3300"/>
            <w:tcMar>
              <w:top w:w="80" w:type="dxa"/>
              <w:start w:w="120" w:type="dxa"/>
              <w:bottom w:w="80" w:type="dxa"/>
              <w:end w:w="120" w:type="dxa"/>
            </w:tcMar>
            <w:vAlign w:val="center"/>
            <w:shd w:fill="F2F4F7"/>
          </w:tcPr>
          <w:p>
            <w:pPr>
              <w:pStyle w:val="TableBody"/>
            </w:pPr>
            <w:r>
              <w:rPr>
                <w:b/>
                <w:color w:val="0B2545"/>
              </w:rPr>
            </w:r>
            <w:r>
              <w:rPr>
                <w:b/>
                <w:color w:val="0B2545"/>
                <w:sz w:val="18"/>
              </w:rPr>
              <w:t>Source type and year</w:t>
            </w:r>
          </w:p>
        </w:tc>
        <w:tc>
          <w:tcPr>
            <w:tcW w:type="dxa" w:w="3860"/>
            <w:tcMar>
              <w:top w:w="80" w:type="dxa"/>
              <w:start w:w="120" w:type="dxa"/>
              <w:bottom w:w="80" w:type="dxa"/>
              <w:end w:w="120" w:type="dxa"/>
            </w:tcMar>
            <w:vAlign w:val="center"/>
            <w:shd w:fill="F2F4F7"/>
          </w:tcPr>
          <w:p>
            <w:pPr>
              <w:pStyle w:val="TableBody"/>
            </w:pPr>
            <w:r>
              <w:rPr>
                <w:b/>
                <w:color w:val="0B2545"/>
              </w:rPr>
            </w:r>
            <w:r>
              <w:rPr>
                <w:b/>
                <w:color w:val="0B2545"/>
                <w:sz w:val="18"/>
              </w:rPr>
              <w:t>Applicability to TRUST-MAIS</w:t>
            </w:r>
          </w:p>
        </w:tc>
      </w:tr>
      <w:tr>
        <w:tc>
          <w:tcPr>
            <w:tcW w:type="dxa" w:w="2200"/>
            <w:tcMar>
              <w:top w:w="80" w:type="dxa"/>
              <w:start w:w="120" w:type="dxa"/>
              <w:bottom w:w="80" w:type="dxa"/>
              <w:end w:w="120" w:type="dxa"/>
            </w:tcMar>
            <w:vAlign w:val="center"/>
          </w:tcPr>
          <w:p>
            <w:pPr>
              <w:pStyle w:val="TableBody"/>
            </w:pPr>
            <w:r/>
            <w:r>
              <w:rPr>
                <w:sz w:val="18"/>
              </w:rPr>
              <w:t>BKT foundation</w:t>
            </w:r>
          </w:p>
        </w:tc>
        <w:tc>
          <w:tcPr>
            <w:tcW w:type="dxa" w:w="3300"/>
            <w:tcMar>
              <w:top w:w="80" w:type="dxa"/>
              <w:start w:w="120" w:type="dxa"/>
              <w:bottom w:w="80" w:type="dxa"/>
              <w:end w:w="120" w:type="dxa"/>
            </w:tcMar>
            <w:vAlign w:val="center"/>
          </w:tcPr>
          <w:p>
            <w:pPr>
              <w:pStyle w:val="TableBody"/>
            </w:pPr>
            <w:r/>
            <w:r>
              <w:rPr>
                <w:sz w:val="18"/>
              </w:rPr>
              <w:t>Corbett &amp; Anderson, 1995, peer-reviewed journal</w:t>
            </w:r>
          </w:p>
        </w:tc>
        <w:tc>
          <w:tcPr>
            <w:tcW w:type="dxa" w:w="3860"/>
            <w:tcMar>
              <w:top w:w="80" w:type="dxa"/>
              <w:start w:w="120" w:type="dxa"/>
              <w:bottom w:w="80" w:type="dxa"/>
              <w:end w:w="120" w:type="dxa"/>
            </w:tcMar>
            <w:vAlign w:val="center"/>
          </w:tcPr>
          <w:p>
            <w:pPr>
              <w:pStyle w:val="TableBody"/>
            </w:pPr>
            <w:r/>
            <w:r>
              <w:rPr>
                <w:sz w:val="18"/>
              </w:rPr>
              <w:t>Defines the mastery-estimation safety floor</w:t>
            </w:r>
          </w:p>
        </w:tc>
      </w:tr>
      <w:tr>
        <w:tc>
          <w:tcPr>
            <w:tcW w:type="dxa" w:w="2200"/>
            <w:tcMar>
              <w:top w:w="80" w:type="dxa"/>
              <w:start w:w="120" w:type="dxa"/>
              <w:bottom w:w="80" w:type="dxa"/>
              <w:end w:w="120" w:type="dxa"/>
            </w:tcMar>
            <w:vAlign w:val="center"/>
          </w:tcPr>
          <w:p>
            <w:pPr>
              <w:pStyle w:val="TableBody"/>
            </w:pPr>
            <w:r/>
            <w:r>
              <w:rPr>
                <w:sz w:val="18"/>
              </w:rPr>
              <w:t>Learner modelling reviews</w:t>
            </w:r>
          </w:p>
        </w:tc>
        <w:tc>
          <w:tcPr>
            <w:tcW w:type="dxa" w:w="3300"/>
            <w:tcMar>
              <w:top w:w="80" w:type="dxa"/>
              <w:start w:w="120" w:type="dxa"/>
              <w:bottom w:w="80" w:type="dxa"/>
              <w:end w:w="120" w:type="dxa"/>
            </w:tcMar>
            <w:vAlign w:val="center"/>
          </w:tcPr>
          <w:p>
            <w:pPr>
              <w:pStyle w:val="TableBody"/>
            </w:pPr>
            <w:r/>
            <w:r>
              <w:rPr>
                <w:sz w:val="18"/>
              </w:rPr>
              <w:t>Desmarais &amp; Baker, 2012; Pelanek, 2017, peer-reviewed reviews</w:t>
            </w:r>
          </w:p>
        </w:tc>
        <w:tc>
          <w:tcPr>
            <w:tcW w:type="dxa" w:w="3860"/>
            <w:tcMar>
              <w:top w:w="80" w:type="dxa"/>
              <w:start w:w="120" w:type="dxa"/>
              <w:bottom w:w="80" w:type="dxa"/>
              <w:end w:w="120" w:type="dxa"/>
            </w:tcMar>
            <w:vAlign w:val="center"/>
          </w:tcPr>
          <w:p>
            <w:pPr>
              <w:pStyle w:val="TableBody"/>
            </w:pPr>
            <w:r/>
            <w:r>
              <w:rPr>
                <w:sz w:val="18"/>
              </w:rPr>
              <w:t>Shows why KC quality, calibration, and evaluation matter</w:t>
            </w:r>
          </w:p>
        </w:tc>
      </w:tr>
      <w:tr>
        <w:tc>
          <w:tcPr>
            <w:tcW w:type="dxa" w:w="2200"/>
            <w:tcMar>
              <w:top w:w="80" w:type="dxa"/>
              <w:start w:w="120" w:type="dxa"/>
              <w:bottom w:w="80" w:type="dxa"/>
              <w:end w:w="120" w:type="dxa"/>
            </w:tcMar>
            <w:vAlign w:val="center"/>
          </w:tcPr>
          <w:p>
            <w:pPr>
              <w:pStyle w:val="TableBody"/>
            </w:pPr>
            <w:r/>
            <w:r>
              <w:rPr>
                <w:sz w:val="18"/>
              </w:rPr>
              <w:t>Deep KT comparison</w:t>
            </w:r>
          </w:p>
        </w:tc>
        <w:tc>
          <w:tcPr>
            <w:tcW w:type="dxa" w:w="3300"/>
            <w:tcMar>
              <w:top w:w="80" w:type="dxa"/>
              <w:start w:w="120" w:type="dxa"/>
              <w:bottom w:w="80" w:type="dxa"/>
              <w:end w:w="120" w:type="dxa"/>
            </w:tcMar>
            <w:vAlign w:val="center"/>
          </w:tcPr>
          <w:p>
            <w:pPr>
              <w:pStyle w:val="TableBody"/>
            </w:pPr>
            <w:r/>
            <w:r>
              <w:rPr>
                <w:sz w:val="18"/>
              </w:rPr>
              <w:t>Gervet et al., 2020, JEDM empirical comparison</w:t>
            </w:r>
          </w:p>
        </w:tc>
        <w:tc>
          <w:tcPr>
            <w:tcW w:type="dxa" w:w="3860"/>
            <w:tcMar>
              <w:top w:w="80" w:type="dxa"/>
              <w:start w:w="120" w:type="dxa"/>
              <w:bottom w:w="80" w:type="dxa"/>
              <w:end w:w="120" w:type="dxa"/>
            </w:tcMar>
            <w:vAlign w:val="center"/>
          </w:tcPr>
          <w:p>
            <w:pPr>
              <w:pStyle w:val="TableBody"/>
            </w:pPr>
            <w:r/>
            <w:r>
              <w:rPr>
                <w:sz w:val="18"/>
              </w:rPr>
              <w:t>Supports not assuming deep KT is always superior</w:t>
            </w:r>
          </w:p>
        </w:tc>
      </w:tr>
      <w:tr>
        <w:tc>
          <w:tcPr>
            <w:tcW w:type="dxa" w:w="2200"/>
            <w:tcMar>
              <w:top w:w="80" w:type="dxa"/>
              <w:start w:w="120" w:type="dxa"/>
              <w:bottom w:w="80" w:type="dxa"/>
              <w:end w:w="120" w:type="dxa"/>
            </w:tcMar>
            <w:vAlign w:val="center"/>
          </w:tcPr>
          <w:p>
            <w:pPr>
              <w:pStyle w:val="TableBody"/>
            </w:pPr>
            <w:r/>
            <w:r>
              <w:rPr>
                <w:sz w:val="18"/>
              </w:rPr>
              <w:t>ITS effectiveness</w:t>
            </w:r>
          </w:p>
        </w:tc>
        <w:tc>
          <w:tcPr>
            <w:tcW w:type="dxa" w:w="3300"/>
            <w:tcMar>
              <w:top w:w="80" w:type="dxa"/>
              <w:start w:w="120" w:type="dxa"/>
              <w:bottom w:w="80" w:type="dxa"/>
              <w:end w:w="120" w:type="dxa"/>
            </w:tcMar>
            <w:vAlign w:val="center"/>
          </w:tcPr>
          <w:p>
            <w:pPr>
              <w:pStyle w:val="TableBody"/>
            </w:pPr>
            <w:r/>
            <w:r>
              <w:rPr>
                <w:sz w:val="18"/>
              </w:rPr>
              <w:t>VanLehn, 2011; Ma et al., 2014; Kulik &amp; Fletcher, 2016, reviews/meta-analyses</w:t>
            </w:r>
          </w:p>
        </w:tc>
        <w:tc>
          <w:tcPr>
            <w:tcW w:type="dxa" w:w="3860"/>
            <w:tcMar>
              <w:top w:w="80" w:type="dxa"/>
              <w:start w:w="120" w:type="dxa"/>
              <w:bottom w:w="80" w:type="dxa"/>
              <w:end w:w="120" w:type="dxa"/>
            </w:tcMar>
            <w:vAlign w:val="center"/>
          </w:tcPr>
          <w:p>
            <w:pPr>
              <w:pStyle w:val="TableBody"/>
            </w:pPr>
            <w:r/>
            <w:r>
              <w:rPr>
                <w:sz w:val="18"/>
              </w:rPr>
              <w:t>Justifies adaptive tutoring while motivating careful classroom evaluation</w:t>
            </w:r>
          </w:p>
        </w:tc>
      </w:tr>
      <w:tr>
        <w:tc>
          <w:tcPr>
            <w:tcW w:type="dxa" w:w="2200"/>
            <w:tcMar>
              <w:top w:w="80" w:type="dxa"/>
              <w:start w:w="120" w:type="dxa"/>
              <w:bottom w:w="80" w:type="dxa"/>
              <w:end w:w="120" w:type="dxa"/>
            </w:tcMar>
            <w:vAlign w:val="center"/>
          </w:tcPr>
          <w:p>
            <w:pPr>
              <w:pStyle w:val="TableBody"/>
            </w:pPr>
            <w:r/>
            <w:r>
              <w:rPr>
                <w:sz w:val="18"/>
              </w:rPr>
              <w:t>Learning science</w:t>
            </w:r>
          </w:p>
        </w:tc>
        <w:tc>
          <w:tcPr>
            <w:tcW w:type="dxa" w:w="3300"/>
            <w:tcMar>
              <w:top w:w="80" w:type="dxa"/>
              <w:start w:w="120" w:type="dxa"/>
              <w:bottom w:w="80" w:type="dxa"/>
              <w:end w:w="120" w:type="dxa"/>
            </w:tcMar>
            <w:vAlign w:val="center"/>
          </w:tcPr>
          <w:p>
            <w:pPr>
              <w:pStyle w:val="TableBody"/>
            </w:pPr>
            <w:r/>
            <w:r>
              <w:rPr>
                <w:sz w:val="18"/>
              </w:rPr>
              <w:t>Cepeda et al., 2006; Roediger &amp; Karpicke, 2006, cognitive psychology studies</w:t>
            </w:r>
          </w:p>
        </w:tc>
        <w:tc>
          <w:tcPr>
            <w:tcW w:type="dxa" w:w="3860"/>
            <w:tcMar>
              <w:top w:w="80" w:type="dxa"/>
              <w:start w:w="120" w:type="dxa"/>
              <w:bottom w:w="80" w:type="dxa"/>
              <w:end w:w="120" w:type="dxa"/>
            </w:tcMar>
            <w:vAlign w:val="center"/>
          </w:tcPr>
          <w:p>
            <w:pPr>
              <w:pStyle w:val="TableBody"/>
            </w:pPr>
            <w:r/>
            <w:r>
              <w:rPr>
                <w:sz w:val="18"/>
              </w:rPr>
              <w:t>Supports spaced review and retrieval-practice components</w:t>
            </w:r>
          </w:p>
        </w:tc>
      </w:tr>
      <w:tr>
        <w:tc>
          <w:tcPr>
            <w:tcW w:type="dxa" w:w="2200"/>
            <w:tcMar>
              <w:top w:w="80" w:type="dxa"/>
              <w:start w:w="120" w:type="dxa"/>
              <w:bottom w:w="80" w:type="dxa"/>
              <w:end w:w="120" w:type="dxa"/>
            </w:tcMar>
            <w:vAlign w:val="center"/>
          </w:tcPr>
          <w:p>
            <w:pPr>
              <w:pStyle w:val="TableBody"/>
            </w:pPr>
            <w:r/>
            <w:r>
              <w:rPr>
                <w:sz w:val="18"/>
              </w:rPr>
              <w:t>RAG</w:t>
            </w:r>
          </w:p>
        </w:tc>
        <w:tc>
          <w:tcPr>
            <w:tcW w:type="dxa" w:w="3300"/>
            <w:tcMar>
              <w:top w:w="80" w:type="dxa"/>
              <w:start w:w="120" w:type="dxa"/>
              <w:bottom w:w="80" w:type="dxa"/>
              <w:end w:w="120" w:type="dxa"/>
            </w:tcMar>
            <w:vAlign w:val="center"/>
          </w:tcPr>
          <w:p>
            <w:pPr>
              <w:pStyle w:val="TableBody"/>
            </w:pPr>
            <w:r/>
            <w:r>
              <w:rPr>
                <w:sz w:val="18"/>
              </w:rPr>
              <w:t>Lewis et al., 2020; Asai et al., 2024, AI conference papers</w:t>
            </w:r>
          </w:p>
        </w:tc>
        <w:tc>
          <w:tcPr>
            <w:tcW w:type="dxa" w:w="3860"/>
            <w:tcMar>
              <w:top w:w="80" w:type="dxa"/>
              <w:start w:w="120" w:type="dxa"/>
              <w:bottom w:w="80" w:type="dxa"/>
              <w:end w:w="120" w:type="dxa"/>
            </w:tcMar>
            <w:vAlign w:val="center"/>
          </w:tcPr>
          <w:p>
            <w:pPr>
              <w:pStyle w:val="TableBody"/>
            </w:pPr>
            <w:r/>
            <w:r>
              <w:rPr>
                <w:sz w:val="18"/>
              </w:rPr>
              <w:t>Supports retrieval-grounded rationales and self-checking concepts</w:t>
            </w:r>
          </w:p>
        </w:tc>
      </w:tr>
      <w:tr>
        <w:tc>
          <w:tcPr>
            <w:tcW w:type="dxa" w:w="2200"/>
            <w:tcMar>
              <w:top w:w="80" w:type="dxa"/>
              <w:start w:w="120" w:type="dxa"/>
              <w:bottom w:w="80" w:type="dxa"/>
              <w:end w:w="120" w:type="dxa"/>
            </w:tcMar>
            <w:vAlign w:val="center"/>
          </w:tcPr>
          <w:p>
            <w:pPr>
              <w:pStyle w:val="TableBody"/>
            </w:pPr>
            <w:r/>
            <w:r>
              <w:rPr>
                <w:sz w:val="18"/>
              </w:rPr>
              <w:t>RAG evaluation</w:t>
            </w:r>
          </w:p>
        </w:tc>
        <w:tc>
          <w:tcPr>
            <w:tcW w:type="dxa" w:w="3300"/>
            <w:tcMar>
              <w:top w:w="80" w:type="dxa"/>
              <w:start w:w="120" w:type="dxa"/>
              <w:bottom w:w="80" w:type="dxa"/>
              <w:end w:w="120" w:type="dxa"/>
            </w:tcMar>
            <w:vAlign w:val="center"/>
          </w:tcPr>
          <w:p>
            <w:pPr>
              <w:pStyle w:val="TableBody"/>
            </w:pPr>
            <w:r/>
            <w:r>
              <w:rPr>
                <w:sz w:val="18"/>
              </w:rPr>
              <w:t>Es et al., 2024; Ru et al., 2024, NLP/NeurIPS evaluation papers</w:t>
            </w:r>
          </w:p>
        </w:tc>
        <w:tc>
          <w:tcPr>
            <w:tcW w:type="dxa" w:w="3860"/>
            <w:tcMar>
              <w:top w:w="80" w:type="dxa"/>
              <w:start w:w="120" w:type="dxa"/>
              <w:bottom w:w="80" w:type="dxa"/>
              <w:end w:w="120" w:type="dxa"/>
            </w:tcMar>
            <w:vAlign w:val="center"/>
          </w:tcPr>
          <w:p>
            <w:pPr>
              <w:pStyle w:val="TableBody"/>
            </w:pPr>
            <w:r/>
            <w:r>
              <w:rPr>
                <w:sz w:val="18"/>
              </w:rPr>
              <w:t>Supports claim-level and module-level RAG metrics</w:t>
            </w:r>
          </w:p>
        </w:tc>
      </w:tr>
      <w:tr>
        <w:tc>
          <w:tcPr>
            <w:tcW w:type="dxa" w:w="2200"/>
            <w:tcMar>
              <w:top w:w="80" w:type="dxa"/>
              <w:start w:w="120" w:type="dxa"/>
              <w:bottom w:w="80" w:type="dxa"/>
              <w:end w:w="120" w:type="dxa"/>
            </w:tcMar>
            <w:vAlign w:val="center"/>
          </w:tcPr>
          <w:p>
            <w:pPr>
              <w:pStyle w:val="TableBody"/>
            </w:pPr>
            <w:r/>
            <w:r>
              <w:rPr>
                <w:sz w:val="18"/>
              </w:rPr>
              <w:t>Educational KG</w:t>
            </w:r>
          </w:p>
        </w:tc>
        <w:tc>
          <w:tcPr>
            <w:tcW w:type="dxa" w:w="3300"/>
            <w:tcMar>
              <w:top w:w="80" w:type="dxa"/>
              <w:start w:w="120" w:type="dxa"/>
              <w:bottom w:w="80" w:type="dxa"/>
              <w:end w:w="120" w:type="dxa"/>
            </w:tcMar>
            <w:vAlign w:val="center"/>
          </w:tcPr>
          <w:p>
            <w:pPr>
              <w:pStyle w:val="TableBody"/>
            </w:pPr>
            <w:r/>
            <w:r>
              <w:rPr>
                <w:sz w:val="18"/>
              </w:rPr>
              <w:t>Li et al., 2026; Ben Chaabene &amp; Hammami, 2026, review articles</w:t>
            </w:r>
          </w:p>
        </w:tc>
        <w:tc>
          <w:tcPr>
            <w:tcW w:type="dxa" w:w="3860"/>
            <w:tcMar>
              <w:top w:w="80" w:type="dxa"/>
              <w:start w:w="120" w:type="dxa"/>
              <w:bottom w:w="80" w:type="dxa"/>
              <w:end w:w="120" w:type="dxa"/>
            </w:tcMar>
            <w:vAlign w:val="center"/>
          </w:tcPr>
          <w:p>
            <w:pPr>
              <w:pStyle w:val="TableBody"/>
            </w:pPr>
            <w:r/>
            <w:r>
              <w:rPr>
                <w:sz w:val="18"/>
              </w:rPr>
              <w:t>Supports KG-based learning path explainability and LLM-KG integration, while highlighting need for education-specific validation</w:t>
            </w:r>
          </w:p>
        </w:tc>
      </w:tr>
      <w:tr>
        <w:tc>
          <w:tcPr>
            <w:tcW w:type="dxa" w:w="2200"/>
            <w:tcMar>
              <w:top w:w="80" w:type="dxa"/>
              <w:start w:w="120" w:type="dxa"/>
              <w:bottom w:w="80" w:type="dxa"/>
              <w:end w:w="120" w:type="dxa"/>
            </w:tcMar>
            <w:vAlign w:val="center"/>
          </w:tcPr>
          <w:p>
            <w:pPr>
              <w:pStyle w:val="TableBody"/>
            </w:pPr>
            <w:r/>
            <w:r>
              <w:rPr>
                <w:sz w:val="18"/>
              </w:rPr>
              <w:t>LLMs in education</w:t>
            </w:r>
          </w:p>
        </w:tc>
        <w:tc>
          <w:tcPr>
            <w:tcW w:type="dxa" w:w="3300"/>
            <w:tcMar>
              <w:top w:w="80" w:type="dxa"/>
              <w:start w:w="120" w:type="dxa"/>
              <w:bottom w:w="80" w:type="dxa"/>
              <w:end w:w="120" w:type="dxa"/>
            </w:tcMar>
            <w:vAlign w:val="center"/>
          </w:tcPr>
          <w:p>
            <w:pPr>
              <w:pStyle w:val="TableBody"/>
            </w:pPr>
            <w:r/>
            <w:r>
              <w:rPr>
                <w:sz w:val="18"/>
              </w:rPr>
              <w:t>Kasneci et al., 2023; Yan et al., 2024, reviews</w:t>
            </w:r>
          </w:p>
        </w:tc>
        <w:tc>
          <w:tcPr>
            <w:tcW w:type="dxa" w:w="3860"/>
            <w:tcMar>
              <w:top w:w="80" w:type="dxa"/>
              <w:start w:w="120" w:type="dxa"/>
              <w:bottom w:w="80" w:type="dxa"/>
              <w:end w:w="120" w:type="dxa"/>
            </w:tcMar>
            <w:vAlign w:val="center"/>
          </w:tcPr>
          <w:p>
            <w:pPr>
              <w:pStyle w:val="TableBody"/>
            </w:pPr>
            <w:r/>
            <w:r>
              <w:rPr>
                <w:sz w:val="18"/>
              </w:rPr>
              <w:t>Grounds opportunities and ethical/practical risks of educational LLM use</w:t>
            </w:r>
          </w:p>
        </w:tc>
      </w:tr>
      <w:tr>
        <w:tc>
          <w:tcPr>
            <w:tcW w:type="dxa" w:w="2200"/>
            <w:tcMar>
              <w:top w:w="80" w:type="dxa"/>
              <w:start w:w="120" w:type="dxa"/>
              <w:bottom w:w="80" w:type="dxa"/>
              <w:end w:w="120" w:type="dxa"/>
            </w:tcMar>
            <w:vAlign w:val="center"/>
          </w:tcPr>
          <w:p>
            <w:pPr>
              <w:pStyle w:val="TableBody"/>
            </w:pPr>
            <w:r/>
            <w:r>
              <w:rPr>
                <w:sz w:val="18"/>
              </w:rPr>
              <w:t>Hallucination/factuality</w:t>
            </w:r>
          </w:p>
        </w:tc>
        <w:tc>
          <w:tcPr>
            <w:tcW w:type="dxa" w:w="3300"/>
            <w:tcMar>
              <w:top w:w="80" w:type="dxa"/>
              <w:start w:w="120" w:type="dxa"/>
              <w:bottom w:w="80" w:type="dxa"/>
              <w:end w:w="120" w:type="dxa"/>
            </w:tcMar>
            <w:vAlign w:val="center"/>
          </w:tcPr>
          <w:p>
            <w:pPr>
              <w:pStyle w:val="TableBody"/>
            </w:pPr>
            <w:r/>
            <w:r>
              <w:rPr>
                <w:sz w:val="18"/>
              </w:rPr>
              <w:t>Maynez et al., 2020; Ji et al., 2023, NLP studies/review</w:t>
            </w:r>
          </w:p>
        </w:tc>
        <w:tc>
          <w:tcPr>
            <w:tcW w:type="dxa" w:w="3860"/>
            <w:tcMar>
              <w:top w:w="80" w:type="dxa"/>
              <w:start w:w="120" w:type="dxa"/>
              <w:bottom w:w="80" w:type="dxa"/>
              <w:end w:w="120" w:type="dxa"/>
            </w:tcMar>
            <w:vAlign w:val="center"/>
          </w:tcPr>
          <w:p>
            <w:pPr>
              <w:pStyle w:val="TableBody"/>
            </w:pPr>
            <w:r/>
            <w:r>
              <w:rPr>
                <w:sz w:val="18"/>
              </w:rPr>
              <w:t>Supports validator and unsupported-claim metrics</w:t>
            </w:r>
          </w:p>
        </w:tc>
      </w:tr>
      <w:tr>
        <w:tc>
          <w:tcPr>
            <w:tcW w:type="dxa" w:w="2200"/>
            <w:tcMar>
              <w:top w:w="80" w:type="dxa"/>
              <w:start w:w="120" w:type="dxa"/>
              <w:bottom w:w="80" w:type="dxa"/>
              <w:end w:w="120" w:type="dxa"/>
            </w:tcMar>
            <w:vAlign w:val="center"/>
          </w:tcPr>
          <w:p>
            <w:pPr>
              <w:pStyle w:val="TableBody"/>
            </w:pPr>
            <w:r/>
            <w:r>
              <w:rPr>
                <w:sz w:val="18"/>
              </w:rPr>
              <w:t>Math tutoring dialogue</w:t>
            </w:r>
          </w:p>
        </w:tc>
        <w:tc>
          <w:tcPr>
            <w:tcW w:type="dxa" w:w="3300"/>
            <w:tcMar>
              <w:top w:w="80" w:type="dxa"/>
              <w:start w:w="120" w:type="dxa"/>
              <w:bottom w:w="80" w:type="dxa"/>
              <w:end w:w="120" w:type="dxa"/>
            </w:tcMar>
            <w:vAlign w:val="center"/>
          </w:tcPr>
          <w:p>
            <w:pPr>
              <w:pStyle w:val="TableBody"/>
            </w:pPr>
            <w:r/>
            <w:r>
              <w:rPr>
                <w:sz w:val="18"/>
              </w:rPr>
              <w:t>Tack &amp; Piech, 2022; Macina et al., 2023, EDM/EMNLP papers</w:t>
            </w:r>
          </w:p>
        </w:tc>
        <w:tc>
          <w:tcPr>
            <w:tcW w:type="dxa" w:w="3860"/>
            <w:tcMar>
              <w:top w:w="80" w:type="dxa"/>
              <w:start w:w="120" w:type="dxa"/>
              <w:bottom w:w="80" w:type="dxa"/>
              <w:end w:w="120" w:type="dxa"/>
            </w:tcMar>
            <w:vAlign w:val="center"/>
          </w:tcPr>
          <w:p>
            <w:pPr>
              <w:pStyle w:val="TableBody"/>
            </w:pPr>
            <w:r/>
            <w:r>
              <w:rPr>
                <w:sz w:val="18"/>
              </w:rPr>
              <w:t>Shows pedagogical ability must be evaluated, especially in math dialogue</w:t>
            </w:r>
          </w:p>
        </w:tc>
      </w:tr>
      <w:tr>
        <w:tc>
          <w:tcPr>
            <w:tcW w:type="dxa" w:w="2200"/>
            <w:tcMar>
              <w:top w:w="80" w:type="dxa"/>
              <w:start w:w="120" w:type="dxa"/>
              <w:bottom w:w="80" w:type="dxa"/>
              <w:end w:w="120" w:type="dxa"/>
            </w:tcMar>
            <w:vAlign w:val="center"/>
          </w:tcPr>
          <w:p>
            <w:pPr>
              <w:pStyle w:val="TableBody"/>
            </w:pPr>
            <w:r/>
            <w:r>
              <w:rPr>
                <w:sz w:val="18"/>
              </w:rPr>
              <w:t>Teacher-AI governance</w:t>
            </w:r>
          </w:p>
        </w:tc>
        <w:tc>
          <w:tcPr>
            <w:tcW w:type="dxa" w:w="3300"/>
            <w:tcMar>
              <w:top w:w="80" w:type="dxa"/>
              <w:start w:w="120" w:type="dxa"/>
              <w:bottom w:w="80" w:type="dxa"/>
              <w:end w:w="120" w:type="dxa"/>
            </w:tcMar>
            <w:vAlign w:val="center"/>
          </w:tcPr>
          <w:p>
            <w:pPr>
              <w:pStyle w:val="TableBody"/>
            </w:pPr>
            <w:r/>
            <w:r>
              <w:rPr>
                <w:sz w:val="18"/>
              </w:rPr>
              <w:t>Holstein et al., 2019, Journal of Learning Analytics</w:t>
            </w:r>
          </w:p>
        </w:tc>
        <w:tc>
          <w:tcPr>
            <w:tcW w:type="dxa" w:w="3860"/>
            <w:tcMar>
              <w:top w:w="80" w:type="dxa"/>
              <w:start w:w="120" w:type="dxa"/>
              <w:bottom w:w="80" w:type="dxa"/>
              <w:end w:w="120" w:type="dxa"/>
            </w:tcMar>
            <w:vAlign w:val="center"/>
          </w:tcPr>
          <w:p>
            <w:pPr>
              <w:pStyle w:val="TableBody"/>
            </w:pPr>
            <w:r/>
            <w:r>
              <w:rPr>
                <w:sz w:val="18"/>
              </w:rPr>
              <w:t>Supports teacher-AI complementarity and classroom orchestration</w:t>
            </w:r>
          </w:p>
        </w:tc>
      </w:tr>
      <w:tr>
        <w:tc>
          <w:tcPr>
            <w:tcW w:type="dxa" w:w="2200"/>
            <w:tcMar>
              <w:top w:w="80" w:type="dxa"/>
              <w:start w:w="120" w:type="dxa"/>
              <w:bottom w:w="80" w:type="dxa"/>
              <w:end w:w="120" w:type="dxa"/>
            </w:tcMar>
            <w:vAlign w:val="center"/>
          </w:tcPr>
          <w:p>
            <w:pPr>
              <w:pStyle w:val="TableBody"/>
            </w:pPr>
            <w:r/>
            <w:r>
              <w:rPr>
                <w:sz w:val="18"/>
              </w:rPr>
              <w:t>Human-AI interaction</w:t>
            </w:r>
          </w:p>
        </w:tc>
        <w:tc>
          <w:tcPr>
            <w:tcW w:type="dxa" w:w="3300"/>
            <w:tcMar>
              <w:top w:w="80" w:type="dxa"/>
              <w:start w:w="120" w:type="dxa"/>
              <w:bottom w:w="80" w:type="dxa"/>
              <w:end w:w="120" w:type="dxa"/>
            </w:tcMar>
            <w:vAlign w:val="center"/>
          </w:tcPr>
          <w:p>
            <w:pPr>
              <w:pStyle w:val="TableBody"/>
            </w:pPr>
            <w:r/>
            <w:r>
              <w:rPr>
                <w:sz w:val="18"/>
              </w:rPr>
              <w:t>Amershi et al., 2019, CHI guidelines</w:t>
            </w:r>
          </w:p>
        </w:tc>
        <w:tc>
          <w:tcPr>
            <w:tcW w:type="dxa" w:w="3860"/>
            <w:tcMar>
              <w:top w:w="80" w:type="dxa"/>
              <w:start w:w="120" w:type="dxa"/>
              <w:bottom w:w="80" w:type="dxa"/>
              <w:end w:w="120" w:type="dxa"/>
            </w:tcMar>
            <w:vAlign w:val="center"/>
          </w:tcPr>
          <w:p>
            <w:pPr>
              <w:pStyle w:val="TableBody"/>
            </w:pPr>
            <w:r/>
            <w:r>
              <w:rPr>
                <w:sz w:val="18"/>
              </w:rPr>
              <w:t>Supports correction, fallback, uncertainty, and user control affordances</w:t>
            </w:r>
          </w:p>
        </w:tc>
      </w:tr>
      <w:tr>
        <w:tc>
          <w:tcPr>
            <w:tcW w:type="dxa" w:w="2200"/>
            <w:tcMar>
              <w:top w:w="80" w:type="dxa"/>
              <w:start w:w="120" w:type="dxa"/>
              <w:bottom w:w="80" w:type="dxa"/>
              <w:end w:w="120" w:type="dxa"/>
            </w:tcMar>
            <w:vAlign w:val="center"/>
          </w:tcPr>
          <w:p>
            <w:pPr>
              <w:pStyle w:val="TableBody"/>
            </w:pPr>
            <w:r/>
            <w:r>
              <w:rPr>
                <w:sz w:val="18"/>
              </w:rPr>
              <w:t>Algorithmic bias</w:t>
            </w:r>
          </w:p>
        </w:tc>
        <w:tc>
          <w:tcPr>
            <w:tcW w:type="dxa" w:w="3300"/>
            <w:tcMar>
              <w:top w:w="80" w:type="dxa"/>
              <w:start w:w="120" w:type="dxa"/>
              <w:bottom w:w="80" w:type="dxa"/>
              <w:end w:w="120" w:type="dxa"/>
            </w:tcMar>
            <w:vAlign w:val="center"/>
          </w:tcPr>
          <w:p>
            <w:pPr>
              <w:pStyle w:val="TableBody"/>
            </w:pPr>
            <w:r/>
            <w:r>
              <w:rPr>
                <w:sz w:val="18"/>
              </w:rPr>
              <w:t>Baker &amp; Hawn, 2021/2022, IJAIED review</w:t>
            </w:r>
          </w:p>
        </w:tc>
        <w:tc>
          <w:tcPr>
            <w:tcW w:type="dxa" w:w="3860"/>
            <w:tcMar>
              <w:top w:w="80" w:type="dxa"/>
              <w:start w:w="120" w:type="dxa"/>
              <w:bottom w:w="80" w:type="dxa"/>
              <w:end w:w="120" w:type="dxa"/>
            </w:tcMar>
            <w:vAlign w:val="center"/>
          </w:tcPr>
          <w:p>
            <w:pPr>
              <w:pStyle w:val="TableBody"/>
            </w:pPr>
            <w:r/>
            <w:r>
              <w:rPr>
                <w:sz w:val="18"/>
              </w:rPr>
              <w:t>Supports fairness and subgroup robustness analysis</w:t>
            </w:r>
          </w:p>
        </w:tc>
      </w:tr>
      <w:tr>
        <w:tc>
          <w:tcPr>
            <w:tcW w:type="dxa" w:w="2200"/>
            <w:tcMar>
              <w:top w:w="80" w:type="dxa"/>
              <w:start w:w="120" w:type="dxa"/>
              <w:bottom w:w="80" w:type="dxa"/>
              <w:end w:w="120" w:type="dxa"/>
            </w:tcMar>
            <w:vAlign w:val="center"/>
          </w:tcPr>
          <w:p>
            <w:pPr>
              <w:pStyle w:val="TableBody"/>
            </w:pPr>
            <w:r/>
            <w:r>
              <w:rPr>
                <w:sz w:val="18"/>
              </w:rPr>
              <w:t>AI risk governance</w:t>
            </w:r>
          </w:p>
        </w:tc>
        <w:tc>
          <w:tcPr>
            <w:tcW w:type="dxa" w:w="3300"/>
            <w:tcMar>
              <w:top w:w="80" w:type="dxa"/>
              <w:start w:w="120" w:type="dxa"/>
              <w:bottom w:w="80" w:type="dxa"/>
              <w:end w:w="120" w:type="dxa"/>
            </w:tcMar>
            <w:vAlign w:val="center"/>
          </w:tcPr>
          <w:p>
            <w:pPr>
              <w:pStyle w:val="TableBody"/>
            </w:pPr>
            <w:r/>
            <w:r>
              <w:rPr>
                <w:sz w:val="18"/>
              </w:rPr>
              <w:t>Weidinger et al., 2022; NIST, 2023; UNESCO, 2023; PCPD, 2021/2024</w:t>
            </w:r>
          </w:p>
        </w:tc>
        <w:tc>
          <w:tcPr>
            <w:tcW w:type="dxa" w:w="3860"/>
            <w:tcMar>
              <w:top w:w="80" w:type="dxa"/>
              <w:start w:w="120" w:type="dxa"/>
              <w:bottom w:w="80" w:type="dxa"/>
              <w:end w:w="120" w:type="dxa"/>
            </w:tcMar>
            <w:vAlign w:val="center"/>
          </w:tcPr>
          <w:p>
            <w:pPr>
              <w:pStyle w:val="TableBody"/>
            </w:pPr>
            <w:r/>
            <w:r>
              <w:rPr>
                <w:sz w:val="18"/>
              </w:rPr>
              <w:t>Supports safety, privacy, traceability, and human oversight</w:t>
            </w:r>
          </w:p>
        </w:tc>
      </w:tr>
      <w:tr>
        <w:tc>
          <w:tcPr>
            <w:tcW w:type="dxa" w:w="2200"/>
            <w:tcMar>
              <w:top w:w="80" w:type="dxa"/>
              <w:start w:w="120" w:type="dxa"/>
              <w:bottom w:w="80" w:type="dxa"/>
              <w:end w:w="120" w:type="dxa"/>
            </w:tcMar>
            <w:vAlign w:val="center"/>
          </w:tcPr>
          <w:p>
            <w:pPr>
              <w:pStyle w:val="TableBody"/>
            </w:pPr>
            <w:r/>
            <w:r>
              <w:rPr>
                <w:sz w:val="18"/>
              </w:rPr>
              <w:t>HK mathematics curriculum</w:t>
            </w:r>
          </w:p>
        </w:tc>
        <w:tc>
          <w:tcPr>
            <w:tcW w:type="dxa" w:w="3300"/>
            <w:tcMar>
              <w:top w:w="80" w:type="dxa"/>
              <w:start w:w="120" w:type="dxa"/>
              <w:bottom w:w="80" w:type="dxa"/>
              <w:end w:w="120" w:type="dxa"/>
            </w:tcMar>
            <w:vAlign w:val="center"/>
          </w:tcPr>
          <w:p>
            <w:pPr>
              <w:pStyle w:val="TableBody"/>
            </w:pPr>
            <w:r/>
            <w:r>
              <w:rPr>
                <w:sz w:val="18"/>
              </w:rPr>
              <w:t>Education Bureau, 2017 and current curriculum pages</w:t>
            </w:r>
          </w:p>
        </w:tc>
        <w:tc>
          <w:tcPr>
            <w:tcW w:type="dxa" w:w="3860"/>
            <w:tcMar>
              <w:top w:w="80" w:type="dxa"/>
              <w:start w:w="120" w:type="dxa"/>
              <w:bottom w:w="80" w:type="dxa"/>
              <w:end w:w="120" w:type="dxa"/>
            </w:tcMar>
            <w:vAlign w:val="center"/>
          </w:tcPr>
          <w:p>
            <w:pPr>
              <w:pStyle w:val="TableBody"/>
            </w:pPr>
            <w:r/>
            <w:r>
              <w:rPr>
                <w:sz w:val="18"/>
              </w:rPr>
              <w:t>Grounds KG/RAG and local relevance</w:t>
            </w:r>
          </w:p>
        </w:tc>
      </w:tr>
    </w:tbl>
    <w:p>
      <w:pPr>
        <w:pStyle w:val="TableGap"/>
      </w:pPr>
    </w:p>
    <w:p>
      <w:pPr>
        <w:pStyle w:val="Heading1"/>
      </w:pPr>
      <w:r>
        <w:t>Recommended Next Steps</w:t>
      </w:r>
    </w:p>
    <w:p>
      <w:pPr>
        <w:pStyle w:val="ListNumber"/>
      </w:pPr>
      <w:r>
        <w:t>Convert the current GRF draft from broad v3 framing into a tighter "teacher-governed adaptive instructional decision engine" proposal.</w:t>
      </w:r>
    </w:p>
    <w:p>
      <w:pPr>
        <w:pStyle w:val="ListNumber"/>
      </w:pPr>
      <w:r>
        <w:t>Create a one-page architecture figure showing BKT candidate generation, KG/RAG evidence, constrained LLM reranking, validator/fallback, teacher governance, and audit logs.</w:t>
      </w:r>
    </w:p>
    <w:p>
      <w:pPr>
        <w:pStyle w:val="ListNumber"/>
      </w:pPr>
      <w:r>
        <w:t>Prepare a requirements matrix with columns: educational risk, system mechanism, evidence field, validation rule, teacher control, evaluation metric.</w:t>
      </w:r>
    </w:p>
    <w:p>
      <w:pPr>
        <w:pStyle w:val="ListNumber"/>
      </w:pPr>
      <w:r>
        <w:t>Ask S15 to map which parts of the current adaptive engine already support the BKT safety floor and which fields are missing for v3 evaluation.</w:t>
      </w:r>
    </w:p>
    <w:p>
      <w:pPr>
        <w:pStyle w:val="ListNumber"/>
      </w:pPr>
      <w:r>
        <w:t>Ask S18 to prepare a curriculum/KC/content quality audit plan for P1-S6 mathematics KG construction.</w:t>
      </w:r>
    </w:p>
    <w:p>
      <w:pPr>
        <w:pStyle w:val="ListNumber"/>
      </w:pPr>
      <w:r>
        <w:t>Ask S13 to define the teacher console evidence cards and override workflow from the teacher-product perspective.</w:t>
      </w:r>
    </w:p>
    <w:p>
      <w:pPr>
        <w:pStyle w:val="ListNumber"/>
      </w:pPr>
      <w:r>
        <w:t>Ask S12/S19/S07 only after research design is settled, for data governance, deployment, and LLM provider constraints.</w:t>
      </w:r>
    </w:p>
    <w:p>
      <w:pPr>
        <w:pStyle w:val="Heading1"/>
      </w:pPr>
      <w:r>
        <w:t>References</w:t>
      </w:r>
    </w:p>
    <w:p>
      <w:pPr>
        <w:pStyle w:val="Reference"/>
      </w:pPr>
      <w:r>
        <w:rPr>
          <w:sz w:val="19"/>
        </w:rPr>
        <w:t>Amershi, S., Weld, D., Vorvoreanu, M., Fourney, A., Nushi, B., Collisson, P., Suh, J., Iqbal, S., Bennett, P. N., Inkpen, K., Teevan, J., Kikin-Gil, R., &amp; Horvitz, E. (2019). Guidelines for human-AI interaction. CHI 2019. https://doi.org/10.1145/3290605.3300233</w:t>
      </w:r>
    </w:p>
    <w:p>
      <w:pPr>
        <w:pStyle w:val="Reference"/>
      </w:pPr>
      <w:r>
        <w:rPr>
          <w:sz w:val="19"/>
        </w:rPr>
        <w:t>Asai, A., Wu, Z., Wang, Y., Sil, A., &amp; Hajishirzi, H. (2024). Self-RAG: Learning to retrieve, generate, and critique through self-reflection. ICLR 2024. https://proceedings.iclr.cc/paper_files/paper/2024/hash/25f7be9694d7b32d5cc670927b8091e1-Abstract-Conference.html</w:t>
      </w:r>
    </w:p>
    <w:p>
      <w:pPr>
        <w:pStyle w:val="Reference"/>
      </w:pPr>
      <w:r>
        <w:rPr>
          <w:sz w:val="19"/>
        </w:rPr>
        <w:t>Baker, R. S., &amp; Hawn, A. (2021/2022). Algorithmic bias in education. International Journal of Artificial Intelligence in Education, 32, 1052-1092. https://doi.org/10.1007/s40593-021-00285-9</w:t>
      </w:r>
    </w:p>
    <w:p>
      <w:pPr>
        <w:pStyle w:val="Reference"/>
      </w:pPr>
      <w:r>
        <w:rPr>
          <w:sz w:val="19"/>
        </w:rPr>
        <w:t>Ben Chaabene, N. E. H., &amp; Hammami, H. (2026). Neuro-symbolic synergy in education: A survey of LLM-knowledge graph integration for explainable reasoning and emotion-aware student support. Smart Learning Environments, 13, Article 6. https://doi.org/10.1186/s40561-025-00423-z</w:t>
      </w:r>
    </w:p>
    <w:p>
      <w:pPr>
        <w:pStyle w:val="Reference"/>
      </w:pPr>
      <w:r>
        <w:rPr>
          <w:sz w:val="19"/>
        </w:rPr>
        <w:t>Cepeda, N. J., Pashler, H., Vul, E., Wixted, J. T., &amp; Rohrer, D. (2006). Distributed practice in verbal recall tasks: A review and quantitative synthesis. Psychological Bulletin, 132(3), 354-380. https://doi.org/10.1037/0033-2909.132.3.354</w:t>
      </w:r>
    </w:p>
    <w:p>
      <w:pPr>
        <w:pStyle w:val="Reference"/>
      </w:pPr>
      <w:r>
        <w:rPr>
          <w:sz w:val="19"/>
        </w:rPr>
        <w:t>Corbett, A. T., &amp; Anderson, J. R. (1995). Knowledge tracing: Modeling the acquisition of procedural knowledge. User Modeling and User-Adapted Interaction, 4, 253-278. https://doi.org/10.1007/BF01099821</w:t>
      </w:r>
    </w:p>
    <w:p>
      <w:pPr>
        <w:pStyle w:val="Reference"/>
      </w:pPr>
      <w:r>
        <w:rPr>
          <w:sz w:val="19"/>
        </w:rPr>
        <w:t>Curriculum Development Council. (2017). Mathematics Education Key Learning Area Curriculum Guide (Primary 1-Secondary 6). Education Bureau, Hong Kong SAR Government. https://www.edb.gov.hk/attachment/en/curriculum-development/kla/ma/curr/ME_KLACG_eng_2017_12_08.pdf</w:t>
      </w:r>
    </w:p>
    <w:p>
      <w:pPr>
        <w:pStyle w:val="Reference"/>
      </w:pPr>
      <w:r>
        <w:rPr>
          <w:sz w:val="19"/>
        </w:rPr>
        <w:t>Desmarais, M. C., &amp; Baker, R. S. J. d. (2012). A review of recent advances in learner and skill modeling in intelligent learning environments. User Modeling and User-Adapted Interaction, 22(1-2), 9-38. https://doi.org/10.1007/s11257-011-9106-8</w:t>
      </w:r>
    </w:p>
    <w:p>
      <w:pPr>
        <w:pStyle w:val="Reference"/>
      </w:pPr>
      <w:r>
        <w:rPr>
          <w:sz w:val="19"/>
        </w:rPr>
        <w:t>Education Bureau. (2026 access). Mathematics Education - Curriculum Documents. https://www.edb.gov.hk/en/curriculum-development/kla/ma/curr/index2.html</w:t>
      </w:r>
    </w:p>
    <w:p>
      <w:pPr>
        <w:pStyle w:val="Reference"/>
      </w:pPr>
      <w:r>
        <w:rPr>
          <w:sz w:val="19"/>
        </w:rPr>
        <w:t>Es, S., James, J., Espinosa-Anke, L., &amp; Schockaert, S. (2024). RAGAs: Automated evaluation of retrieval augmented generation. EACL 2024 demo. https://aclanthology.org/2024.eacl-demo.16/</w:t>
      </w:r>
    </w:p>
    <w:p>
      <w:pPr>
        <w:pStyle w:val="Reference"/>
      </w:pPr>
      <w:r>
        <w:rPr>
          <w:sz w:val="19"/>
        </w:rPr>
        <w:t>Gervet, T., Koedinger, K., Schneider, J., &amp; Mitchell, T. (2020). When is deep learning the best approach to knowledge tracing? Journal of Educational Data Mining, 12(3), 31-54. https://doi.org/10.5281/zenodo.4143614</w:t>
      </w:r>
    </w:p>
    <w:p>
      <w:pPr>
        <w:pStyle w:val="Reference"/>
      </w:pPr>
      <w:r>
        <w:rPr>
          <w:sz w:val="19"/>
        </w:rPr>
        <w:t>Holstein, K., McLaren, B. M., &amp; Aleven, V. (2019). Co-designing a real-time classroom orchestration tool to support teacher-AI complementarity. Journal of Learning Analytics, 6(2), 27-52. https://doi.org/10.18608/jla.2019.62.3</w:t>
      </w:r>
    </w:p>
    <w:p>
      <w:pPr>
        <w:pStyle w:val="Reference"/>
      </w:pPr>
      <w:r>
        <w:rPr>
          <w:sz w:val="19"/>
        </w:rPr>
        <w:t>Ji, Z., Lee, N., Frieske, R., Yu, T., Su, D., Xu, Y., Ishii, E., Bang, Y., Madotto, A., &amp; Fung, P. (2023). Survey of hallucination in natural language generation. ACM Computing Surveys, 55(12), Article 248. https://doi.org/10.1145/3571730</w:t>
      </w:r>
    </w:p>
    <w:p>
      <w:pPr>
        <w:pStyle w:val="Reference"/>
      </w:pPr>
      <w:r>
        <w:rPr>
          <w:sz w:val="19"/>
        </w:rPr>
        <w:t>Kasneci, E., Sessler, K., Kuchemann, S., Bannert, M., Dementieva, D., Fischer, F., Gasser, U., et al. (2023). ChatGPT for good? On opportunities and challenges of large language models for education. Learning and Individual Differences, 103, Article 102274. https://doi.org/10.1016/j.lindif.2023.102274</w:t>
      </w:r>
    </w:p>
    <w:p>
      <w:pPr>
        <w:pStyle w:val="Reference"/>
      </w:pPr>
      <w:r>
        <w:rPr>
          <w:sz w:val="19"/>
        </w:rPr>
        <w:t>Koedinger, K. R., Corbett, A. T., &amp; Perfetti, C. (2012). The Knowledge-Learning-Instruction framework: Bridging the science-practice chasm to enhance robust student learning. Cognitive Science, 36(5), 757-798. https://doi.org/10.1111/j.1551-6709.2012.01245.x</w:t>
      </w:r>
    </w:p>
    <w:p>
      <w:pPr>
        <w:pStyle w:val="Reference"/>
      </w:pPr>
      <w:r>
        <w:rPr>
          <w:sz w:val="19"/>
        </w:rPr>
        <w:t>Kulik, J. A., &amp; Fletcher, J. D. (2016). Effectiveness of intelligent tutoring systems: A meta-analytic review. Review of Educational Research, 86(1), 42-78. https://doi.org/10.3102/0034654315581420</w:t>
      </w:r>
    </w:p>
    <w:p>
      <w:pPr>
        <w:pStyle w:val="Reference"/>
      </w:pPr>
      <w:r>
        <w:rPr>
          <w:sz w:val="19"/>
        </w:rPr>
        <w:t>Lewis, P., Perez, E., Piktus, A., Petroni, F., Karpukhin, V., Goyal, N., Kuttler, H., et al. (2020). Retrieval-augmented generation for knowledge-intensive NLP tasks. NeurIPS 2020. https://proceedings.neurips.cc/paper/2020/hash/6b493230205f780e1bc26945df7481e5-Abstract.html</w:t>
      </w:r>
    </w:p>
    <w:p>
      <w:pPr>
        <w:pStyle w:val="Reference"/>
      </w:pPr>
      <w:r>
        <w:rPr>
          <w:sz w:val="19"/>
        </w:rPr>
        <w:t>Li, A., Li, Y., &amp; Gao, X. (2026). Personalized learning path recommendation based on knowledge graphs: A survey. Electronics, 15(1), 238. https://doi.org/10.3390/electronics15010238</w:t>
      </w:r>
    </w:p>
    <w:p>
      <w:pPr>
        <w:pStyle w:val="Reference"/>
      </w:pPr>
      <w:r>
        <w:rPr>
          <w:sz w:val="19"/>
        </w:rPr>
        <w:t>Ma, W., Adesope, O. O., Nesbit, J. C., &amp; Liu, Q. (2014). Intelligent tutoring systems and learning outcomes: A meta-analysis. Journal of Educational Psychology, 106(4), 901-918. https://doi.org/10.1037/a0037123</w:t>
      </w:r>
    </w:p>
    <w:p>
      <w:pPr>
        <w:pStyle w:val="Reference"/>
      </w:pPr>
      <w:r>
        <w:rPr>
          <w:sz w:val="19"/>
        </w:rPr>
        <w:t>Macina, J., Daheim, N., Chowdhury, S., Sinha, T., Kapur, M., Gurevych, I., Sachan, M., &amp; Nouri, E. (2023). MathDial: A dialogue tutoring dataset with rich pedagogical properties grounded in math reasoning problems. Findings of EMNLP 2023, 5602-5621. https://doi.org/10.18653/v1/2023.findings-emnlp.372</w:t>
      </w:r>
    </w:p>
    <w:p>
      <w:pPr>
        <w:pStyle w:val="Reference"/>
      </w:pPr>
      <w:r>
        <w:rPr>
          <w:sz w:val="19"/>
        </w:rPr>
        <w:t>Maynez, J., Narayan, S., Bohnet, B., &amp; McDonald, R. (2020). On faithfulness and factuality in abstractive summarization. ACL 2020, 1906-1919. https://doi.org/10.18653/v1/2020.acl-main.173</w:t>
      </w:r>
    </w:p>
    <w:p>
      <w:pPr>
        <w:pStyle w:val="Reference"/>
      </w:pPr>
      <w:r>
        <w:rPr>
          <w:sz w:val="19"/>
        </w:rPr>
        <w:t>NIST. (2023). Artificial Intelligence Risk Management Framework (AI RMF 1.0). https://doi.org/10.6028/NIST.AI.100-1</w:t>
      </w:r>
    </w:p>
    <w:p>
      <w:pPr>
        <w:pStyle w:val="Reference"/>
      </w:pPr>
      <w:r>
        <w:rPr>
          <w:sz w:val="19"/>
        </w:rPr>
        <w:t>Office of the Privacy Commissioner for Personal Data, Hong Kong. (2021). Guidance on the ethical development and use of artificial intelligence. https://www.pcpd.org.hk/english/resources_centre/publications/files/guidance_ethical_e.pdf</w:t>
      </w:r>
    </w:p>
    <w:p>
      <w:pPr>
        <w:pStyle w:val="Reference"/>
      </w:pPr>
      <w:r>
        <w:rPr>
          <w:sz w:val="19"/>
        </w:rPr>
        <w:t>Office of the Privacy Commissioner for Personal Data, Hong Kong. (2024). Artificial Intelligence: Model Personal Data Protection Framework. https://www.pcpd.org.hk/english/news_events/media_statements/press_20240611.html</w:t>
      </w:r>
    </w:p>
    <w:p>
      <w:pPr>
        <w:pStyle w:val="Reference"/>
      </w:pPr>
      <w:r>
        <w:rPr>
          <w:sz w:val="19"/>
        </w:rPr>
        <w:t>Pardos, Z. A., &amp; Heffernan, N. T. (2010). Modeling individualization in a Bayesian networks implementation of knowledge tracing. UMAP 2010. https://www.ischool.berkeley.edu/research/publications/2010/modeling-individualization-bayesian-networks-implementation-knowledge</w:t>
      </w:r>
    </w:p>
    <w:p>
      <w:pPr>
        <w:pStyle w:val="Reference"/>
      </w:pPr>
      <w:r>
        <w:rPr>
          <w:sz w:val="19"/>
        </w:rPr>
        <w:t>Pardos, Z. A., &amp; Heffernan, N. T. (2011). KT-IDEM: Introducing item difficulty to the knowledge tracing model. UMAP 2011. https://people.csail.mit.edu/zp/papers/UMAP2011_IDEM.pdf</w:t>
      </w:r>
    </w:p>
    <w:p>
      <w:pPr>
        <w:pStyle w:val="Reference"/>
      </w:pPr>
      <w:r>
        <w:rPr>
          <w:sz w:val="19"/>
        </w:rPr>
        <w:t>Pelanek, R. (2017). Bayesian knowledge tracing, logistic models, and beyond: An overview of learner modeling techniques. User Modeling and User-Adapted Interaction, 27, 313-350. https://doi.org/10.1007/s11257-017-9193-2</w:t>
      </w:r>
    </w:p>
    <w:p>
      <w:pPr>
        <w:pStyle w:val="Reference"/>
      </w:pPr>
      <w:r>
        <w:rPr>
          <w:sz w:val="19"/>
        </w:rPr>
        <w:t>Roediger, H. L., III, &amp; Karpicke, J. D. (2006). Test-enhanced learning: Taking memory tests improves long-term retention. Psychological Science, 17(3), 249-255. https://doi.org/10.1111/j.1467-9280.2006.01693.x</w:t>
      </w:r>
    </w:p>
    <w:p>
      <w:pPr>
        <w:pStyle w:val="Reference"/>
      </w:pPr>
      <w:r>
        <w:rPr>
          <w:sz w:val="19"/>
        </w:rPr>
        <w:t>Ru, D., Qiu, L., Hu, X., Zhang, T., Shi, P., Chang, S., Jiayang, C., Wang, C., Sun, S., Li, H., Zhang, Z., Wang, B., Jiang, J., He, T., Wang, Z., Liu, P., Zhang, Y., &amp; Zhang, Z. (2024). RAGChecker: A fine-grained framework for diagnosing retrieval-augmented generation. NeurIPS 2024. https://proceedings.neurips.cc/paper_files/paper/2024/hash/27245589131d17368cccdfa990cbf16e-Abstract-Datasets_and_Benchmarks_Track.html</w:t>
      </w:r>
    </w:p>
    <w:p>
      <w:pPr>
        <w:pStyle w:val="Reference"/>
      </w:pPr>
      <w:r>
        <w:rPr>
          <w:sz w:val="19"/>
        </w:rPr>
        <w:t>Tack, A., &amp; Piech, C. (2022). The AI teacher test: Measuring the pedagogical ability of Blender and GPT-3 in educational dialogues. EDM 2022. https://educationaldatamining.org/edm2022/proceedings/2022.EDM-short-papers.54/index.html</w:t>
      </w:r>
    </w:p>
    <w:p>
      <w:pPr>
        <w:pStyle w:val="Reference"/>
      </w:pPr>
      <w:r>
        <w:rPr>
          <w:sz w:val="19"/>
        </w:rPr>
        <w:t>UNESCO. (2023). Guidance for generative AI in education and research. https://www.unesco.org/en/articles/guidance-generative-ai-education-and-research</w:t>
      </w:r>
    </w:p>
    <w:p>
      <w:pPr>
        <w:pStyle w:val="Reference"/>
      </w:pPr>
      <w:r>
        <w:rPr>
          <w:sz w:val="19"/>
        </w:rPr>
        <w:t>VanLehn, K. (2011). The relative effectiveness of human tutoring, intelligent tutoring systems, and other tutoring systems. Educational Psychologist, 46(4), 197-221. https://doi.org/10.1080/00461520.2011.611369</w:t>
      </w:r>
    </w:p>
    <w:p>
      <w:pPr>
        <w:pStyle w:val="Reference"/>
      </w:pPr>
      <w:r>
        <w:rPr>
          <w:sz w:val="19"/>
        </w:rPr>
        <w:t>Weidinger, L., Uesato, J., Rauh, M., Griffin, C., Huang, P. S., Mellor, J., Glaese, A., Cheng, M., et al. (2022). Taxonomy of risks posed by language models. FAccT 2022. https://doi.org/10.1145/3531146.3533088</w:t>
      </w:r>
    </w:p>
    <w:p>
      <w:pPr>
        <w:pStyle w:val="Reference"/>
      </w:pPr>
      <w:r>
        <w:rPr>
          <w:sz w:val="19"/>
        </w:rPr>
        <w:t>Yan, L., Sha, L., Zhao, L., Li, Y., Martinez-Maldonado, R., Chen, G., Li, X., Jin, Y., &amp; Gasevic, D. (2024). Practical and ethical challenges of large language models in education: A systematic scoping review. British Journal of Educational Technology, 55(1), 90-112. https://doi.org/10.1111/bjet.13370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280"/>
        <w:sz w:val="18"/>
      </w:rPr>
      <w:t>TRUST-MAIS v3 Research Agenda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contextualSpacing/>
    </w:pPr>
    <w:rPr>
      <w:rFonts w:asciiTheme="majorHAnsi" w:eastAsiaTheme="majorEastAsia" w:hAnsiTheme="majorHAnsi" w:cstheme="majorBidi" w:ascii="Calibri" w:hAnsi="Calibr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ind w:left="720" w:hanging="36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80" w:after="160" w:line="276" w:lineRule="auto"/>
      <w:ind w:left="360" w:right="144"/>
    </w:pPr>
    <w:rPr>
      <w:rFonts w:ascii="Calibri" w:hAnsi="Calibri"/>
      <w:i/>
      <w:iCs/>
      <w:color w:val="1F3A5F"/>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52" w:lineRule="auto"/>
    </w:pPr>
    <w:rPr>
      <w:rFonts w:ascii="Consolas" w:hAnsi="Consolas"/>
      <w:color w:val="0B2545"/>
      <w:sz w:val="19"/>
    </w:rPr>
  </w:style>
  <w:style w:type="paragraph" w:customStyle="1" w:styleId="TableBody">
    <w:name w:val="Table Body"/>
    <w:pPr>
      <w:spacing w:before="0" w:after="0" w:line="259" w:lineRule="auto"/>
    </w:pPr>
    <w:rPr>
      <w:rFonts w:ascii="Calibri" w:hAnsi="Calibri"/>
      <w:color w:val="222222"/>
      <w:sz w:val="18"/>
    </w:rPr>
  </w:style>
  <w:style w:type="paragraph" w:customStyle="1" w:styleId="TableGap">
    <w:name w:val="Table Gap"/>
    <w:pPr>
      <w:spacing w:before="0" w:after="120" w:line="240" w:lineRule="auto"/>
    </w:pPr>
    <w:rPr>
      <w:rFonts w:ascii="Calibri" w:hAnsi="Calibri"/>
      <w:color w:val="FFFFFF"/>
      <w:sz w:val="4"/>
    </w:rPr>
  </w:style>
  <w:style w:type="paragraph" w:customStyle="1" w:styleId="Reference">
    <w:name w:val="Reference"/>
    <w:pPr>
      <w:spacing w:before="0" w:after="120" w:line="259" w:lineRule="auto"/>
      <w:ind w:left="360" w:hanging="360"/>
    </w:pPr>
    <w:rPr>
      <w:rFonts w:ascii="Calibri" w:hAnsi="Calibri"/>
      <w:color w:val="22222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TRUST-MAIS v3 Research Agenda and Literature Review</dc:title>
  <dc:subject>S16 research agenda converted from Markdown to DOCX</dc:subject>
  <dc:creator>Codex S16</dc:creator>
  <cp:keywords>TRUST-MAIS, BKT, RAG, knowledge graph, teacher governance, adaptive learning</cp:keywords>
  <dc:description>generated by python-docx</dc:description>
  <cp:lastModifiedBy/>
  <cp:revision>1</cp:revision>
  <dcterms:created xsi:type="dcterms:W3CDTF">2013-12-23T23:15:00Z</dcterms:created>
  <dcterms:modified xsi:type="dcterms:W3CDTF">2013-12-23T23:15:00Z</dcterms:modified>
  <cp:category/>
</cp:coreProperties>
</file>