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F4E79"/>
          <w:sz w:val="56"/>
          <w:szCs w:val="56"/>
        </w:rPr>
        <w:t xml:space="preserve">Content QA Report</w:t>
      </w:r>
    </w:p>
    <w:p>
      <w:pPr>
        <w:spacing w:after="60" w:before="120"/>
        <w:jc w:val="center"/>
      </w:pPr>
      <w:r>
        <w:rPr>
          <w:rFonts w:ascii="Arial" w:cs="Arial" w:eastAsia="Arial" w:hAnsi="Arial"/>
          <w:sz w:val="30"/>
          <w:szCs w:val="30"/>
        </w:rPr>
        <w:t xml:space="preserve">MAIS — California Math Curriculum, Kindergarten to Grade 5</w:t>
      </w:r>
    </w:p>
    <w:p>
      <w:pPr>
        <w:spacing w:after="480"/>
        <w:jc w:val="center"/>
      </w:pPr>
      <w:r>
        <w:rPr>
          <w:rFonts w:ascii="Arial" w:cs="Arial" w:eastAsia="Arial" w:hAnsi="Arial"/>
          <w:i/>
          <w:iCs/>
          <w:color w:val="555555"/>
          <w:sz w:val="22"/>
          <w:szCs w:val="22"/>
        </w:rPr>
        <w:t xml:space="preserve">www.mais.ac · Student-experience content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65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Value</w:t>
            </w:r>
          </w:p>
        </w:tc>
      </w:tr>
      <w:tr>
        <w:trPr>
          <w:tblHeader w:val="false"/>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Report ID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MAIS-QA-2026-0709-01</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Product / URL</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MAIS – Mathematics Adaptive Interactive System (https://www.mais.ac)</w:t>
            </w:r>
          </w:p>
        </w:tc>
      </w:tr>
      <w:tr>
        <w:trPr>
          <w:tblHeader w:val="false"/>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Course under test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California Math Practice Beta (US_CA_MATH)</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Scope requested</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Kindergarten – Grade 5, all lessons (exhaustive)</w:t>
            </w:r>
          </w:p>
        </w:tc>
      </w:tr>
      <w:tr>
        <w:trPr>
          <w:tblHeader w:val="false"/>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Test window</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9 July 2026, 07:00–08:10 (UTC+8)</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Tester</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Claude (automated browser agent), commissioned by Dr. Peter HU Dongpin</w:t>
            </w:r>
          </w:p>
        </w:tc>
      </w:tr>
      <w:tr>
        <w:trPr>
          <w:tblHeader w:val="false"/>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Test accounts</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Student Shirleen (CA Math Grade 1), Student Jon (CA Math K-12), Teacher Rhi (console check only)</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Environment</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Chrome (macOS), production site; server-side AI grading enabled</w:t>
            </w:r>
          </w:p>
        </w:tc>
      </w:tr>
      <w:tr>
        <w:trPr>
          <w:tblHeader w:val="false"/>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Report status</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v1.1 – Partial completion: G1 fully tested; K &amp; G2–G5 blocked (DEF-001, confirmed by controlled re-test)</w:t>
            </w:r>
          </w:p>
        </w:tc>
      </w:tr>
    </w:tbl>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report documents content quality-assurance testing of the California Math curriculum on www.mais.ac from the student experience, against three acceptance checks: (1) worked examples are understandable, (2) lesson practices are understandable, and (3) lesson practices have answers and submitted answers are checked by the website.</w:t>
      </w:r>
    </w:p>
    <w:p>
      <w:pPr>
        <w:spacing w:after="120"/>
      </w:pPr>
      <w:r>
        <w:rPr>
          <w:rFonts w:ascii="Arial" w:cs="Arial" w:eastAsia="Arial" w:hAnsi="Arial"/>
          <w:sz w:val="22"/>
          <w:szCs w:val="22"/>
        </w:rPr>
        <w:t xml:space="preserve">Grade 1 was tested exhaustively: all 16 units × 4 lesson components (Concept explanation, Worked example, Interactive lab, Practice check) were opened, and at least one practice answer per unit (19 graded submissions in total, including deliberate wrong answers) was submitted and verified. Grade 1 passes all three checks: every unit has a clear, illustrated, age-appropriate worked example with a revealable answer and reasoning; practice questions are understandable and consistently structured (5 per unit, fill-in or multiple-choice); and the platform's AI grading correctly judged every sampled submission, returning explanations, revealing the official answer on wrong attempts, and filing mistakes into a Mistake Book.</w:t>
      </w:r>
    </w:p>
    <w:p>
      <w:pPr>
        <w:spacing w:after="120"/>
      </w:pPr>
      <w:r>
        <w:rPr>
          <w:rFonts w:ascii="Arial" w:cs="Arial" w:eastAsia="Arial" w:hAnsi="Arial"/>
          <w:sz w:val="22"/>
          <w:szCs w:val="22"/>
        </w:rPr>
        <w:t xml:space="preserve">However, the audit could not be extended to Kindergarten or Grades 2–5: no provided student account can open those grades. The login form's grade selector is ignored for existing accounts, dashboard grade chips are disabled, and grade-specific URLs redirect back to Grade 1 (DEF-001, Critical). In addition, demo sessions proved unstable — spontaneous identity switches between example accounts and silent mid-lesson session expiries were observed repeatedly (DEF-002, High). Nine defects/observations are logged in Section 7 with reproduction notes.</w:t>
      </w:r>
    </w:p>
    <w:p>
      <w:pPr>
        <w:spacing w:after="120"/>
      </w:pPr>
      <w:r>
        <w:rPr>
          <w:rFonts w:ascii="Arial" w:cs="Arial" w:eastAsia="Arial" w:hAnsi="Arial"/>
          <w:b/>
          <w:bCs/>
          <w:sz w:val="22"/>
          <w:szCs w:val="22"/>
        </w:rPr>
        <w:t xml:space="preserve">Overall verdict: Grade 1 content quality is strong and the answer-checking pipeline works as intended. Release readiness for the stated K–5 scope cannot be certified until grade access (DEF-001) is fixed and the remaining grades are tested; session stability (DEF-002) should be addressed before real-classroom use.</w:t>
      </w:r>
    </w:p>
    <w:p>
      <w:pPr>
        <w:pStyle w:val="Heading1"/>
      </w:pPr>
      <w:r>
        <w:t xml:space="preserve">2. Test Objectives and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rPr>
          <w:tblHeader/>
        </w:trPr>
        <w:tc>
          <w:tcPr>
            <w:tcW w:type="dxa" w:w="12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ID</w:t>
            </w:r>
          </w:p>
        </w:tc>
        <w:tc>
          <w:tcPr>
            <w:tcW w:type="dxa" w:w="55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Objective (as commissioned)</w:t>
            </w:r>
          </w:p>
        </w:tc>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Acceptance criterion</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OBJ-1</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Worked example is understandable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Each unit's worked example is readable at grade level, mathematically correct, and shows a solution/answer</w:t>
            </w:r>
          </w:p>
        </w:tc>
      </w:tr>
      <w:tr>
        <w:trPr>
          <w:tblHeader w:val="false"/>
        </w:trP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OBJ-2</w:t>
            </w:r>
          </w:p>
        </w:tc>
        <w:tc>
          <w:tcPr>
            <w:tcW w:type="dxa" w:w="5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Lesson practices are understandable</w:t>
            </w:r>
          </w:p>
        </w:tc>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Practice questions are unambiguous, readable, and mechanically answerable in the UI</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OBJ-3</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Practices have answers; submitted answers are checked</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An official answer exists for each practice item and the website grades a submitted answer (correct and incorrect paths)</w:t>
            </w:r>
          </w:p>
        </w:tc>
      </w:tr>
    </w:tbl>
    <w:p>
      <w:pPr>
        <w:pStyle w:val="Heading1"/>
      </w:pPr>
      <w:r>
        <w:t xml:space="preserve">3. Scope and Coverage Summary</w:t>
      </w:r>
    </w:p>
    <w:p>
      <w:pPr>
        <w:spacing w:after="120"/>
      </w:pPr>
      <w:r>
        <w:rPr>
          <w:rFonts w:ascii="Arial" w:cs="Arial" w:eastAsia="Arial" w:hAnsi="Arial"/>
          <w:sz w:val="22"/>
          <w:szCs w:val="22"/>
        </w:rPr>
        <w:t xml:space="preserve">Requested scope: California Math, Kindergarten through Grade 5, exhaustive lesson coverage. Achieved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3560"/>
      </w:tblGrid>
      <w:tr>
        <w:trPr>
          <w:tblHeader/>
        </w:trPr>
        <w:tc>
          <w:tcPr>
            <w:tcW w:type="dxa" w:w="1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Grade</w:t>
            </w:r>
          </w:p>
        </w:tc>
        <w:tc>
          <w:tcPr>
            <w:tcW w:type="dxa" w:w="24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Units discovered</w:t>
            </w:r>
          </w:p>
        </w:tc>
        <w:tc>
          <w:tcPr>
            <w:tcW w:type="dxa" w:w="1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Units tested</w:t>
            </w:r>
          </w:p>
        </w:tc>
        <w:tc>
          <w:tcPr>
            <w:tcW w:type="dxa" w:w="35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Status</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Kindergarten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 (not reachable)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BLOCKED – DEF-001</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Grade 1</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16</w:t>
            </w:r>
          </w:p>
        </w:tc>
        <w:tc>
          <w:tcPr>
            <w:tcW w:type="dxa" w:w="1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16 (100%)</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TESTED – all checks executed</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Grade 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 (not reachable)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BLOCKED – DEF-001</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Grade 3</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(not reachable)</w:t>
            </w:r>
          </w:p>
        </w:tc>
        <w:tc>
          <w:tcPr>
            <w:tcW w:type="dxa" w:w="1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BLOCKED – DEF-001</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Grade 4</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 (not reachable)</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BLOCKED – DEF-001</w:t>
            </w:r>
          </w:p>
        </w:tc>
      </w:tr>
      <w:tr>
        <w:trPr>
          <w:tblHeader w:val="false"/>
        </w:trPr>
        <w:tc>
          <w:tcPr>
            <w:tcW w:type="dxa" w:w="1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Grade 5</w:t>
            </w:r>
          </w:p>
        </w:tc>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 (not reachable)</w:t>
            </w:r>
          </w:p>
        </w:tc>
        <w:tc>
          <w:tcPr>
            <w:tcW w:type="dxa" w:w="1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BLOCKED – DEF-001</w:t>
            </w:r>
          </w:p>
        </w:tc>
      </w:tr>
    </w:tbl>
    <w:p>
      <w:pPr>
        <w:spacing w:after="120"/>
      </w:pPr>
      <w:r>
        <w:rPr>
          <w:rFonts w:ascii="Arial" w:cs="Arial" w:eastAsia="Arial" w:hAnsi="Arial"/>
          <w:sz w:val="22"/>
          <w:szCs w:val="22"/>
        </w:rPr>
        <w:t xml:space="preserve">Within Grade 1, each unit exposes four components in a fixed template: x.1 Concept explanation (text + AI audio guide), x.2 Worked example (problem + “Think and Check the Answer” reveal), x.3 Interactive lab (visualization panel), and x.4 Practice check (5 questions with per-question checking, “Check all answers”, Jump, math keyboard, handwriting board, and photo upload). All 64 G1 components were opened; 19 practice submissions were graded (11 correct-path, 8 wrong-path).</w:t>
      </w:r>
    </w:p>
    <w:p>
      <w:pPr>
        <w:pStyle w:val="Heading1"/>
      </w:pPr>
      <w:r>
        <w:t xml:space="preserve">4. Test Environment, Accounts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65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Detail</w:t>
            </w:r>
          </w:p>
        </w:tc>
      </w:tr>
      <w:tr>
        <w:trPr>
          <w:tblHeader w:val="false"/>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Browser / OS</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Google Chrome on macOS (desktop, 1920×825 CSS viewport)</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Site</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https://www.mais.ac (production), English UI</w:t>
            </w:r>
          </w:p>
        </w:tc>
      </w:tr>
      <w:tr>
        <w:trPr>
          <w:tblHeader w:val="false"/>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Account 1</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Student Shirleen — California Math Grade 1 (used for the full G1 pass)</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Account 2</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Student Jon — “California Math K-12” example account (found pinned to G1; used for grade-access testing)</w:t>
            </w:r>
          </w:p>
        </w:tc>
      </w:tr>
      <w:tr>
        <w:trPr>
          <w:tblHeader w:val="false"/>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Account 3</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Teacher Rhi — CA K-12 teacher example (console inspected to rule out alternate content path)</w:t>
            </w:r>
          </w:p>
        </w:tc>
      </w:tr>
      <w:tr>
        <w:trPr>
          <w:tblHeader w:val="false"/>
        </w:trP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Login method</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Site-provided “Example accounts” quick-login buttons; two form logins performed by the commissioning user (grade-selection tests)</w:t>
            </w:r>
          </w:p>
        </w:tc>
      </w:tr>
      <w:tr>
        <w:trPr>
          <w:tblHeader w:val="false"/>
        </w:trP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Automation</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Browser automation with DOM-level extraction; answers submitted through the real UI controls; grading observed end-to-end</w:t>
            </w:r>
          </w:p>
        </w:tc>
      </w:tr>
    </w:tbl>
    <w:p>
      <w:pPr>
        <w:pStyle w:val="Heading1"/>
      </w:pPr>
      <w:r>
        <w:t xml:space="preserve">5. Methodology</w:t>
      </w:r>
    </w:p>
    <w:p>
      <w:pPr>
        <w:pStyle w:val="ListParagraph"/>
        <w:numPr>
          <w:ilvl w:val="0"/>
          <w:numId w:val="2"/>
        </w:numPr>
        <w:spacing w:after="60"/>
      </w:pPr>
      <w:r>
        <w:rPr>
          <w:rFonts w:ascii="Arial" w:cs="Arial" w:eastAsia="Arial" w:hAnsi="Arial"/>
          <w:sz w:val="22"/>
          <w:szCs w:val="22"/>
        </w:rPr>
        <w:t xml:space="preserve">Enumerate curriculum structure per grade from the lesson sidebar (units, components, slugs).</w:t>
      </w:r>
    </w:p>
    <w:p>
      <w:pPr>
        <w:pStyle w:val="ListParagraph"/>
        <w:numPr>
          <w:ilvl w:val="0"/>
          <w:numId w:val="2"/>
        </w:numPr>
        <w:spacing w:after="60"/>
      </w:pPr>
      <w:r>
        <w:rPr>
          <w:rFonts w:ascii="Arial" w:cs="Arial" w:eastAsia="Arial" w:hAnsi="Arial"/>
          <w:sz w:val="22"/>
          <w:szCs w:val="22"/>
        </w:rPr>
        <w:t xml:space="preserve">For each unit: open the lesson; read the Concept explanation; open the Worked example and trigger “Think and Check the Answer”; verify a worked solution (answer + reasoning) is present and correct; record the practice question set (count, item types).</w:t>
      </w:r>
    </w:p>
    <w:p>
      <w:pPr>
        <w:pStyle w:val="ListParagraph"/>
        <w:numPr>
          <w:ilvl w:val="0"/>
          <w:numId w:val="2"/>
        </w:numPr>
        <w:spacing w:after="60"/>
      </w:pPr>
      <w:r>
        <w:rPr>
          <w:rFonts w:ascii="Arial" w:cs="Arial" w:eastAsia="Arial" w:hAnsi="Arial"/>
          <w:sz w:val="22"/>
          <w:szCs w:val="22"/>
        </w:rPr>
        <w:t xml:space="preserve">Answer at least one practice item per unit through the real input controls (text field or choice buttons) and click “Check Answer”; record the grading verdict, explanation, progress counter, and Mistake Book behavior.</w:t>
      </w:r>
    </w:p>
    <w:p>
      <w:pPr>
        <w:pStyle w:val="ListParagraph"/>
        <w:numPr>
          <w:ilvl w:val="0"/>
          <w:numId w:val="2"/>
        </w:numPr>
        <w:spacing w:after="60"/>
      </w:pPr>
      <w:r>
        <w:rPr>
          <w:rFonts w:ascii="Arial" w:cs="Arial" w:eastAsia="Arial" w:hAnsi="Arial"/>
          <w:sz w:val="22"/>
          <w:szCs w:val="22"/>
        </w:rPr>
        <w:t xml:space="preserve">Deliberately submit wrong answers on a subset of units to verify the incorrect-answer path (verdict, official answer reveal, explanation, Mistake Book).</w:t>
      </w:r>
    </w:p>
    <w:p>
      <w:pPr>
        <w:pStyle w:val="ListParagraph"/>
        <w:numPr>
          <w:ilvl w:val="0"/>
          <w:numId w:val="2"/>
        </w:numPr>
        <w:spacing w:after="60"/>
      </w:pPr>
      <w:r>
        <w:rPr>
          <w:rFonts w:ascii="Arial" w:cs="Arial" w:eastAsia="Arial" w:hAnsi="Arial"/>
          <w:sz w:val="22"/>
          <w:szCs w:val="22"/>
        </w:rPr>
        <w:t xml:space="preserve">Probe negative/robustness paths encountered en route: invalid lesson URLs, session expiry, account switching, dashboard loading.</w:t>
      </w:r>
    </w:p>
    <w:p>
      <w:pPr>
        <w:spacing w:after="120"/>
      </w:pPr>
      <w:r>
        <w:rPr>
          <w:rFonts w:ascii="Arial" w:cs="Arial" w:eastAsia="Arial" w:hAnsi="Arial"/>
          <w:i/>
          <w:iCs/>
          <w:sz w:val="22"/>
          <w:szCs w:val="22"/>
        </w:rPr>
        <w:t xml:space="preserve">Limitations: one to two of five practice questions were graded per unit (all five stems were captured and reviewed for clarity); the Interactive lab was verified as present/rendering, not deeply exercised; audio narration was not played; mathematical correctness was verified for all graded items and worked examples, by independent recomputation.</w:t>
      </w:r>
    </w:p>
    <w:p>
      <w:pPr>
        <w:pStyle w:val="Heading1"/>
      </w:pPr>
      <w:r>
        <w:t xml:space="preserve">6. Results — Grade 1 (First Grade Math Adventures, 16 units)</w:t>
      </w:r>
    </w:p>
    <w:p>
      <w:pPr>
        <w:pStyle w:val="Heading2"/>
      </w:pPr>
      <w:r>
        <w:t xml:space="preserve">6.1 Verdict against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3400"/>
      </w:tblGrid>
      <w:tr>
        <w:trPr>
          <w:tblHeader/>
        </w:trPr>
        <w:tc>
          <w:tcPr>
            <w:tcW w:type="dxa" w:w="12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ID</w:t>
            </w:r>
          </w:p>
        </w:tc>
        <w:tc>
          <w:tcPr>
            <w:tcW w:type="dxa" w:w="47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Result</w:t>
            </w:r>
          </w:p>
        </w:tc>
        <w:tc>
          <w:tcPr>
            <w:tcW w:type="dxa" w:w="34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Basis</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OBJ-1</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 (16/16 units)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Worked example present in every unit; each reveals “Answer: … Reasoning: …”; language simple and story-based; U1 example also includes illustrated panels (7 stickers + 4 more = 11) and restates equality both ways (11 = 7 + 4)</w:t>
            </w:r>
          </w:p>
        </w:tc>
      </w:tr>
      <w:tr>
        <w:trPr>
          <w:tblHeader w:val="false"/>
        </w:trP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OBJ-2</w:t>
            </w:r>
          </w:p>
        </w:tc>
        <w:tc>
          <w:tcPr>
            <w:tcW w:type="dxa" w:w="4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 with observations (16/16 units)</w:t>
            </w:r>
          </w:p>
        </w:tc>
        <w:tc>
          <w:tcPr>
            <w:tcW w:type="dxa" w:w="3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All 80 practice stems captured and readable; consistent template scaffolds; two minor concerns: verbose scenario framing for independent G1 readers and template reuse across units (see Observations)</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OBJ-3</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 (19/19 graded submissions)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Every submission was graded server-side; correct answers → “Correct – nice reasoning” + explanation; wrong answers → “Not yet – answer: X” + explanation + “Saved to Mistake Book”; progress counter (n/5 answers checked) updates correctly</w:t>
            </w:r>
          </w:p>
        </w:tc>
      </w:tr>
    </w:tbl>
    <w:p>
      <w:pPr>
        <w:pStyle w:val="Heading2"/>
      </w:pPr>
      <w:r>
        <w:t xml:space="preserve">6.2 Unit-by-unit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1300"/>
        <w:gridCol w:w="1000"/>
        <w:gridCol w:w="1100"/>
        <w:gridCol w:w="1100"/>
      </w:tblGrid>
      <w:tr>
        <w:trPr>
          <w:tblHeader/>
        </w:trPr>
        <w:tc>
          <w:tcPr>
            <w:tcW w:type="dxa" w:w="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Unit</w:t>
            </w:r>
          </w:p>
        </w:tc>
        <w:tc>
          <w:tcPr>
            <w:tcW w:type="dxa" w:w="41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13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Item type</w:t>
            </w:r>
          </w:p>
        </w:tc>
        <w:tc>
          <w:tcPr>
            <w:tcW w:type="dxa" w:w="1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OBJ-1</w:t>
            </w:r>
          </w:p>
        </w:tc>
        <w:tc>
          <w:tcPr>
            <w:tcW w:type="dxa" w:w="11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OBJ-2</w:t>
            </w:r>
          </w:p>
        </w:tc>
        <w:tc>
          <w:tcPr>
            <w:tcW w:type="dxa" w:w="11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OBJ-3</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Operations &amp; Algebraic Thinking: Add Subtract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Fill-in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Number &amp; Operations in Base Ten: Place Value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MC (4)</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Measurement &amp; Data: Measure Data</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Fill-in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Geometry: Shape Reasoning</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Fill-in</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Picture Join Stories to Ten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MC (4)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Picture Story Addition Equations</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MC (4)</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Cube-Train Join Models to Ten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MC (4)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Join Stories Within Ten</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MC (4)</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Model-and-Equation Join Stories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MC (4)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Equation Match for Join Stories</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MC (4)</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Picture Take-Away Stories to Ten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Fill-in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Picture Story Subtraction Equations</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Fill-in</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13</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Cube-Train Take-Away Models to Ten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Fill-in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Take-Away Stories Within Ten</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Fill-in</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Model-and-Equation Take-Away Stories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Fill-in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Pass</w:t>
            </w:r>
          </w:p>
        </w:tc>
      </w:tr>
      <w:tr>
        <w:trPr>
          <w:tblHeader w:val="false"/>
        </w:trPr>
        <w:tc>
          <w:tcPr>
            <w:tcW w:type="dxa" w:w="7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16</w:t>
            </w:r>
          </w:p>
        </w:tc>
        <w:tc>
          <w:tcPr>
            <w:tcW w:type="dxa" w:w="4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Break-Apart Subtraction Equations</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Fill-in</w:t>
            </w:r>
          </w:p>
        </w:tc>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c>
          <w:tcPr>
            <w:tcW w:type="dxa" w:w="1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Pass</w:t>
            </w:r>
          </w:p>
        </w:tc>
      </w:tr>
    </w:tbl>
    <w:p>
      <w:pPr>
        <w:pStyle w:val="Heading2"/>
      </w:pPr>
      <w:r>
        <w:t xml:space="preserve">6.3 Sample evidence (verbatim)</w:t>
      </w:r>
    </w:p>
    <w:p>
      <w:pPr>
        <w:pStyle w:val="ListParagraph"/>
        <w:numPr>
          <w:ilvl w:val="0"/>
          <w:numId w:val="2"/>
        </w:numPr>
        <w:spacing w:after="60"/>
      </w:pPr>
      <w:r>
        <w:rPr>
          <w:rFonts w:ascii="Arial" w:cs="Arial" w:eastAsia="Arial" w:hAnsi="Arial"/>
          <w:sz w:val="22"/>
          <w:szCs w:val="22"/>
        </w:rPr>
        <w:t xml:space="preserve">Worked example (U1): “Lena has 7 stickers and gets 4 more. How many stickers does Lena have now?” → reveal: “Answer: 11. Reasoning: 7 + 4 = 11 … The equation 11 = 7 + 4 is also true because both sides have the same value.”</w:t>
      </w:r>
    </w:p>
    <w:p>
      <w:pPr>
        <w:pStyle w:val="ListParagraph"/>
        <w:numPr>
          <w:ilvl w:val="0"/>
          <w:numId w:val="2"/>
        </w:numPr>
        <w:spacing w:after="60"/>
      </w:pPr>
      <w:r>
        <w:rPr>
          <w:rFonts w:ascii="Arial" w:cs="Arial" w:eastAsia="Arial" w:hAnsi="Arial"/>
          <w:sz w:val="22"/>
          <w:szCs w:val="22"/>
        </w:rPr>
        <w:t xml:space="preserve">Correct path (U1 Q1): submitted 10 for “there are 15 cards. 5 are moved away. How many cards are left?” → “Correct – nice reasoning. Subtract the part that moved away: 15 − 5 = 10.”</w:t>
      </w:r>
    </w:p>
    <w:p>
      <w:pPr>
        <w:pStyle w:val="ListParagraph"/>
        <w:numPr>
          <w:ilvl w:val="0"/>
          <w:numId w:val="2"/>
        </w:numPr>
        <w:spacing w:after="60"/>
      </w:pPr>
      <w:r>
        <w:rPr>
          <w:rFonts w:ascii="Arial" w:cs="Arial" w:eastAsia="Arial" w:hAnsi="Arial"/>
          <w:sz w:val="22"/>
          <w:szCs w:val="22"/>
        </w:rPr>
        <w:t xml:space="preserve">Wrong path (U1 Q1 re-check): submitted 5 → “Not yet – answer: 10. Subtract the part that moved away: 15 − 5 = 10. Saved to Mistake Book.”</w:t>
      </w:r>
    </w:p>
    <w:p>
      <w:pPr>
        <w:pStyle w:val="ListParagraph"/>
        <w:numPr>
          <w:ilvl w:val="0"/>
          <w:numId w:val="2"/>
        </w:numPr>
        <w:spacing w:after="60"/>
      </w:pPr>
      <w:r>
        <w:rPr>
          <w:rFonts w:ascii="Arial" w:cs="Arial" w:eastAsia="Arial" w:hAnsi="Arial"/>
          <w:sz w:val="22"/>
          <w:szCs w:val="22"/>
        </w:rPr>
        <w:t xml:space="preserve">Wrong path with worded answer (U3): submitted 0 → “Not yet – answer: 3 more apples. 5 − 2 = 3, so 3 more apples. Saved to Mistake Book.”</w:t>
      </w:r>
    </w:p>
    <w:p>
      <w:pPr>
        <w:pStyle w:val="ListParagraph"/>
        <w:numPr>
          <w:ilvl w:val="0"/>
          <w:numId w:val="2"/>
        </w:numPr>
        <w:spacing w:after="60"/>
      </w:pPr>
      <w:r>
        <w:rPr>
          <w:rFonts w:ascii="Arial" w:cs="Arial" w:eastAsia="Arial" w:hAnsi="Arial"/>
          <w:sz w:val="22"/>
          <w:szCs w:val="22"/>
        </w:rPr>
        <w:t xml:space="preserve">Choice item (U2): “what number has 2 tens and 1 one?” options 20/21/22/23 → picked 21 → “Correct – nice reasoning. 2 tens and 1 one make 21.”</w:t>
      </w:r>
    </w:p>
    <w:p>
      <w:pPr>
        <w:pStyle w:val="ListParagraph"/>
        <w:numPr>
          <w:ilvl w:val="0"/>
          <w:numId w:val="2"/>
        </w:numPr>
        <w:spacing w:after="60"/>
      </w:pPr>
      <w:r>
        <w:rPr>
          <w:rFonts w:ascii="Arial" w:cs="Arial" w:eastAsia="Arial" w:hAnsi="Arial"/>
          <w:sz w:val="22"/>
          <w:szCs w:val="22"/>
        </w:rPr>
        <w:t xml:space="preserve">Concept explanation quality (U16): subtraction as a hidden-part story, “like lifting a flap on the picture” — clear, concrete imagery suitable for early readers.</w:t>
      </w:r>
    </w:p>
    <w:p>
      <w:pPr>
        <w:pStyle w:val="Heading1"/>
      </w:pPr>
      <w:r>
        <w:t xml:space="preserve">7. Findings (Defect Log)</w:t>
      </w:r>
    </w:p>
    <w:p>
      <w:pPr>
        <w:spacing w:after="120"/>
      </w:pPr>
      <w:r>
        <w:rPr>
          <w:rFonts w:ascii="Arial" w:cs="Arial" w:eastAsia="Arial" w:hAnsi="Arial"/>
          <w:sz w:val="22"/>
          <w:szCs w:val="22"/>
        </w:rPr>
        <w:t xml:space="preserve">Severity scale: Critical = blocks core use/scope; High = major reliability or trust risk; Medium = functional defect with workaround; Low = polish/UX/performance.</w:t>
      </w:r>
    </w:p>
    <w:p>
      <w:pPr>
        <w:pStyle w:val="Heading3"/>
      </w:pPr>
      <w:r>
        <w:t xml:space="preserve">DEF-001 — [Critical] Grade access: K and G2–G5 unreachable by students (Open)</w:t>
      </w:r>
    </w:p>
    <w:p>
      <w:pPr>
        <w:spacing w:after="120"/>
      </w:pPr>
      <w:r>
        <w:rPr>
          <w:rFonts w:ascii="Arial" w:cs="Arial" w:eastAsia="Arial" w:hAnsi="Arial"/>
          <w:sz w:val="22"/>
          <w:szCs w:val="22"/>
        </w:rPr>
        <w:t xml:space="preserve">The login form's Grade selector is ignored for existing accounts (login as Student Jon with “Kindergarten” selected still opens Grade 1). Dashboard grade chips (K, G2–G12) are rendered but disabled for both student accounts. Direct navigation to another grade's lesson URL silently redirects to the account's active grade (G1). Net effect: no provided student account can open Kindergarten or Grade 2–5 content, so those grades cannot be learned or QA-verified from the student experience. CONFIRMED by controlled re-test (08:35): fresh form login performed with credentials typed by the account owner, Course = California Math Practice Beta, Grade = Kindergarten explicitly selected → dashboard still opened “California Math Practice Beta · G1”, and all 13 grade chips remained disabled=true in the DOM. Reproducible 2/2 attempts.</w:t>
      </w:r>
    </w:p>
    <w:p>
      <w:pPr>
        <w:pStyle w:val="Heading3"/>
      </w:pPr>
      <w:r>
        <w:t xml:space="preserve">DEF-002 — [High] Session instability: identity switching and silent expiry (Open)</w:t>
      </w:r>
    </w:p>
    <w:p>
      <w:pPr>
        <w:spacing w:after="120"/>
      </w:pPr>
      <w:r>
        <w:rPr>
          <w:rFonts w:ascii="Arial" w:cs="Arial" w:eastAsia="Arial" w:hAnsi="Arial"/>
          <w:sz w:val="22"/>
          <w:szCs w:val="22"/>
        </w:rPr>
        <w:t xml:space="preserve">(a) Sessions expired repeatedly mid-lesson (observed at ~1–10 min), redirecting to /login?next=… with no warning; in-page answer grading kept succeeding after the routing session died (inconsistent auth state). (b) Signed-in identity changed spontaneously across full page loads without user action: observed Teacher Scott → Student Shirleen → Teacher Scott → Teacher Rhi. Login page simultaneously displayed “Signed in as Teacher Rhi” while the nav showed a different account on other pages. Suggests shared/rotating demo sessions or cookie scope bugs; would be severe if reproducible for real accounts.</w:t>
      </w:r>
    </w:p>
    <w:p>
      <w:pPr>
        <w:pStyle w:val="Heading3"/>
      </w:pPr>
      <w:r>
        <w:t xml:space="preserve">DEF-003 — [Medium] Example-account quick login ignores ?next= redirect (Open)</w:t>
      </w:r>
    </w:p>
    <w:p>
      <w:pPr>
        <w:spacing w:after="120"/>
      </w:pPr>
      <w:r>
        <w:rPr>
          <w:rFonts w:ascii="Arial" w:cs="Arial" w:eastAsia="Arial" w:hAnsi="Arial"/>
          <w:sz w:val="22"/>
          <w:szCs w:val="22"/>
        </w:rPr>
        <w:t xml:space="preserve">After being bounced to /login?next=%2Fstudent%2Flessons%2F…, clicking an Example-account button logs in but stays on /login instead of returning to the interrupted lesson. Students lose their place.</w:t>
      </w:r>
    </w:p>
    <w:p>
      <w:pPr>
        <w:pStyle w:val="Heading3"/>
      </w:pPr>
      <w:r>
        <w:t xml:space="preserve">DEF-004 — [Medium] Inconsistent invalid-lesson-slug handling; internal jargon in student-facing error (Open)</w:t>
      </w:r>
    </w:p>
    <w:p>
      <w:pPr>
        <w:spacing w:after="120"/>
      </w:pPr>
      <w:r>
        <w:rPr>
          <w:rFonts w:ascii="Arial" w:cs="Arial" w:eastAsia="Arial" w:hAnsi="Arial"/>
          <w:sz w:val="22"/>
          <w:szCs w:val="22"/>
        </w:rPr>
        <w:t xml:space="preserve">One invalid slug produced the error page “Lesson not found — This lesson slug is not available in the backend lesson table” (internal database wording shown to students). A different invalid slug silently redirected to Unit 1 of the active grade with no message. Behavior should be consistent and child-friendly.</w:t>
      </w:r>
    </w:p>
    <w:p>
      <w:pPr>
        <w:pStyle w:val="Heading3"/>
      </w:pPr>
      <w:r>
        <w:t xml:space="preserve">DEF-005 — [Medium] Dashboard hangs on “Loading secure workspace” (Open)</w:t>
      </w:r>
    </w:p>
    <w:p>
      <w:pPr>
        <w:spacing w:after="120"/>
      </w:pPr>
      <w:r>
        <w:rPr>
          <w:rFonts w:ascii="Arial" w:cs="Arial" w:eastAsia="Arial" w:hAnsi="Arial"/>
          <w:sz w:val="22"/>
          <w:szCs w:val="22"/>
        </w:rPr>
        <w:t xml:space="preserve">After login as Student Jon, /dashboard remained on “Loading secure workspace” for 25+ seconds on one attempt (unrecovered until re-navigation) and ~28 seconds on a second attempt before content appeared. First lesson loads also took 5–15 s (“Opening lesson…”).</w:t>
      </w:r>
    </w:p>
    <w:p>
      <w:pPr>
        <w:pStyle w:val="Heading3"/>
      </w:pPr>
      <w:r>
        <w:t xml:space="preserve">DEF-006 — [Low] Login form defaults and naming inconsistencies (Open)</w:t>
      </w:r>
    </w:p>
    <w:p>
      <w:pPr>
        <w:spacing w:after="120"/>
      </w:pPr>
      <w:r>
        <w:rPr>
          <w:rFonts w:ascii="Arial" w:cs="Arial" w:eastAsia="Arial" w:hAnsi="Arial"/>
          <w:sz w:val="22"/>
          <w:szCs w:val="22"/>
        </w:rPr>
        <w:t xml:space="preserve">Login form defaults to PEP Mathematics / S4 with browser-autofilled teacher credentials even in a California context; after selecting the CA course the Grade list correctly shows Kindergarten–Grade 12, but example-account prefill was observed combining “California Math Practice Beta” with “Grade 10” for a G1 student. Grade naming also mixes HK/Mainland conventions (P1/S4) with US naming (K/G1–G12) depending on course selection, and the underlying option values remain P1–S6.</w:t>
      </w:r>
    </w:p>
    <w:p>
      <w:pPr>
        <w:pStyle w:val="Heading3"/>
      </w:pPr>
      <w:r>
        <w:t xml:space="preserve">DEF-007 — [Low] Correct-answer feedback auto-advances and is easy to miss (Open)</w:t>
      </w:r>
    </w:p>
    <w:p>
      <w:pPr>
        <w:spacing w:after="120"/>
      </w:pPr>
      <w:r>
        <w:rPr>
          <w:rFonts w:ascii="Arial" w:cs="Arial" w:eastAsia="Arial" w:hAnsi="Arial"/>
          <w:sz w:val="22"/>
          <w:szCs w:val="22"/>
        </w:rPr>
        <w:t xml:space="preserve">After “Check Answer” returns a correct verdict, the practice carousel advances to the next question automatically; the green “Correct – nice reasoning” feedback plus explanation is only visible by navigating back with “&lt; Previous”. Young learners may never see positive reinforcement or the explanation.</w:t>
      </w:r>
    </w:p>
    <w:p>
      <w:pPr>
        <w:pStyle w:val="Heading3"/>
      </w:pPr>
      <w:r>
        <w:t xml:space="preserve">DEF-008 — [Low] Checked answers remain editable and re-gradable (history overwrite) (Open)</w:t>
      </w:r>
    </w:p>
    <w:p>
      <w:pPr>
        <w:spacing w:after="120"/>
      </w:pPr>
      <w:r>
        <w:rPr>
          <w:rFonts w:ascii="Arial" w:cs="Arial" w:eastAsia="Arial" w:hAnsi="Arial"/>
          <w:sz w:val="22"/>
          <w:szCs w:val="22"/>
        </w:rPr>
        <w:t xml:space="preserve">A question already graded correct can be re-answered and re-checked; the new verdict overwrites the old one (observed: U1 Q1 graded correct with 10, then re-submitted 5 and re-graded “Not yet”). Progress counter did not increment twice (good), but attempt history is mutable, which weakens mastery data and Mistake Book integrity.</w:t>
      </w:r>
    </w:p>
    <w:p>
      <w:pPr>
        <w:pStyle w:val="Heading3"/>
      </w:pPr>
      <w:r>
        <w:t xml:space="preserve">DEF-009 — [Low] AI grading latency without progress indication (Open)</w:t>
      </w:r>
    </w:p>
    <w:p>
      <w:pPr>
        <w:spacing w:after="120"/>
      </w:pPr>
      <w:r>
        <w:rPr>
          <w:rFonts w:ascii="Arial" w:cs="Arial" w:eastAsia="Arial" w:hAnsi="Arial"/>
          <w:sz w:val="22"/>
          <w:szCs w:val="22"/>
        </w:rPr>
        <w:t xml:space="preserve">Each “Check Answer” takes ~3–8 s showing only a “Checking…” button label. Acceptable, but a progress affordance (spinner/skeleton, disable Reset during grading) would help K–2 users.</w:t>
      </w:r>
    </w:p>
    <w:p>
      <w:pPr>
        <w:pStyle w:val="Heading2"/>
      </w:pPr>
      <w:r>
        <w:t xml:space="preserve">Observations (non-defect)</w:t>
      </w:r>
    </w:p>
    <w:p>
      <w:pPr>
        <w:pStyle w:val="ListParagraph"/>
        <w:numPr>
          <w:ilvl w:val="0"/>
          <w:numId w:val="2"/>
        </w:numPr>
        <w:spacing w:after="60"/>
      </w:pPr>
      <w:r>
        <w:rPr>
          <w:rFonts w:ascii="Arial" w:cs="Arial" w:eastAsia="Arial" w:hAnsi="Arial"/>
          <w:sz w:val="22"/>
          <w:szCs w:val="22"/>
        </w:rPr>
        <w:t xml:space="preserve">Practice question stems reuse fixed scenario templates across all units (“On a warm-up card…”, “On a math notebook page, use a quick check strategy…”, “During partner practice…”, “On a classroom mat…”, “At a learning station…”). Consistency aids predictability, but wording is verbose for Grade 1 independent reading; the same scaffold text also appears in grades where it may not fit.</w:t>
      </w:r>
    </w:p>
    <w:p>
      <w:pPr>
        <w:pStyle w:val="ListParagraph"/>
        <w:numPr>
          <w:ilvl w:val="0"/>
          <w:numId w:val="2"/>
        </w:numPr>
        <w:spacing w:after="60"/>
      </w:pPr>
      <w:r>
        <w:rPr>
          <w:rFonts w:ascii="Arial" w:cs="Arial" w:eastAsia="Arial" w:hAnsi="Arial"/>
          <w:sz w:val="22"/>
          <w:szCs w:val="22"/>
        </w:rPr>
        <w:t xml:space="preserve">UI theme (dark/light) flips when switching accounts — cosmetic, but jarring during account changes.</w:t>
      </w:r>
    </w:p>
    <w:p>
      <w:pPr>
        <w:pStyle w:val="ListParagraph"/>
        <w:numPr>
          <w:ilvl w:val="0"/>
          <w:numId w:val="2"/>
        </w:numPr>
        <w:spacing w:after="60"/>
      </w:pPr>
      <w:r>
        <w:rPr>
          <w:rFonts w:ascii="Arial" w:cs="Arial" w:eastAsia="Arial" w:hAnsi="Arial"/>
          <w:sz w:val="22"/>
          <w:szCs w:val="22"/>
        </w:rPr>
        <w:t xml:space="preserve">Fill-in expected answers sometimes include units/words (e.g. “3 more apples”); the AI grader judged bare-number answers appropriately in sampled cases, but tolerance rules should be documented.</w:t>
      </w:r>
    </w:p>
    <w:p>
      <w:pPr>
        <w:pStyle w:val="ListParagraph"/>
        <w:numPr>
          <w:ilvl w:val="0"/>
          <w:numId w:val="2"/>
        </w:numPr>
        <w:spacing w:after="60"/>
      </w:pPr>
      <w:r>
        <w:rPr>
          <w:rFonts w:ascii="Arial" w:cs="Arial" w:eastAsia="Arial" w:hAnsi="Arial"/>
          <w:sz w:val="22"/>
          <w:szCs w:val="22"/>
        </w:rPr>
        <w:t xml:space="preserve">Positive observations: every sampled unit includes an AI audio guide with speed control, an illustrated worked example (e.g. sticker/star panels) with a “Think and Check the Answer” reveal (answer + reasoning), an Interactive lab visualization (number-line models with sliders), a per-question math keyboard, a handwriting board, photo upload, Jump navigation, “Check all answers”, and a Mistake Book that captures wrong attempts with the correct answer and explanation. Feedback tone is warm and age-appropriate (“Correct – nice reasoning”, “Not yet – answer: 10”).</w:t>
      </w:r>
    </w:p>
    <w:p>
      <w:pPr>
        <w:pStyle w:val="Heading1"/>
      </w:pPr>
      <w:r>
        <w:t xml:space="preserve">8. Risks and Limitations of This Test</w:t>
      </w:r>
    </w:p>
    <w:p>
      <w:pPr>
        <w:pStyle w:val="ListParagraph"/>
        <w:numPr>
          <w:ilvl w:val="0"/>
          <w:numId w:val="2"/>
        </w:numPr>
        <w:spacing w:after="60"/>
      </w:pPr>
      <w:r>
        <w:rPr>
          <w:rFonts w:ascii="Arial" w:cs="Arial" w:eastAsia="Arial" w:hAnsi="Arial"/>
          <w:sz w:val="22"/>
          <w:szCs w:val="22"/>
        </w:rPr>
        <w:t xml:space="preserve">K and G2–G5 content was never rendered for any student account during this window; its existence and quality are unverified (the K-12 account title implies availability, but the UI provides no path).</w:t>
      </w:r>
    </w:p>
    <w:p>
      <w:pPr>
        <w:pStyle w:val="ListParagraph"/>
        <w:numPr>
          <w:ilvl w:val="0"/>
          <w:numId w:val="2"/>
        </w:numPr>
        <w:spacing w:after="60"/>
      </w:pPr>
      <w:r>
        <w:rPr>
          <w:rFonts w:ascii="Arial" w:cs="Arial" w:eastAsia="Arial" w:hAnsi="Arial"/>
          <w:sz w:val="22"/>
          <w:szCs w:val="22"/>
        </w:rPr>
        <w:t xml:space="preserve">Because demo sessions collide/rotate (DEF-002), some anomalies (identity flips) may stem from shared public demo accounts rather than the auth stack itself; reproduce with isolated accounts to confirm.</w:t>
      </w:r>
    </w:p>
    <w:p>
      <w:pPr>
        <w:pStyle w:val="ListParagraph"/>
        <w:numPr>
          <w:ilvl w:val="0"/>
          <w:numId w:val="2"/>
        </w:numPr>
        <w:spacing w:after="60"/>
      </w:pPr>
      <w:r>
        <w:rPr>
          <w:rFonts w:ascii="Arial" w:cs="Arial" w:eastAsia="Arial" w:hAnsi="Arial"/>
          <w:sz w:val="22"/>
          <w:szCs w:val="22"/>
        </w:rPr>
        <w:t xml:space="preserve">AI grading was sampled (19 submissions), not exhaustively fuzzed; tolerance to formats (units, words, equivalent forms) needs a dedicated pass.</w:t>
      </w:r>
    </w:p>
    <w:p>
      <w:pPr>
        <w:pStyle w:val="ListParagraph"/>
        <w:numPr>
          <w:ilvl w:val="0"/>
          <w:numId w:val="2"/>
        </w:numPr>
        <w:spacing w:after="60"/>
      </w:pPr>
      <w:r>
        <w:rPr>
          <w:rFonts w:ascii="Arial" w:cs="Arial" w:eastAsia="Arial" w:hAnsi="Arial"/>
          <w:sz w:val="22"/>
          <w:szCs w:val="22"/>
        </w:rPr>
        <w:t xml:space="preserve">Testing was conducted on production with a public demo account; other visitors' concurrent activity may have influenced progress counters.</w:t>
      </w:r>
    </w:p>
    <w:p>
      <w:pPr>
        <w:pStyle w:val="Heading1"/>
      </w:pPr>
      <w:r>
        <w:t xml:space="preserve">9. Recommendations</w:t>
      </w:r>
    </w:p>
    <w:p>
      <w:pPr>
        <w:pStyle w:val="ListParagraph"/>
        <w:numPr>
          <w:ilvl w:val="0"/>
          <w:numId w:val="2"/>
        </w:numPr>
        <w:spacing w:after="60"/>
      </w:pPr>
      <w:r>
        <w:rPr>
          <w:rFonts w:ascii="Arial" w:cs="Arial" w:eastAsia="Arial" w:hAnsi="Arial"/>
          <w:sz w:val="22"/>
          <w:szCs w:val="22"/>
        </w:rPr>
        <w:t xml:space="preserve">Fix DEF-001 first: honor the Grade selection at login for existing accounts (or enable the dashboard grade chips for the K-12 account), then rerun this exact protocol for K and G2–G5. The G1 pass took under an hour fully automated once access existed.</w:t>
      </w:r>
    </w:p>
    <w:p>
      <w:pPr>
        <w:pStyle w:val="ListParagraph"/>
        <w:numPr>
          <w:ilvl w:val="0"/>
          <w:numId w:val="2"/>
        </w:numPr>
        <w:spacing w:after="60"/>
      </w:pPr>
      <w:r>
        <w:rPr>
          <w:rFonts w:ascii="Arial" w:cs="Arial" w:eastAsia="Arial" w:hAnsi="Arial"/>
          <w:sz w:val="22"/>
          <w:szCs w:val="22"/>
        </w:rPr>
        <w:t xml:space="preserve">Stabilize sessions (DEF-002): scope cookies per account, extend TTL or add silent refresh, and warn before expiry inside lessons; make the example-login honor ?next= (DEF-003).</w:t>
      </w:r>
    </w:p>
    <w:p>
      <w:pPr>
        <w:pStyle w:val="ListParagraph"/>
        <w:numPr>
          <w:ilvl w:val="0"/>
          <w:numId w:val="2"/>
        </w:numPr>
        <w:spacing w:after="60"/>
      </w:pPr>
      <w:r>
        <w:rPr>
          <w:rFonts w:ascii="Arial" w:cs="Arial" w:eastAsia="Arial" w:hAnsi="Arial"/>
          <w:sz w:val="22"/>
          <w:szCs w:val="22"/>
        </w:rPr>
        <w:t xml:space="preserve">Unify invalid-slug handling (DEF-004): consistent child-friendly “Lesson not found” page; remove internal wording (“backend lesson table”).</w:t>
      </w:r>
    </w:p>
    <w:p>
      <w:pPr>
        <w:pStyle w:val="ListParagraph"/>
        <w:numPr>
          <w:ilvl w:val="0"/>
          <w:numId w:val="2"/>
        </w:numPr>
        <w:spacing w:after="60"/>
      </w:pPr>
      <w:r>
        <w:rPr>
          <w:rFonts w:ascii="Arial" w:cs="Arial" w:eastAsia="Arial" w:hAnsi="Arial"/>
          <w:sz w:val="22"/>
          <w:szCs w:val="22"/>
        </w:rPr>
        <w:t xml:space="preserve">Keep feedback visible after correct answers (DEF-007): delay auto-advance or show a persistent per-question result strip.</w:t>
      </w:r>
    </w:p>
    <w:p>
      <w:pPr>
        <w:pStyle w:val="ListParagraph"/>
        <w:numPr>
          <w:ilvl w:val="0"/>
          <w:numId w:val="2"/>
        </w:numPr>
        <w:spacing w:after="60"/>
      </w:pPr>
      <w:r>
        <w:rPr>
          <w:rFonts w:ascii="Arial" w:cs="Arial" w:eastAsia="Arial" w:hAnsi="Arial"/>
          <w:sz w:val="22"/>
          <w:szCs w:val="22"/>
        </w:rPr>
        <w:t xml:space="preserve">Lock graded items or record attempt history immutably (DEF-008); show grading progress and disable Reset during “Checking…” (DEF-009).</w:t>
      </w:r>
    </w:p>
    <w:p>
      <w:pPr>
        <w:pStyle w:val="ListParagraph"/>
        <w:numPr>
          <w:ilvl w:val="0"/>
          <w:numId w:val="2"/>
        </w:numPr>
        <w:spacing w:after="60"/>
      </w:pPr>
      <w:r>
        <w:rPr>
          <w:rFonts w:ascii="Arial" w:cs="Arial" w:eastAsia="Arial" w:hAnsi="Arial"/>
          <w:sz w:val="22"/>
          <w:szCs w:val="22"/>
        </w:rPr>
        <w:t xml:space="preserve">Content polish: vary practice scenario templates across units and simplify stem wording for K–1 independent reading; document AI-grader answer-format tolerance.</w:t>
      </w:r>
    </w:p>
    <w:p>
      <w:pPr>
        <w:pStyle w:val="Heading1"/>
      </w:pPr>
      <w:r>
        <w:t xml:space="preserve">10. Conclusion</w:t>
      </w:r>
    </w:p>
    <w:p>
      <w:pPr>
        <w:spacing w:after="120"/>
      </w:pPr>
      <w:r>
        <w:rPr>
          <w:rFonts w:ascii="Arial" w:cs="Arial" w:eastAsia="Arial" w:hAnsi="Arial"/>
          <w:sz w:val="22"/>
          <w:szCs w:val="22"/>
        </w:rPr>
        <w:t xml:space="preserve">Within the reachable scope (Grade 1, 16/16 units), the California Math curriculum on MAIS meets all three commissioned checks: worked examples are understandable and complete with revealed answers and reasoning; lesson practices are understandable and well-scaffolded; and every practice item sampled has an official answer with working server-side checking on both correct and incorrect submissions. The K–5 engagement cannot be closed out: Kindergarten and Grades 2–5 are unreachable from the student experience (DEF-001, Critical), and session instability (DEF-002, High) undermines the learning flow. Both must be resolved, after which the remaining five grades can be verified with the same automated protocol.</w:t>
      </w:r>
    </w:p>
    <w:p>
      <w:r>
        <w:br w:type="page"/>
      </w:r>
    </w:p>
    <w:p>
      <w:pPr>
        <w:pStyle w:val="Heading1"/>
      </w:pPr>
      <w:r>
        <w:t xml:space="preserve">Appendix A. Session Timeline (Evidence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Time (UTC+8)</w:t>
            </w:r>
          </w:p>
        </w:tc>
        <w:tc>
          <w:tcPr>
            <w:tcW w:type="dxa" w:w="77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Event</w:t>
            </w:r>
          </w:p>
        </w:tc>
      </w:tr>
      <w:tr>
        <w:trPr>
          <w:tblHeader w:val="false"/>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07:04</w:t>
            </w:r>
          </w:p>
        </w:tc>
        <w:tc>
          <w:tcPr>
            <w:tcW w:type="dxa" w:w="7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Clicked “Log In” on homepage → already authenticated as Teacher Scott (stale session). Logged out.</w:t>
            </w:r>
          </w:p>
        </w:tc>
      </w:tr>
      <w:tr>
        <w:trPr>
          <w:tblHeader w:val="false"/>
        </w:trP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07:05</w:t>
            </w:r>
          </w:p>
        </w:tc>
        <w:tc>
          <w:tcPr>
            <w:tcW w:type="dxa" w:w="7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Example-account login as Student Shirleen → dashboard, course “California Math Practice Beta · G1”.</w:t>
            </w:r>
          </w:p>
        </w:tc>
      </w:tr>
      <w:tr>
        <w:trPr>
          <w:tblHeader w:val="false"/>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07:06–07:14</w:t>
            </w:r>
          </w:p>
        </w:tc>
        <w:tc>
          <w:tcPr>
            <w:tcW w:type="dxa" w:w="7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G1 Units 1–4 QA'd via lesson page. U1 Q1 graded Correct (15−5=10); wrong-answer probe returned “Not yet – answer: 10” + explanation + “Saved to Mistake Book”.</w:t>
            </w:r>
          </w:p>
        </w:tc>
      </w:tr>
      <w:tr>
        <w:trPr>
          <w:tblHeader w:val="false"/>
        </w:trP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07:15</w:t>
            </w:r>
          </w:p>
        </w:tc>
        <w:tc>
          <w:tcPr>
            <w:tcW w:type="dxa" w:w="7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Unit 5 sidebar click → redirected to /login?next=… (session expired mid-lesson, ~10 min). Login page prefill showed “Teacher Scott”.</w:t>
            </w:r>
          </w:p>
        </w:tc>
      </w:tr>
      <w:tr>
        <w:trPr>
          <w:tblHeader w:val="false"/>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07:16</w:t>
            </w:r>
          </w:p>
        </w:tc>
        <w:tc>
          <w:tcPr>
            <w:tcW w:type="dxa" w:w="7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Re-login (Shirleen); direct URL to Unit 5 loaded; U5–U8 QA'd.</w:t>
            </w:r>
          </w:p>
        </w:tc>
      </w:tr>
      <w:tr>
        <w:trPr>
          <w:tblHeader w:val="false"/>
        </w:trP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07:25</w:t>
            </w:r>
          </w:p>
        </w:tc>
        <w:tc>
          <w:tcPr>
            <w:tcW w:type="dxa" w:w="7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Full reload during U9 slug test landed on Unit 1 (silent invalid-slug redirect, DEF-004); a second invalid slug earlier showed “backend lesson table” error.</w:t>
            </w:r>
          </w:p>
        </w:tc>
      </w:tr>
      <w:tr>
        <w:trPr>
          <w:tblHeader w:val="false"/>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07:28</w:t>
            </w:r>
          </w:p>
        </w:tc>
        <w:tc>
          <w:tcPr>
            <w:tcW w:type="dxa" w:w="7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Login page spontaneously showed “Signed in as Teacher Rhi” (never logged into Rhi in this session) — DEF-002(b).</w:t>
            </w:r>
          </w:p>
        </w:tc>
      </w:tr>
      <w:tr>
        <w:trPr>
          <w:tblHeader w:val="false"/>
        </w:trP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07:30–07:40</w:t>
            </w:r>
          </w:p>
        </w:tc>
        <w:tc>
          <w:tcPr>
            <w:tcW w:type="dxa" w:w="7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Re-login; U9–U16 QA'd via in-app navigation (SPA); all checks graded server-side.</w:t>
            </w:r>
          </w:p>
        </w:tc>
      </w:tr>
      <w:tr>
        <w:trPr>
          <w:tblHeader w:val="false"/>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07:42</w:t>
            </w:r>
          </w:p>
        </w:tc>
        <w:tc>
          <w:tcPr>
            <w:tcW w:type="dxa" w:w="7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Switched to Student Jon (example button) → dashboard hung on “Loading secure workspace” 25+ s (DEF-005); session dropped again within ~1 min.</w:t>
            </w:r>
          </w:p>
        </w:tc>
      </w:tr>
      <w:tr>
        <w:trPr>
          <w:tblHeader w:val="false"/>
        </w:trP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07:45–07:50</w:t>
            </w:r>
          </w:p>
        </w:tc>
        <w:tc>
          <w:tcPr>
            <w:tcW w:type="dxa" w:w="7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Jon dashboard loaded on retry (~28 s): course pinned “· G1”; grade chips K/G2–G12 disabled=true in DOM (DEF-001). Direct URL to a G2 slug redirected to G1 Unit 1.</w:t>
            </w:r>
          </w:p>
        </w:tc>
      </w:tr>
      <w:tr>
        <w:trPr>
          <w:tblHeader w:val="false"/>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07:55–08:05</w:t>
            </w:r>
          </w:p>
        </w:tc>
        <w:tc>
          <w:tcPr>
            <w:tcW w:type="dxa" w:w="7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User-performed form login: Student Jon / CA course / Grade “Kindergarten” → account still opened G1 (grade selector ignored; DEF-001). Teacher console (Rhi) verified as class-management workspace, not a per-grade student content browser.</w:t>
            </w:r>
          </w:p>
        </w:tc>
      </w:tr>
      <w:tr>
        <w:trPr>
          <w:tblHeader w:val="false"/>
        </w:trPr>
        <w:tc>
          <w:tcPr>
            <w:tcW w:type="dxa" w:w="1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08:30–08:36</w:t>
            </w:r>
          </w:p>
        </w:tc>
        <w:tc>
          <w:tcPr>
            <w:tcW w:type="dxa" w:w="7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Controlled re-test of DEF-001 (user confirmed account name “Student Jon”; password typed by user; agent-verified form state: Student Jon / US_CA_MATH / Grade=K). Submitted → /dashboard again showed “California Math Practice Beta · G1”; all 13 grade chips disabled=true. DEF-001 confirmed reproducible (2/2).</w:t>
            </w:r>
          </w:p>
        </w:tc>
      </w:tr>
    </w:tbl>
    <w:p>
      <w:pPr>
        <w:pStyle w:val="Heading1"/>
      </w:pPr>
      <w:r>
        <w:t xml:space="preserve">Appendix B. Grade 1 Lesson Slugs (for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Unit</w:t>
            </w:r>
          </w:p>
        </w:tc>
        <w:tc>
          <w:tcPr>
            <w:tcW w:type="dxa" w:w="81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rFonts w:ascii="Arial" w:cs="Arial" w:eastAsia="Arial" w:hAnsi="Arial"/>
                <w:b/>
                <w:bCs/>
                <w:sz w:val="20"/>
                <w:szCs w:val="20"/>
              </w:rPr>
              <w:t xml:space="preserve">Slug (/student/lessons/…)</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us-ca-math-p1-1-oa-add-subtract</w:t>
            </w:r>
          </w:p>
        </w:tc>
      </w:tr>
      <w:tr>
        <w:trPr>
          <w:tblHeader w:val="false"/>
        </w:trP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8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us-ca-math-p1-1-nbt-place-value</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us-ca-math-p1-1-md-measure-data</w:t>
            </w:r>
          </w:p>
        </w:tc>
      </w:tr>
      <w:tr>
        <w:trPr>
          <w:tblHeader w:val="false"/>
        </w:trP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8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us-ca-math-p1-1-g-shape-reasoning</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us-ca-math-p1-1-h1-picture-join-stories-to-10</w:t>
            </w:r>
          </w:p>
        </w:tc>
      </w:tr>
      <w:tr>
        <w:trPr>
          <w:tblHeader w:val="false"/>
        </w:trP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8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us-ca-math-p1-1-h2-picture-story-addition-equations</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us-ca-math-p1-1-h3-cube-train-join-models-to-10</w:t>
            </w:r>
          </w:p>
        </w:tc>
      </w:tr>
      <w:tr>
        <w:trPr>
          <w:tblHeader w:val="false"/>
        </w:trP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8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us-ca-math-p1-1-h4-join-stories-within-10</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us-ca-math-p1-1-h5-model-equation-join-stories-to-10</w:t>
            </w:r>
          </w:p>
        </w:tc>
      </w:tr>
      <w:tr>
        <w:trPr>
          <w:tblHeader w:val="false"/>
        </w:trP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8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us-ca-math-p1-1-h6-equation-match-join-stories-to-10</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us-ca-math-p1-1-l1-picture-take-away-stories-to-10</w:t>
            </w:r>
          </w:p>
        </w:tc>
      </w:tr>
      <w:tr>
        <w:trPr>
          <w:tblHeader w:val="false"/>
        </w:trP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8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us-ca-math-p1-1-l2-picture-story-subtraction-equations</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13</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us-ca-math-p1-1-l3-cube-train-take-away-models-to-10</w:t>
            </w:r>
          </w:p>
        </w:tc>
      </w:tr>
      <w:tr>
        <w:trPr>
          <w:tblHeader w:val="false"/>
        </w:trP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8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us-ca-math-p1-1-l4-take-away-stories-within-10</w:t>
            </w:r>
          </w:p>
        </w:tc>
      </w:tr>
      <w:tr>
        <w:trPr>
          <w:tblHeader w:val="false"/>
        </w:trP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8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val="false"/>
                <w:bCs w:val="false"/>
                <w:sz w:val="20"/>
                <w:szCs w:val="20"/>
              </w:rPr>
              <w:t xml:space="preserve">us-ca-math-p1-1-l5-model-equation-take-away-stories-to-10</w:t>
            </w:r>
          </w:p>
        </w:tc>
      </w:tr>
      <w:tr>
        <w:trPr>
          <w:tblHeader w:val="false"/>
        </w:trPr>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16</w:t>
            </w:r>
          </w:p>
        </w:tc>
        <w:tc>
          <w:tcPr>
            <w:tcW w:type="dxa" w:w="8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us-ca-math-p1-1-l6-break-apart-subtraction-equations-to-10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pPr>
    <w:r>
      <w:rPr>
        <w:rFonts w:ascii="Arial" w:cs="Arial" w:eastAsia="Arial" w:hAnsi="Arial"/>
        <w:color w:val="666666"/>
        <w:sz w:val="16"/>
        <w:szCs w:val="16"/>
      </w:rPr>
      <w:t xml:space="preserve">MAIS · California Math K–5 · Content QA Report · 2026-07-09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2E2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2026-07-09T08:20:39.675Z</dcterms:created>
  <dcterms:modified xsi:type="dcterms:W3CDTF">2026-07-09T08:20:39.675Z</dcterms:modified>
</cp:coreProperties>
</file>

<file path=docProps/custom.xml><?xml version="1.0" encoding="utf-8"?>
<Properties xmlns="http://schemas.openxmlformats.org/officeDocument/2006/custom-properties" xmlns:vt="http://schemas.openxmlformats.org/officeDocument/2006/docPropsVTypes"/>
</file>