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Competitive Analysis — K-12 Math Platforms (Common Core Market)</w:t>
      </w:r>
    </w:p>
    <w:p>
      <w:pPr>
        <w:spacing w:after="120"/>
      </w:pPr>
      <w:r>
        <w:rPr>
          <w:color w:val="555555"/>
          <w:sz w:val="16"/>
          <w:szCs w:val="16"/>
        </w:rPr>
        <w:t xml:space="preserve">MAIS (mais.ac) vs. major adaptive/AI math learning platforms. ✅ = feature present · ❌ = not present · Not sure = unclear or insufficient public information. Based on vendor sites and reviews, researched July 10, 2026.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blHeader/>
        </w:trP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Platform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US-Curriculum Alignment (Common Core)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Chatbot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Agent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Adaptive Learning Algorithm(s)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Cognitive Adaptive Learning Algorithm(s)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Affective Adaptive Learning Algorithm(s)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Gamification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Game-based Learning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Visualization of Math Concepts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Animation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Include Elementary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Include Middle School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Include High School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MAIS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mais.ac — reference row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CENTURY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century.tech (UK)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Smart Sparrow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acquired by Pearson, 2020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DreamBox Math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Discovery Education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IXL Math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ixl.com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Khan Academy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with Khanmigo AI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KooBits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Singapore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Prodigy Math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prodigygame.com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 Math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MIND Education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ALEKS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McGraw Hill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i-Ready Math</w:t>
            </w:r>
          </w:p>
          <w:p>
            <w:r>
              <w:rPr>
                <w:i/>
                <w:iCs/>
                <w:color w:val="777777"/>
                <w:sz w:val="13"/>
                <w:szCs w:val="13"/>
              </w:rPr>
              <w:t xml:space="preserve">Curriculum Associates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Not sure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Definitions used</w:t>
      </w:r>
    </w:p>
    <w:p>
      <w:pPr>
        <w:spacing w:after="60"/>
      </w:pPr>
      <w:r>
        <w:rPr>
          <w:sz w:val="18"/>
          <w:szCs w:val="18"/>
        </w:rPr>
        <w:t xml:space="preserve">Adaptive: adjusts content/difficulty/path from learner performance.</w:t>
      </w:r>
    </w:p>
    <w:p>
      <w:pPr>
        <w:spacing w:after="60"/>
      </w:pPr>
      <w:r>
        <w:rPr>
          <w:sz w:val="18"/>
          <w:szCs w:val="18"/>
        </w:rPr>
        <w:t xml:space="preserve">Cognitive adaptive: adapts from a model of the learner’s knowledge/mastery state (e.g., knowledge tracing, Knowledge Space Theory).</w:t>
      </w:r>
    </w:p>
    <w:p>
      <w:pPr>
        <w:spacing w:after="60"/>
      </w:pPr>
      <w:r>
        <w:rPr>
          <w:sz w:val="18"/>
          <w:szCs w:val="18"/>
        </w:rPr>
        <w:t xml:space="preserve">Affective adaptive: adapts from the learner’s emotional/engagement state (frustration, boredom). No major competitor publicly ships this — a potential MAIS differentiator.</w:t>
      </w:r>
    </w:p>
    <w:p>
      <w:pPr>
        <w:spacing w:after="60"/>
      </w:pPr>
      <w:r>
        <w:rPr>
          <w:sz w:val="18"/>
          <w:szCs w:val="18"/>
        </w:rPr>
        <w:t xml:space="preserve">Gamification: points/badges/rewards layered on practice. Game-based learning: the learning activity itself is a game.</w:t>
      </w:r>
    </w:p>
    <w:p>
      <w:pPr>
        <w:pStyle w:val="Heading2"/>
      </w:pPr>
      <w:r>
        <w:t xml:space="preserve">Platform notes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MAIS (reference row): </w:t>
      </w:r>
      <w:r>
        <w:rPr>
          <w:sz w:val="18"/>
          <w:szCs w:val="18"/>
        </w:rPr>
        <w:t xml:space="preserve">Site (mais.ac) shows bilingual K-12 coverage (HK P1–S6), Nova Tutor, Personalized Learning, Visualization Lab, and XP-based practice. Please adjust this row to your current/planned feature set (e.g., Common Core mapping, agent, cognitive/affective adaptivity).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CENTURY: </w:t>
      </w:r>
      <w:r>
        <w:rPr>
          <w:sz w:val="18"/>
          <w:szCs w:val="18"/>
        </w:rPr>
        <w:t xml:space="preserve">AI + learning-science adaptive pathways; built for the UK national curriculum — no native Common Core alignment. Micro-lessons with videos; behaviour/engagement analytics inform teacher intervention, but no published emotion-adaptive algorithm.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Smart Sparrow: </w:t>
      </w:r>
      <w:r>
        <w:rPr>
          <w:sz w:val="18"/>
          <w:szCs w:val="18"/>
        </w:rPr>
        <w:t xml:space="preserve">Adaptive courseware authoring platform (rule-based adaptivity, rich simulations), mainly higher education. Technology acquired by Pearson in Jan 2020 and folded into Pearson’s platform; no longer a standalone K-12 competitor.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DreamBox Math: </w:t>
      </w:r>
      <w:r>
        <w:rPr>
          <w:sz w:val="18"/>
          <w:szCs w:val="18"/>
        </w:rPr>
        <w:t xml:space="preserve">K–8 only. Intelligent Adaptive Learning™ adjusts path in real time based on how students solve problems (strategy-aware); virtual manipulatives are a core strength; standards-aligned across all US states.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IXL Math: </w:t>
      </w:r>
      <w:r>
        <w:rPr>
          <w:sz w:val="18"/>
          <w:szCs w:val="18"/>
        </w:rPr>
        <w:t xml:space="preserve">Pre-K–12 practice aligned to Common Core and state standards; SmartScore + Real-Time Diagnostic adapt item and skill selection. Drill-oriented: light gamification (awards/certificates), little visual-model or animated instruction; no chatbot.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Khan Academy: </w:t>
      </w:r>
      <w:r>
        <w:rPr>
          <w:sz w:val="18"/>
          <w:szCs w:val="18"/>
        </w:rPr>
        <w:t xml:space="preserve">Common Core-mapped content, videos, mastery learning. Khanmigo (GPT-4-based) acts as both student tutor chatbot and teacher assistant (lesson planning, activities) — the closest to an ‘agent’ among competitors.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KooBits: </w:t>
      </w:r>
      <w:r>
        <w:rPr>
          <w:sz w:val="18"/>
          <w:szCs w:val="18"/>
        </w:rPr>
        <w:t xml:space="preserve">Primary math (ages ~6–12), Singapore MOE-first with other curricula supported; Common Core alignment not confirmed. AI diagnostic personalizes question difficulty; gamification is its defining feature; animated KooClass lessons.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Prodigy Math: </w:t>
      </w:r>
      <w:r>
        <w:rPr>
          <w:sz w:val="18"/>
          <w:szCs w:val="18"/>
        </w:rPr>
        <w:t xml:space="preserve">Free fantasy RPG covering grades 1–8; Common Core and state standards; adaptive engine pulls students back to prerequisite skills; in-game videos and manipulatives.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ST Math: </w:t>
      </w:r>
      <w:r>
        <w:rPr>
          <w:sz w:val="18"/>
          <w:szCs w:val="18"/>
        </w:rPr>
        <w:t xml:space="preserve">PreK–8 visual, game-based puzzles (JiJi) grounded in spatial-temporal neuroscience; Common Core aligned. Mastery-gated, self-paced progression rather than a fully adaptive algorithm.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ALEKS: </w:t>
      </w:r>
      <w:r>
        <w:rPr>
          <w:sz w:val="18"/>
          <w:szCs w:val="18"/>
        </w:rPr>
        <w:t xml:space="preserve">Grades 3–12 (plus new K–3 ALEKS Adventure, which is gamified/game-based). Knowledge Space Theory — the strongest cognitive-model adaptivity in the group; aligned to standards in all 50 states; minimal visuals/animation in core product.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i-Ready Math: </w:t>
      </w:r>
      <w:r>
        <w:rPr>
          <w:sz w:val="18"/>
          <w:szCs w:val="18"/>
        </w:rPr>
        <w:t xml:space="preserve">K–8 personalized instruction + K–12 adaptive diagnostic (i-Ready Inform), built for Common Core; animated lessons and learning games; high school is assessment-only, hence ‘Not sure’.</w:t>
      </w:r>
    </w:p>
    <w:p>
      <w:pPr>
        <w:pStyle w:val="Heading2"/>
      </w:pPr>
      <w:r>
        <w:t xml:space="preserve">Sources</w:t>
      </w:r>
    </w:p>
    <w:p>
      <w:pPr>
        <w:spacing w:after="40"/>
      </w:pPr>
      <w:r>
        <w:rPr>
          <w:sz w:val="16"/>
          <w:szCs w:val="16"/>
        </w:rPr>
        <w:t xml:space="preserve">MAIS — </w:t>
      </w:r>
      <w:hyperlink w:history="1" r:id="rId7wwnp9ik-uzya4r3txsne">
        <w:r>
          <w:rPr>
            <w:rStyle w:val="Hyperlink"/>
            <w:sz w:val="16"/>
            <w:szCs w:val="16"/>
          </w:rPr>
          <w:t xml:space="preserve">https://www.mais.ac</w:t>
        </w:r>
      </w:hyperlink>
    </w:p>
    <w:p>
      <w:pPr>
        <w:spacing w:after="40"/>
      </w:pPr>
      <w:r>
        <w:rPr>
          <w:sz w:val="16"/>
          <w:szCs w:val="16"/>
        </w:rPr>
        <w:t xml:space="preserve">CENTURY — </w:t>
      </w:r>
      <w:hyperlink w:history="1" r:id="rIds42tmrgd6f3orkld9dhmt">
        <w:r>
          <w:rPr>
            <w:rStyle w:val="Hyperlink"/>
            <w:sz w:val="16"/>
            <w:szCs w:val="16"/>
          </w:rPr>
          <w:t xml:space="preserve">https://www.century.tech/</w:t>
        </w:r>
      </w:hyperlink>
    </w:p>
    <w:p>
      <w:pPr>
        <w:spacing w:after="40"/>
      </w:pPr>
      <w:r>
        <w:rPr>
          <w:sz w:val="16"/>
          <w:szCs w:val="16"/>
        </w:rPr>
        <w:t xml:space="preserve">CENTURY review (2026) — </w:t>
      </w:r>
      <w:hyperlink w:history="1" r:id="rIdixb-7l0p9hol_miux22-t">
        <w:r>
          <w:rPr>
            <w:rStyle w:val="Hyperlink"/>
            <w:sz w:val="16"/>
            <w:szCs w:val="16"/>
          </w:rPr>
          <w:t xml:space="preserve">https://kidedtools.com/blog/century-tech-ai-personalized-learning-review-2026/</w:t>
        </w:r>
      </w:hyperlink>
    </w:p>
    <w:p>
      <w:pPr>
        <w:spacing w:after="40"/>
      </w:pPr>
      <w:r>
        <w:rPr>
          <w:sz w:val="16"/>
          <w:szCs w:val="16"/>
        </w:rPr>
        <w:t xml:space="preserve">Pearson × Smart Sparrow press release — </w:t>
      </w:r>
      <w:hyperlink w:history="1" r:id="rIdykqfdnbnayuyuimiid0vq">
        <w:r>
          <w:rPr>
            <w:rStyle w:val="Hyperlink"/>
            <w:sz w:val="16"/>
            <w:szCs w:val="16"/>
          </w:rPr>
          <w:t xml:space="preserve">https://plc.pearson.com/en-US/news/pearson-acquires-interactive-learning-technology-smart-sparrow</w:t>
        </w:r>
      </w:hyperlink>
    </w:p>
    <w:p>
      <w:pPr>
        <w:spacing w:after="40"/>
      </w:pPr>
      <w:r>
        <w:rPr>
          <w:sz w:val="16"/>
          <w:szCs w:val="16"/>
        </w:rPr>
        <w:t xml:space="preserve">DreamBox Math (Discovery Education) — </w:t>
      </w:r>
      <w:hyperlink w:history="1" r:id="rIdh0s2iex50iffu1c6zoio9">
        <w:r>
          <w:rPr>
            <w:rStyle w:val="Hyperlink"/>
            <w:sz w:val="16"/>
            <w:szCs w:val="16"/>
          </w:rPr>
          <w:t xml:space="preserve">https://www.discoveryeducation.com/solutions/math/dreambox-math/</w:t>
        </w:r>
      </w:hyperlink>
    </w:p>
    <w:p>
      <w:pPr>
        <w:spacing w:after="40"/>
      </w:pPr>
      <w:r>
        <w:rPr>
          <w:sz w:val="16"/>
          <w:szCs w:val="16"/>
        </w:rPr>
        <w:t xml:space="preserve">IXL Math — </w:t>
      </w:r>
      <w:hyperlink w:history="1" r:id="rIdz9q7qnjleqv9ap9uqtl6s">
        <w:r>
          <w:rPr>
            <w:rStyle w:val="Hyperlink"/>
            <w:sz w:val="16"/>
            <w:szCs w:val="16"/>
          </w:rPr>
          <w:t xml:space="preserve">https://www.ixl.com/math</w:t>
        </w:r>
      </w:hyperlink>
    </w:p>
    <w:p>
      <w:pPr>
        <w:spacing w:after="40"/>
      </w:pPr>
      <w:r>
        <w:rPr>
          <w:sz w:val="16"/>
          <w:szCs w:val="16"/>
        </w:rPr>
        <w:t xml:space="preserve">IXL overview (TeachThought) — </w:t>
      </w:r>
      <w:hyperlink w:history="1" r:id="rIdvudnir46sftxmwmr3fobx">
        <w:r>
          <w:rPr>
            <w:rStyle w:val="Hyperlink"/>
            <w:sz w:val="16"/>
            <w:szCs w:val="16"/>
          </w:rPr>
          <w:t xml:space="preserve">https://www.teachthought.com/technology/how-to-use-ixl/</w:t>
        </w:r>
      </w:hyperlink>
    </w:p>
    <w:p>
      <w:pPr>
        <w:spacing w:after="40"/>
      </w:pPr>
      <w:r>
        <w:rPr>
          <w:sz w:val="16"/>
          <w:szCs w:val="16"/>
        </w:rPr>
        <w:t xml:space="preserve">Khanmigo — </w:t>
      </w:r>
      <w:hyperlink w:history="1" r:id="rId_avucjzdclrveh8hu2q4s">
        <w:r>
          <w:rPr>
            <w:rStyle w:val="Hyperlink"/>
            <w:sz w:val="16"/>
            <w:szCs w:val="16"/>
          </w:rPr>
          <w:t xml:space="preserve">https://www.khanmigo.ai/</w:t>
        </w:r>
      </w:hyperlink>
    </w:p>
    <w:p>
      <w:pPr>
        <w:spacing w:after="40"/>
      </w:pPr>
      <w:r>
        <w:rPr>
          <w:sz w:val="16"/>
          <w:szCs w:val="16"/>
        </w:rPr>
        <w:t xml:space="preserve">KooBits — </w:t>
      </w:r>
      <w:hyperlink w:history="1" r:id="rIdjh3ak7ivbxdo7x_lhbg7w">
        <w:r>
          <w:rPr>
            <w:rStyle w:val="Hyperlink"/>
            <w:sz w:val="16"/>
            <w:szCs w:val="16"/>
          </w:rPr>
          <w:t xml:space="preserve">https://www.koobits.com/</w:t>
        </w:r>
      </w:hyperlink>
    </w:p>
    <w:p>
      <w:pPr>
        <w:spacing w:after="40"/>
      </w:pPr>
      <w:r>
        <w:rPr>
          <w:sz w:val="16"/>
          <w:szCs w:val="16"/>
        </w:rPr>
        <w:t xml:space="preserve">Prodigy for educators — </w:t>
      </w:r>
      <w:hyperlink w:history="1" r:id="rIdny6zejhlts11ff4sgzytm">
        <w:r>
          <w:rPr>
            <w:rStyle w:val="Hyperlink"/>
            <w:sz w:val="16"/>
            <w:szCs w:val="16"/>
          </w:rPr>
          <w:t xml:space="preserve">https://www.prodigygame.com/main-en/teachers</w:t>
        </w:r>
      </w:hyperlink>
    </w:p>
    <w:p>
      <w:pPr>
        <w:spacing w:after="40"/>
      </w:pPr>
      <w:r>
        <w:rPr>
          <w:sz w:val="16"/>
          <w:szCs w:val="16"/>
        </w:rPr>
        <w:t xml:space="preserve">ST Math (MIND Education) — </w:t>
      </w:r>
      <w:hyperlink w:history="1" r:id="rId_eae8v41fetbsmbaqhbfo">
        <w:r>
          <w:rPr>
            <w:rStyle w:val="Hyperlink"/>
            <w:sz w:val="16"/>
            <w:szCs w:val="16"/>
          </w:rPr>
          <w:t xml:space="preserve">https://www.mindeducation.org/programs/st-math/</w:t>
        </w:r>
      </w:hyperlink>
    </w:p>
    <w:p>
      <w:pPr>
        <w:spacing w:after="40"/>
      </w:pPr>
      <w:r>
        <w:rPr>
          <w:sz w:val="16"/>
          <w:szCs w:val="16"/>
        </w:rPr>
        <w:t xml:space="preserve">ALEKS math 3–12 (McGraw Hill) — </w:t>
      </w:r>
      <w:hyperlink w:history="1" r:id="rIdge3tp139dtsetwjww0cjt">
        <w:r>
          <w:rPr>
            <w:rStyle w:val="Hyperlink"/>
            <w:sz w:val="16"/>
            <w:szCs w:val="16"/>
          </w:rPr>
          <w:t xml:space="preserve">https://www.mheducation.com/prek-12/program/microsites/MKTSP-GAB02M0/browse/math.html</w:t>
        </w:r>
      </w:hyperlink>
    </w:p>
    <w:p>
      <w:pPr>
        <w:spacing w:after="40"/>
      </w:pPr>
      <w:r>
        <w:rPr>
          <w:sz w:val="16"/>
          <w:szCs w:val="16"/>
        </w:rPr>
        <w:t xml:space="preserve">ALEKS Adventure K–3 announcement — </w:t>
      </w:r>
      <w:hyperlink w:history="1" r:id="rIdfv3ubkp3upuvpmfeg3zhv">
        <w:r>
          <w:rPr>
            <w:rStyle w:val="Hyperlink"/>
            <w:sz w:val="16"/>
            <w:szCs w:val="16"/>
          </w:rPr>
          <w:t xml:space="preserve">https://www.mheducation.com/about-us/news-insights/press-releases/mcgraw-hill-introduces-new-ai-based-aleks-math-program</w:t>
        </w:r>
      </w:hyperlink>
    </w:p>
    <w:p>
      <w:pPr>
        <w:spacing w:after="40"/>
      </w:pPr>
      <w:r>
        <w:rPr>
          <w:sz w:val="16"/>
          <w:szCs w:val="16"/>
        </w:rPr>
        <w:t xml:space="preserve">i-Ready (Curriculum Associates) — </w:t>
      </w:r>
      <w:hyperlink w:history="1" r:id="rIdw8bc1k2dvdondejtmwdw6">
        <w:r>
          <w:rPr>
            <w:rStyle w:val="Hyperlink"/>
            <w:sz w:val="16"/>
            <w:szCs w:val="16"/>
          </w:rPr>
          <w:t xml:space="preserve">https://www.curriculumassociates.com/programs/i-ready-learning</w:t>
        </w:r>
      </w:hyperlink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wwnp9ik-uzya4r3txsne" Type="http://schemas.openxmlformats.org/officeDocument/2006/relationships/hyperlink" Target="https://www.mais.ac" TargetMode="External"/><Relationship Id="rIds42tmrgd6f3orkld9dhmt" Type="http://schemas.openxmlformats.org/officeDocument/2006/relationships/hyperlink" Target="https://www.century.tech/" TargetMode="External"/><Relationship Id="rIdixb-7l0p9hol_miux22-t" Type="http://schemas.openxmlformats.org/officeDocument/2006/relationships/hyperlink" Target="https://kidedtools.com/blog/century-tech-ai-personalized-learning-review-2026/" TargetMode="External"/><Relationship Id="rIdykqfdnbnayuyuimiid0vq" Type="http://schemas.openxmlformats.org/officeDocument/2006/relationships/hyperlink" Target="https://plc.pearson.com/en-US/news/pearson-acquires-interactive-learning-technology-smart-sparrow" TargetMode="External"/><Relationship Id="rIdh0s2iex50iffu1c6zoio9" Type="http://schemas.openxmlformats.org/officeDocument/2006/relationships/hyperlink" Target="https://www.discoveryeducation.com/solutions/math/dreambox-math/" TargetMode="External"/><Relationship Id="rIdz9q7qnjleqv9ap9uqtl6s" Type="http://schemas.openxmlformats.org/officeDocument/2006/relationships/hyperlink" Target="https://www.ixl.com/math" TargetMode="External"/><Relationship Id="rIdvudnir46sftxmwmr3fobx" Type="http://schemas.openxmlformats.org/officeDocument/2006/relationships/hyperlink" Target="https://www.teachthought.com/technology/how-to-use-ixl/" TargetMode="External"/><Relationship Id="rId_avucjzdclrveh8hu2q4s" Type="http://schemas.openxmlformats.org/officeDocument/2006/relationships/hyperlink" Target="https://www.khanmigo.ai/" TargetMode="External"/><Relationship Id="rIdjh3ak7ivbxdo7x_lhbg7w" Type="http://schemas.openxmlformats.org/officeDocument/2006/relationships/hyperlink" Target="https://www.koobits.com/" TargetMode="External"/><Relationship Id="rIdny6zejhlts11ff4sgzytm" Type="http://schemas.openxmlformats.org/officeDocument/2006/relationships/hyperlink" Target="https://www.prodigygame.com/main-en/teachers" TargetMode="External"/><Relationship Id="rId_eae8v41fetbsmbaqhbfo" Type="http://schemas.openxmlformats.org/officeDocument/2006/relationships/hyperlink" Target="https://www.mindeducation.org/programs/st-math/" TargetMode="External"/><Relationship Id="rIdge3tp139dtsetwjww0cjt" Type="http://schemas.openxmlformats.org/officeDocument/2006/relationships/hyperlink" Target="https://www.mheducation.com/prek-12/program/microsites/MKTSP-GAB02M0/browse/math.html" TargetMode="External"/><Relationship Id="rIdfv3ubkp3upuvpmfeg3zhv" Type="http://schemas.openxmlformats.org/officeDocument/2006/relationships/hyperlink" Target="https://www.mheducation.com/about-us/news-insights/press-releases/mcgraw-hill-introduces-new-ai-based-aleks-math-program" TargetMode="External"/><Relationship Id="rIdw8bc1k2dvdondejtmwdw6" Type="http://schemas.openxmlformats.org/officeDocument/2006/relationships/hyperlink" Target="https://www.curriculumassociates.com/programs/i-ready-learning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2026-07-09T17:20:36.275Z</dcterms:created>
  <dcterms:modified xsi:type="dcterms:W3CDTF">2026-07-09T17:20:36.275Z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