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Calibri"/>
          <w:b/>
          <w:color w:val="2E75B6"/>
          <w:sz w:val="19"/>
        </w:rPr>
        <w:t>SCOTT REVIEW BRIEF</w:t>
      </w:r>
    </w:p>
    <w:p>
      <w:pPr>
        <w:spacing w:after="100"/>
      </w:pPr>
      <w:r>
        <w:rPr>
          <w:rFonts w:ascii="Calibri" w:hAnsi="Calibri" w:eastAsia="Calibri"/>
          <w:b/>
          <w:color w:val="0B2344"/>
          <w:sz w:val="50"/>
        </w:rPr>
        <w:t>U.S. Math Curriculum Content Pipeline Status</w:t>
      </w:r>
    </w:p>
    <w:p>
      <w:pPr>
        <w:spacing w:after="240"/>
      </w:pPr>
      <w:r>
        <w:rPr>
          <w:rFonts w:ascii="Calibri" w:hAnsi="Calibri" w:eastAsia="Calibri"/>
          <w:color w:val="5F6F86"/>
          <w:sz w:val="26"/>
        </w:rPr>
        <w:t>RAG standards, AI-authored textbooks, AI-generated question banks, and QA readiness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300"/>
            <w:shd w:fill="F4F8FC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344"/>
                <w:sz w:val="19"/>
              </w:rPr>
              <w:t>Prepared for</w:t>
            </w:r>
          </w:p>
        </w:tc>
        <w:tc>
          <w:tcPr>
            <w:tcW w:type="dxa" w:w="3800"/>
            <w:shd w:fill="F4F8FC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344"/>
                <w:sz w:val="19"/>
              </w:rPr>
              <w:t>Prepared by</w:t>
            </w:r>
          </w:p>
        </w:tc>
        <w:tc>
          <w:tcPr>
            <w:tcW w:type="dxa" w:w="2300"/>
            <w:shd w:fill="F4F8FC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344"/>
                <w:sz w:val="19"/>
              </w:rPr>
              <w:t>Date</w:t>
            </w:r>
          </w:p>
        </w:tc>
      </w:tr>
      <w:tr>
        <w:trPr>
          <w:cantSplit/>
        </w:trPr>
        <w:tc>
          <w:tcPr>
            <w:tcW w:type="dxa" w:w="230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0B2344"/>
                <w:sz w:val="20"/>
              </w:rPr>
              <w:t>Scott, U.S. Curriculum Expert</w:t>
            </w:r>
          </w:p>
        </w:tc>
        <w:tc>
          <w:tcPr>
            <w:tcW w:type="dxa" w:w="380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0B2344"/>
                <w:sz w:val="20"/>
              </w:rPr>
              <w:t>MAIS Content QA / S18</w:t>
            </w:r>
          </w:p>
        </w:tc>
        <w:tc>
          <w:tcPr>
            <w:tcW w:type="dxa" w:w="230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0B2344"/>
                <w:sz w:val="20"/>
              </w:rPr>
              <w:t>June 2, 2026</w:t>
            </w:r>
          </w:p>
        </w:tc>
      </w:tr>
    </w:tbl>
    <w:p>
      <w:pPr>
        <w:spacing w:after="80"/>
      </w:pPr>
    </w:p>
    <w:p>
      <w:pPr>
        <w:spacing w:before="80" w:after="200"/>
        <w:pBdr>
          <w:bottom w:val="single" w:sz="8" w:color="2E75B6"/>
        </w:pBdr>
      </w:pPr>
    </w:p>
    <w:p>
      <w:pPr>
        <w:keepNext/>
        <w:spacing w:before="280" w:after="160"/>
      </w:pPr>
      <w:r>
        <w:rPr>
          <w:rFonts w:ascii="Calibri" w:hAnsi="Calibri" w:eastAsia="Calibri"/>
          <w:b/>
          <w:color w:val="2E75B6"/>
          <w:sz w:val="36"/>
        </w:rPr>
        <w:t>Executive Snapshot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AF3FB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spacing w:after="100"/>
            </w:pPr>
            <w:r>
              <w:rPr>
                <w:rFonts w:ascii="Calibri" w:hAnsi="Calibri" w:eastAsia="Calibri"/>
                <w:b/>
                <w:color w:val="1F4E79"/>
                <w:sz w:val="23"/>
              </w:rPr>
              <w:t>Overall readout</w:t>
            </w:r>
          </w:p>
          <w:p>
            <w:pPr>
              <w:spacing w:after="0" w:line="269" w:lineRule="auto"/>
            </w:pPr>
            <w:r>
              <w:rPr>
                <w:rFonts w:ascii="Calibri" w:hAnsi="Calibri" w:eastAsia="Calibri"/>
                <w:color w:val="0B2344"/>
                <w:sz w:val="21"/>
              </w:rPr>
              <w:t>The U.S. safe-RAG standards layer is broad and test-passing. The strongest production-grade question-bank coverage today is California K-G5 and Arkansas K-G5 in published data, plus several QA-passed candidate banks for California and Texas that have not all been promoted into the live generated-content layer. The largest current gaps are Arkansas G6-G12 and Texas G6-G8 question generation, both blocked by DeepSeek runtime credential/provider availability rather than by standards planning.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cantSplit/>
        </w:trPr>
        <w:tc>
          <w:tcPr>
            <w:tcW w:type="dxa" w:w="2498"/>
            <w:shd w:fill="EAF3FB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4E79"/>
                <w:sz w:val="40"/>
              </w:rPr>
              <w:t>11</w:t>
            </w:r>
          </w:p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b/>
                <w:color w:val="0B2344"/>
                <w:sz w:val="19"/>
              </w:rPr>
              <w:t>state RAG profiles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5F6F86"/>
                <w:sz w:val="16"/>
              </w:rPr>
              <w:t>CA, TX, FL, NY, PA, IL, OH, GA, NC, MI, AR</w:t>
            </w:r>
          </w:p>
        </w:tc>
        <w:tc>
          <w:tcPr>
            <w:tcW w:type="dxa" w:w="2498"/>
            <w:shd w:fill="EAF3FB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4E79"/>
                <w:sz w:val="40"/>
              </w:rPr>
              <w:t>1,073</w:t>
            </w:r>
          </w:p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b/>
                <w:color w:val="0B2344"/>
                <w:sz w:val="19"/>
              </w:rPr>
              <w:t>safe RAG cards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5F6F86"/>
                <w:sz w:val="16"/>
              </w:rPr>
              <w:t>metadata-only, no raw standards text</w:t>
            </w:r>
          </w:p>
        </w:tc>
        <w:tc>
          <w:tcPr>
            <w:tcW w:type="dxa" w:w="2498"/>
            <w:shd w:fill="EAF3FB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4E79"/>
                <w:sz w:val="40"/>
              </w:rPr>
              <w:t>47</w:t>
            </w:r>
          </w:p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b/>
                <w:color w:val="0B2344"/>
                <w:sz w:val="19"/>
              </w:rPr>
              <w:t>source registry entries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5F6F86"/>
                <w:sz w:val="16"/>
              </w:rPr>
              <w:t>source policy and attribution metadata</w:t>
            </w:r>
          </w:p>
        </w:tc>
        <w:tc>
          <w:tcPr>
            <w:tcW w:type="dxa" w:w="2498"/>
            <w:shd w:fill="EAF6EF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217346"/>
                <w:sz w:val="40"/>
              </w:rPr>
              <w:t>253/253</w:t>
            </w:r>
          </w:p>
          <w:p>
            <w:pPr>
              <w:spacing w:after="40"/>
              <w:jc w:val="center"/>
            </w:pPr>
            <w:r>
              <w:rPr>
                <w:rFonts w:ascii="Calibri" w:hAnsi="Calibri" w:eastAsia="Calibri"/>
                <w:b/>
                <w:color w:val="0B2344"/>
                <w:sz w:val="19"/>
              </w:rPr>
              <w:t>RAG tests passing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Calibri"/>
                <w:color w:val="5F6F86"/>
                <w:sz w:val="16"/>
              </w:rPr>
              <w:t>latest local verification</w:t>
            </w:r>
          </w:p>
        </w:tc>
      </w:tr>
    </w:tbl>
    <w:p>
      <w:pPr>
        <w:spacing w:after="80"/>
      </w:pPr>
    </w:p>
    <w:p>
      <w:pPr>
        <w:keepNext/>
        <w:spacing w:before="180" w:after="120"/>
      </w:pPr>
      <w:r>
        <w:rPr>
          <w:rFonts w:ascii="Calibri" w:hAnsi="Calibri" w:eastAsia="Calibri"/>
          <w:b/>
          <w:color w:val="2E75B6"/>
          <w:sz w:val="27"/>
        </w:rPr>
        <w:t>Decision framing for Scott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3331"/>
            <w:shd w:fill="F4F8FC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after="100"/>
            </w:pPr>
            <w:r>
              <w:rPr>
                <w:rFonts w:ascii="Calibri" w:hAnsi="Calibri" w:eastAsia="Calibri"/>
                <w:b/>
                <w:color w:val="1F4E79"/>
                <w:sz w:val="21"/>
              </w:rPr>
              <w:t>Standards RAG</w:t>
            </w:r>
          </w:p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0B2344"/>
                <w:sz w:val="18"/>
              </w:rPr>
              <w:t>Ready for expert inspection across 11 states; source-safe card abstraction is in place.</w:t>
            </w:r>
          </w:p>
        </w:tc>
        <w:tc>
          <w:tcPr>
            <w:tcW w:type="dxa" w:w="3331"/>
            <w:shd w:fill="F4F8FC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after="100"/>
            </w:pPr>
            <w:r>
              <w:rPr>
                <w:rFonts w:ascii="Calibri" w:hAnsi="Calibri" w:eastAsia="Calibri"/>
                <w:b/>
                <w:color w:val="1F4E79"/>
                <w:sz w:val="21"/>
              </w:rPr>
              <w:t>Textbooks</w:t>
            </w:r>
          </w:p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0B2344"/>
                <w:sz w:val="18"/>
              </w:rPr>
              <w:t>Strongest published maturity is Arkansas and California G6-G12; K-G5 export-stage packs show clean QA reports.</w:t>
            </w:r>
          </w:p>
        </w:tc>
        <w:tc>
          <w:tcPr>
            <w:tcW w:type="dxa" w:w="3331"/>
            <w:shd w:fill="F4F8FC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after="100"/>
            </w:pPr>
            <w:r>
              <w:rPr>
                <w:rFonts w:ascii="Calibri" w:hAnsi="Calibri" w:eastAsia="Calibri"/>
                <w:b/>
                <w:color w:val="1F4E79"/>
                <w:sz w:val="21"/>
              </w:rPr>
              <w:t>Questions</w:t>
            </w:r>
          </w:p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0B2344"/>
                <w:sz w:val="18"/>
              </w:rPr>
              <w:t>Published question banks are strongest for K-G5 CA/AR; several G6-G12 and Texas candidate packs need promotion or runtime unblocking.</w:t>
            </w:r>
          </w:p>
        </w:tc>
      </w:tr>
    </w:tbl>
    <w:p>
      <w:pPr>
        <w:spacing w:after="40"/>
      </w:pPr>
    </w:p>
    <w:p>
      <w:pPr>
        <w:spacing w:after="0"/>
      </w:pPr>
      <w:r>
        <w:br w:type="page"/>
      </w:r>
    </w:p>
    <w:p>
      <w:pPr>
        <w:keepNext/>
        <w:spacing w:before="280" w:after="160"/>
      </w:pPr>
      <w:r>
        <w:rPr>
          <w:rFonts w:ascii="Calibri" w:hAnsi="Calibri" w:eastAsia="Calibri"/>
          <w:b/>
          <w:color w:val="2E75B6"/>
          <w:sz w:val="36"/>
        </w:rPr>
        <w:t>1. U.S. RAG Standards Layer</w:t>
      </w:r>
    </w:p>
    <w:p>
      <w:pPr>
        <w:spacing w:before="0" w:after="160" w:line="269" w:lineRule="auto"/>
      </w:pPr>
      <w:r>
        <w:rPr>
          <w:rFonts w:ascii="Calibri" w:hAnsi="Calibri" w:eastAsia="Calibri"/>
          <w:color w:val="0B2344"/>
          <w:sz w:val="22"/>
        </w:rPr>
        <w:t>The U.S. math RAG layer is implemented as a source-safe card system, not a raw corpus. It stores standards identifiers, state/course structure, source registry metadata, assessment-mode abstractions, textbook compatibility signals, and MAIS-authored summaries. It explicitly avoids copying official standards text, released assessment items, publisher examples, rubrics, answer keys, screenshots, or source-page language.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500"/>
            <w:shd w:fill="F1F4F8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344"/>
                <w:sz w:val="19"/>
              </w:rPr>
              <w:t>Rollout phase</w:t>
            </w:r>
          </w:p>
        </w:tc>
        <w:tc>
          <w:tcPr>
            <w:tcW w:type="dxa" w:w="2400"/>
            <w:shd w:fill="F1F4F8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344"/>
                <w:sz w:val="19"/>
              </w:rPr>
              <w:t>States</w:t>
            </w:r>
          </w:p>
        </w:tc>
        <w:tc>
          <w:tcPr>
            <w:tcW w:type="dxa" w:w="5460"/>
            <w:shd w:fill="F1F4F8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344"/>
                <w:sz w:val="19"/>
              </w:rPr>
              <w:t>Current status</w:t>
            </w:r>
          </w:p>
        </w:tc>
      </w:tr>
      <w:tr>
        <w:trPr>
          <w:cantSplit/>
        </w:trPr>
        <w:tc>
          <w:tcPr>
            <w:tcW w:type="dxa" w:w="150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/>
                <w:color w:val="0B2344"/>
                <w:sz w:val="19"/>
              </w:rPr>
              <w:t>Phase 1</w:t>
            </w:r>
          </w:p>
        </w:tc>
        <w:tc>
          <w:tcPr>
            <w:tcW w:type="dxa" w:w="240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0B2344"/>
                <w:sz w:val="19"/>
              </w:rPr>
              <w:t>CA, TX, FL, NY</w:t>
            </w:r>
          </w:p>
        </w:tc>
        <w:tc>
          <w:tcPr>
            <w:tcW w:type="dxa" w:w="546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0B2344"/>
                <w:sz w:val="19"/>
              </w:rPr>
              <w:t>Priority states with active standards profiles and safe-card retrieval.</w:t>
            </w:r>
          </w:p>
        </w:tc>
      </w:tr>
      <w:tr>
        <w:trPr>
          <w:cantSplit/>
        </w:trPr>
        <w:tc>
          <w:tcPr>
            <w:tcW w:type="dxa" w:w="150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/>
                <w:color w:val="0B2344"/>
                <w:sz w:val="19"/>
              </w:rPr>
              <w:t>Phase 2</w:t>
            </w:r>
          </w:p>
        </w:tc>
        <w:tc>
          <w:tcPr>
            <w:tcW w:type="dxa" w:w="240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0B2344"/>
                <w:sz w:val="19"/>
              </w:rPr>
              <w:t>PA, IL, OH, GA, NC, MI</w:t>
            </w:r>
          </w:p>
        </w:tc>
        <w:tc>
          <w:tcPr>
            <w:tcW w:type="dxa" w:w="546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0B2344"/>
                <w:sz w:val="19"/>
              </w:rPr>
              <w:t>Profiles, standard abstractions, textbook compatibility, and exam-pattern cards are in place.</w:t>
            </w:r>
          </w:p>
        </w:tc>
      </w:tr>
      <w:tr>
        <w:trPr>
          <w:cantSplit/>
        </w:trPr>
        <w:tc>
          <w:tcPr>
            <w:tcW w:type="dxa" w:w="150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/>
                <w:color w:val="0B2344"/>
                <w:sz w:val="19"/>
              </w:rPr>
              <w:t>Phase 3</w:t>
            </w:r>
          </w:p>
        </w:tc>
        <w:tc>
          <w:tcPr>
            <w:tcW w:type="dxa" w:w="240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0B2344"/>
                <w:sz w:val="19"/>
              </w:rPr>
              <w:t>AR</w:t>
            </w:r>
          </w:p>
        </w:tc>
        <w:tc>
          <w:tcPr>
            <w:tcW w:type="dxa" w:w="546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0B2344"/>
                <w:sz w:val="19"/>
              </w:rPr>
              <w:t>Arkansas profile added with 2023 state math standards and assessment-pattern metadata.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200"/>
            <w:shd w:fill="F1F4F8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344"/>
                <w:sz w:val="19"/>
              </w:rPr>
              <w:t>RAG component</w:t>
            </w:r>
          </w:p>
        </w:tc>
        <w:tc>
          <w:tcPr>
            <w:tcW w:type="dxa" w:w="7160"/>
            <w:shd w:fill="F1F4F8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344"/>
                <w:sz w:val="19"/>
              </w:rPr>
              <w:t>Coverage</w:t>
            </w:r>
          </w:p>
        </w:tc>
      </w:tr>
      <w:tr>
        <w:trPr>
          <w:cantSplit/>
        </w:trPr>
        <w:tc>
          <w:tcPr>
            <w:tcW w:type="dxa" w:w="220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/>
                <w:color w:val="0B2344"/>
                <w:sz w:val="18"/>
              </w:rPr>
              <w:t>State profiles</w:t>
            </w:r>
          </w:p>
        </w:tc>
        <w:tc>
          <w:tcPr>
            <w:tcW w:type="dxa" w:w="716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0B2344"/>
                <w:sz w:val="18"/>
              </w:rPr>
              <w:t>11 profiles: California, Texas, Florida, New York, Pennsylvania, Illinois, Ohio, Georgia, North Carolina, Michigan, Arkansas.</w:t>
            </w:r>
          </w:p>
        </w:tc>
      </w:tr>
      <w:tr>
        <w:trPr>
          <w:cantSplit/>
        </w:trPr>
        <w:tc>
          <w:tcPr>
            <w:tcW w:type="dxa" w:w="220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/>
                <w:color w:val="0B2344"/>
                <w:sz w:val="18"/>
              </w:rPr>
              <w:t>Safe-card counts</w:t>
            </w:r>
          </w:p>
        </w:tc>
        <w:tc>
          <w:tcPr>
            <w:tcW w:type="dxa" w:w="716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0B2344"/>
                <w:sz w:val="18"/>
              </w:rPr>
              <w:t>CA has 103 cards; each other supported state has 97 cards. Total: 1,073 safe cards.</w:t>
            </w:r>
          </w:p>
        </w:tc>
      </w:tr>
      <w:tr>
        <w:trPr>
          <w:cantSplit/>
        </w:trPr>
        <w:tc>
          <w:tcPr>
            <w:tcW w:type="dxa" w:w="220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/>
                <w:color w:val="0B2344"/>
                <w:sz w:val="18"/>
              </w:rPr>
              <w:t>Card families</w:t>
            </w:r>
          </w:p>
        </w:tc>
        <w:tc>
          <w:tcPr>
            <w:tcW w:type="dxa" w:w="716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0B2344"/>
                <w:sz w:val="18"/>
              </w:rPr>
              <w:t>Grade overview, standards, textbook compatibility, and exam-pattern cards. California also has additional core algebra/geometry compatibility cards.</w:t>
            </w:r>
          </w:p>
        </w:tc>
      </w:tr>
      <w:tr>
        <w:trPr>
          <w:cantSplit/>
        </w:trPr>
        <w:tc>
          <w:tcPr>
            <w:tcW w:type="dxa" w:w="220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/>
                <w:color w:val="0B2344"/>
                <w:sz w:val="18"/>
              </w:rPr>
              <w:t>Source registry</w:t>
            </w:r>
          </w:p>
        </w:tc>
        <w:tc>
          <w:tcPr>
            <w:tcW w:type="dxa" w:w="716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0B2344"/>
                <w:sz w:val="18"/>
              </w:rPr>
              <w:t>47 source entries across U.S. national references and the 11 supported states.</w:t>
            </w:r>
          </w:p>
        </w:tc>
      </w:tr>
      <w:tr>
        <w:trPr>
          <w:cantSplit/>
        </w:trPr>
        <w:tc>
          <w:tcPr>
            <w:tcW w:type="dxa" w:w="220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/>
                <w:color w:val="0B2344"/>
                <w:sz w:val="18"/>
              </w:rPr>
              <w:t>Verification</w:t>
            </w:r>
          </w:p>
        </w:tc>
        <w:tc>
          <w:tcPr>
            <w:tcW w:type="dxa" w:w="716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0B2344"/>
                <w:sz w:val="18"/>
              </w:rPr>
              <w:t>RAG test suite passed locally: 253 of 253 tests.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80" w:after="160"/>
      </w:pPr>
      <w:r>
        <w:rPr>
          <w:rFonts w:ascii="Calibri" w:hAnsi="Calibri" w:eastAsia="Calibri"/>
          <w:b/>
          <w:color w:val="2E75B6"/>
          <w:sz w:val="36"/>
        </w:rPr>
        <w:t>2. AI-Authored Textbook Pipeline</w:t>
      </w:r>
    </w:p>
    <w:p>
      <w:pPr>
        <w:spacing w:before="0" w:after="140" w:line="269" w:lineRule="auto"/>
      </w:pPr>
      <w:r>
        <w:rPr>
          <w:rFonts w:ascii="Calibri" w:hAnsi="Calibri" w:eastAsia="Calibri"/>
          <w:color w:val="0B2344"/>
          <w:sz w:val="22"/>
        </w:rPr>
        <w:t>The textbook layer has two maturity levels: published generated-content packs and QA/export-stage packs. Published packs are available under data/generated-content; QA/export-stage packs remain in coordination/content-qa for review, rendering, or promotion decisions.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300"/>
            <w:shd w:fill="F1F4F8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344"/>
                <w:sz w:val="19"/>
              </w:rPr>
              <w:t>Textbook scope</w:t>
            </w:r>
          </w:p>
        </w:tc>
        <w:tc>
          <w:tcPr>
            <w:tcW w:type="dxa" w:w="2250"/>
            <w:shd w:fill="F1F4F8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344"/>
                <w:sz w:val="19"/>
              </w:rPr>
              <w:t>Maturity</w:t>
            </w:r>
          </w:p>
        </w:tc>
        <w:tc>
          <w:tcPr>
            <w:tcW w:type="dxa" w:w="2550"/>
            <w:shd w:fill="F1F4F8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344"/>
                <w:sz w:val="19"/>
              </w:rPr>
              <w:t>Coverage</w:t>
            </w:r>
          </w:p>
        </w:tc>
        <w:tc>
          <w:tcPr>
            <w:tcW w:type="dxa" w:w="3260"/>
            <w:shd w:fill="F1F4F8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344"/>
                <w:sz w:val="19"/>
              </w:rPr>
              <w:t>QA status</w:t>
            </w:r>
          </w:p>
        </w:tc>
      </w:tr>
      <w:tr>
        <w:trPr>
          <w:cantSplit/>
        </w:trPr>
        <w:tc>
          <w:tcPr>
            <w:tcW w:type="dxa" w:w="130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/>
                <w:color w:val="0B2344"/>
                <w:sz w:val="17"/>
              </w:rPr>
              <w:t>AR K-G5</w:t>
            </w:r>
          </w:p>
        </w:tc>
        <w:tc>
          <w:tcPr>
            <w:tcW w:type="dxa" w:w="225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344"/>
                <w:sz w:val="17"/>
              </w:rPr>
              <w:t>Published generated-content pack</w:t>
            </w:r>
          </w:p>
        </w:tc>
        <w:tc>
          <w:tcPr>
            <w:tcW w:type="dxa" w:w="255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344"/>
                <w:sz w:val="17"/>
              </w:rPr>
              <w:t>6 books</w:t>
            </w:r>
          </w:p>
        </w:tc>
        <w:tc>
          <w:tcPr>
            <w:tcW w:type="dxa" w:w="326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344"/>
                <w:sz w:val="17"/>
              </w:rPr>
              <w:t>Generated; QA report shows 0 issues.</w:t>
            </w:r>
          </w:p>
        </w:tc>
      </w:tr>
      <w:tr>
        <w:trPr>
          <w:cantSplit/>
        </w:trPr>
        <w:tc>
          <w:tcPr>
            <w:tcW w:type="dxa" w:w="130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/>
                <w:color w:val="0B2344"/>
                <w:sz w:val="17"/>
              </w:rPr>
              <w:t>AR G6-G12</w:t>
            </w:r>
          </w:p>
        </w:tc>
        <w:tc>
          <w:tcPr>
            <w:tcW w:type="dxa" w:w="225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344"/>
                <w:sz w:val="17"/>
              </w:rPr>
              <w:t>Published generated-content pack</w:t>
            </w:r>
          </w:p>
        </w:tc>
        <w:tc>
          <w:tcPr>
            <w:tcW w:type="dxa" w:w="255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344"/>
                <w:sz w:val="17"/>
              </w:rPr>
              <w:t>7 books, 5 chapters each</w:t>
            </w:r>
          </w:p>
        </w:tc>
        <w:tc>
          <w:tcPr>
            <w:tcW w:type="dxa" w:w="326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344"/>
                <w:sz w:val="17"/>
              </w:rPr>
              <w:t>QA passed; validation passed; 245 math facts checked.</w:t>
            </w:r>
          </w:p>
        </w:tc>
      </w:tr>
      <w:tr>
        <w:trPr>
          <w:cantSplit/>
        </w:trPr>
        <w:tc>
          <w:tcPr>
            <w:tcW w:type="dxa" w:w="130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/>
                <w:color w:val="0B2344"/>
                <w:sz w:val="17"/>
              </w:rPr>
              <w:t>CA G6-G12</w:t>
            </w:r>
          </w:p>
        </w:tc>
        <w:tc>
          <w:tcPr>
            <w:tcW w:type="dxa" w:w="225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344"/>
                <w:sz w:val="17"/>
              </w:rPr>
              <w:t>Published generated-content pack</w:t>
            </w:r>
          </w:p>
        </w:tc>
        <w:tc>
          <w:tcPr>
            <w:tcW w:type="dxa" w:w="255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344"/>
                <w:sz w:val="17"/>
              </w:rPr>
              <w:t>7 books, 5 chapters each</w:t>
            </w:r>
          </w:p>
        </w:tc>
        <w:tc>
          <w:tcPr>
            <w:tcW w:type="dxa" w:w="326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344"/>
                <w:sz w:val="17"/>
              </w:rPr>
              <w:t>QA passed; validation passed; 245 math facts checked.</w:t>
            </w:r>
          </w:p>
        </w:tc>
      </w:tr>
      <w:tr>
        <w:trPr>
          <w:cantSplit/>
        </w:trPr>
        <w:tc>
          <w:tcPr>
            <w:tcW w:type="dxa" w:w="130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/>
                <w:color w:val="0B2344"/>
                <w:sz w:val="17"/>
              </w:rPr>
              <w:t>CA K-G5</w:t>
            </w:r>
          </w:p>
        </w:tc>
        <w:tc>
          <w:tcPr>
            <w:tcW w:type="dxa" w:w="225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344"/>
                <w:sz w:val="17"/>
              </w:rPr>
              <w:t>QA/export-stage</w:t>
            </w:r>
          </w:p>
        </w:tc>
        <w:tc>
          <w:tcPr>
            <w:tcW w:type="dxa" w:w="255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344"/>
                <w:sz w:val="17"/>
              </w:rPr>
              <w:t>6 books, 10 units / 50 lessons per grade</w:t>
            </w:r>
          </w:p>
        </w:tc>
        <w:tc>
          <w:tcPr>
            <w:tcW w:type="dxa" w:w="326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344"/>
                <w:sz w:val="17"/>
              </w:rPr>
              <w:t>Issues: 0. Not yet listed in generated-content.</w:t>
            </w:r>
          </w:p>
        </w:tc>
      </w:tr>
      <w:tr>
        <w:trPr>
          <w:cantSplit/>
        </w:trPr>
        <w:tc>
          <w:tcPr>
            <w:tcW w:type="dxa" w:w="130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/>
                <w:color w:val="0B2344"/>
                <w:sz w:val="17"/>
              </w:rPr>
              <w:t>NC K-G5</w:t>
            </w:r>
          </w:p>
        </w:tc>
        <w:tc>
          <w:tcPr>
            <w:tcW w:type="dxa" w:w="225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344"/>
                <w:sz w:val="17"/>
              </w:rPr>
              <w:t>QA/export-stage</w:t>
            </w:r>
          </w:p>
        </w:tc>
        <w:tc>
          <w:tcPr>
            <w:tcW w:type="dxa" w:w="255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344"/>
                <w:sz w:val="17"/>
              </w:rPr>
              <w:t>6 books, 10 units / 50 lessons per grade</w:t>
            </w:r>
          </w:p>
        </w:tc>
        <w:tc>
          <w:tcPr>
            <w:tcW w:type="dxa" w:w="326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344"/>
                <w:sz w:val="17"/>
              </w:rPr>
              <w:t>Issues: 0. Not yet listed in generated-content.</w:t>
            </w:r>
          </w:p>
        </w:tc>
      </w:tr>
      <w:tr>
        <w:trPr>
          <w:cantSplit/>
        </w:trPr>
        <w:tc>
          <w:tcPr>
            <w:tcW w:type="dxa" w:w="130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/>
                <w:color w:val="0B2344"/>
                <w:sz w:val="17"/>
              </w:rPr>
              <w:t>TX K-G5</w:t>
            </w:r>
          </w:p>
        </w:tc>
        <w:tc>
          <w:tcPr>
            <w:tcW w:type="dxa" w:w="225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344"/>
                <w:sz w:val="17"/>
              </w:rPr>
              <w:t>QA/export-stage with render QA</w:t>
            </w:r>
          </w:p>
        </w:tc>
        <w:tc>
          <w:tcPr>
            <w:tcW w:type="dxa" w:w="255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344"/>
                <w:sz w:val="17"/>
              </w:rPr>
              <w:t>6 books, 10 units / 50 lessons per grade</w:t>
            </w:r>
          </w:p>
        </w:tc>
        <w:tc>
          <w:tcPr>
            <w:tcW w:type="dxa" w:w="326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344"/>
                <w:sz w:val="17"/>
              </w:rPr>
              <w:t>QA pass, AI polish pass, DOCX render QA pass.</w:t>
            </w:r>
          </w:p>
        </w:tc>
      </w:tr>
    </w:tbl>
    <w:p>
      <w:pPr>
        <w:spacing w:after="80"/>
      </w:pP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AF6EF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spacing w:after="100"/>
            </w:pPr>
            <w:r>
              <w:rPr>
                <w:rFonts w:ascii="Calibri" w:hAnsi="Calibri" w:eastAsia="Calibri"/>
                <w:b/>
                <w:color w:val="217346"/>
                <w:sz w:val="23"/>
              </w:rPr>
              <w:t>Textbook interpretation for Scott</w:t>
            </w:r>
          </w:p>
          <w:p>
            <w:pPr>
              <w:spacing w:after="0" w:line="269" w:lineRule="auto"/>
            </w:pPr>
            <w:r>
              <w:rPr>
                <w:rFonts w:ascii="Calibri" w:hAnsi="Calibri" w:eastAsia="Calibri"/>
                <w:color w:val="0B2344"/>
                <w:sz w:val="21"/>
              </w:rPr>
              <w:t>The textbook layer is strongest for Arkansas and California G6-G12, where published generated-content packs and QA reports both exist. K-G5 textbook coverage is broader across CA, AR, NC, and TX, but several packs still sit in QA/export folders rather than the formal generated-content layer.</w:t>
            </w:r>
          </w:p>
        </w:tc>
      </w:tr>
    </w:tbl>
    <w:p>
      <w:pPr>
        <w:spacing w:after="40"/>
      </w:pPr>
    </w:p>
    <w:p>
      <w:pPr>
        <w:spacing w:after="0"/>
      </w:pPr>
      <w:r>
        <w:br w:type="page"/>
      </w:r>
    </w:p>
    <w:p>
      <w:pPr>
        <w:keepNext/>
        <w:spacing w:before="280" w:after="160"/>
      </w:pPr>
      <w:r>
        <w:rPr>
          <w:rFonts w:ascii="Calibri" w:hAnsi="Calibri" w:eastAsia="Calibri"/>
          <w:b/>
          <w:color w:val="2E75B6"/>
          <w:sz w:val="36"/>
        </w:rPr>
        <w:t>3. AI-Generated Question-Bank Pipeline</w:t>
      </w:r>
    </w:p>
    <w:p>
      <w:pPr>
        <w:spacing w:before="0" w:after="140" w:line="269" w:lineRule="auto"/>
      </w:pPr>
      <w:r>
        <w:rPr>
          <w:rFonts w:ascii="Calibri" w:hAnsi="Calibri" w:eastAsia="Calibri"/>
          <w:color w:val="0B2344"/>
          <w:sz w:val="22"/>
        </w:rPr>
        <w:t>Question-bank readiness should be read in three tiers: published data packs, QA-passed candidate packs, and planned or blocked packages. A QA PASS candidate is not automatically live in the product until it is promoted into the generated-content layer and wired through the appropriate app/data owners.</w:t>
      </w:r>
    </w:p>
    <w:p>
      <w:pPr>
        <w:keepNext/>
        <w:spacing w:before="180" w:after="120"/>
      </w:pPr>
      <w:r>
        <w:rPr>
          <w:rFonts w:ascii="Calibri" w:hAnsi="Calibri" w:eastAsia="Calibri"/>
          <w:b/>
          <w:color w:val="2E75B6"/>
          <w:sz w:val="27"/>
        </w:rPr>
        <w:t>Published generated-content question banks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  <w:cantSplit/>
        </w:trPr>
        <w:tc>
          <w:tcPr>
            <w:tcW w:type="dxa" w:w="3500"/>
            <w:shd w:fill="F1F4F8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344"/>
                <w:sz w:val="19"/>
              </w:rPr>
              <w:t>Published pack</w:t>
            </w:r>
          </w:p>
        </w:tc>
        <w:tc>
          <w:tcPr>
            <w:tcW w:type="dxa" w:w="700"/>
            <w:shd w:fill="F1F4F8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344"/>
                <w:sz w:val="19"/>
              </w:rPr>
              <w:t>State</w:t>
            </w:r>
          </w:p>
        </w:tc>
        <w:tc>
          <w:tcPr>
            <w:tcW w:type="dxa" w:w="1450"/>
            <w:shd w:fill="F1F4F8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344"/>
                <w:sz w:val="19"/>
              </w:rPr>
              <w:t>Grades</w:t>
            </w:r>
          </w:p>
        </w:tc>
        <w:tc>
          <w:tcPr>
            <w:tcW w:type="dxa" w:w="1050"/>
            <w:shd w:fill="F1F4F8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344"/>
                <w:sz w:val="19"/>
              </w:rPr>
              <w:t>Questions</w:t>
            </w:r>
          </w:p>
        </w:tc>
        <w:tc>
          <w:tcPr>
            <w:tcW w:type="dxa" w:w="3260"/>
            <w:shd w:fill="F1F4F8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344"/>
                <w:sz w:val="19"/>
              </w:rPr>
              <w:t>QA readout</w:t>
            </w:r>
          </w:p>
        </w:tc>
      </w:tr>
      <w:tr>
        <w:trPr>
          <w:cantSplit/>
        </w:trPr>
        <w:tc>
          <w:tcPr>
            <w:tcW w:type="dxa" w:w="350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0B2344"/>
                <w:sz w:val="18"/>
              </w:rPr>
              <w:t>us-ca-math-k-g5-generated-bank-v2-1500</w:t>
            </w:r>
          </w:p>
        </w:tc>
        <w:tc>
          <w:tcPr>
            <w:tcW w:type="dxa" w:w="70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344"/>
                <w:sz w:val="18"/>
              </w:rPr>
              <w:t>CA</w:t>
            </w:r>
          </w:p>
        </w:tc>
        <w:tc>
          <w:tcPr>
            <w:tcW w:type="dxa" w:w="145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344"/>
                <w:sz w:val="18"/>
              </w:rPr>
              <w:t>K, P1-P5</w:t>
            </w:r>
          </w:p>
        </w:tc>
        <w:tc>
          <w:tcPr>
            <w:tcW w:type="dxa" w:w="105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344"/>
                <w:sz w:val="18"/>
              </w:rPr>
              <w:t>1,500</w:t>
            </w:r>
          </w:p>
        </w:tc>
        <w:tc>
          <w:tcPr>
            <w:tcW w:type="dxa" w:w="3260"/>
            <w:shd w:fill="EAF6E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217346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350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0B2344"/>
                <w:sz w:val="18"/>
              </w:rPr>
              <w:t>us-ca-math-k-g5-generated-bank-v3-deepseek-1500</w:t>
            </w:r>
          </w:p>
        </w:tc>
        <w:tc>
          <w:tcPr>
            <w:tcW w:type="dxa" w:w="70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344"/>
                <w:sz w:val="18"/>
              </w:rPr>
              <w:t>CA</w:t>
            </w:r>
          </w:p>
        </w:tc>
        <w:tc>
          <w:tcPr>
            <w:tcW w:type="dxa" w:w="145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344"/>
                <w:sz w:val="18"/>
              </w:rPr>
              <w:t>K, P1-P5</w:t>
            </w:r>
          </w:p>
        </w:tc>
        <w:tc>
          <w:tcPr>
            <w:tcW w:type="dxa" w:w="105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344"/>
                <w:sz w:val="18"/>
              </w:rPr>
              <w:t>1,500</w:t>
            </w:r>
          </w:p>
        </w:tc>
        <w:tc>
          <w:tcPr>
            <w:tcW w:type="dxa" w:w="3260"/>
            <w:shd w:fill="EAF6E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217346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350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0B2344"/>
                <w:sz w:val="18"/>
              </w:rPr>
              <w:t>us-ar-math-k-g5-generated-bank-v1-1500</w:t>
            </w:r>
          </w:p>
        </w:tc>
        <w:tc>
          <w:tcPr>
            <w:tcW w:type="dxa" w:w="70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344"/>
                <w:sz w:val="18"/>
              </w:rPr>
              <w:t>AR</w:t>
            </w:r>
          </w:p>
        </w:tc>
        <w:tc>
          <w:tcPr>
            <w:tcW w:type="dxa" w:w="145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344"/>
                <w:sz w:val="18"/>
              </w:rPr>
              <w:t>K, P1-P5</w:t>
            </w:r>
          </w:p>
        </w:tc>
        <w:tc>
          <w:tcPr>
            <w:tcW w:type="dxa" w:w="105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344"/>
                <w:sz w:val="18"/>
              </w:rPr>
              <w:t>1,500</w:t>
            </w:r>
          </w:p>
        </w:tc>
        <w:tc>
          <w:tcPr>
            <w:tcW w:type="dxa" w:w="3260"/>
            <w:shd w:fill="EAF6E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217346"/>
                <w:sz w:val="18"/>
              </w:rPr>
              <w:t>PASS; published report exists</w:t>
            </w:r>
          </w:p>
        </w:tc>
      </w:tr>
    </w:tbl>
    <w:p>
      <w:pPr>
        <w:spacing w:after="80"/>
      </w:pPr>
    </w:p>
    <w:p>
      <w:pPr>
        <w:keepNext/>
        <w:spacing w:before="180" w:after="120"/>
      </w:pPr>
      <w:r>
        <w:rPr>
          <w:rFonts w:ascii="Calibri" w:hAnsi="Calibri" w:eastAsia="Calibri"/>
          <w:b/>
          <w:color w:val="2E75B6"/>
          <w:sz w:val="27"/>
        </w:rPr>
        <w:t>QA-passed candidate question banks not necessarily live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  <w:cantSplit/>
        </w:trPr>
        <w:tc>
          <w:tcPr>
            <w:tcW w:type="dxa" w:w="2900"/>
            <w:shd w:fill="F1F4F8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344"/>
                <w:sz w:val="19"/>
              </w:rPr>
              <w:t>Candidate pack</w:t>
            </w:r>
          </w:p>
        </w:tc>
        <w:tc>
          <w:tcPr>
            <w:tcW w:type="dxa" w:w="700"/>
            <w:shd w:fill="F1F4F8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344"/>
                <w:sz w:val="19"/>
              </w:rPr>
              <w:t>State</w:t>
            </w:r>
          </w:p>
        </w:tc>
        <w:tc>
          <w:tcPr>
            <w:tcW w:type="dxa" w:w="1450"/>
            <w:shd w:fill="F1F4F8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344"/>
                <w:sz w:val="19"/>
              </w:rPr>
              <w:t>Grades</w:t>
            </w:r>
          </w:p>
        </w:tc>
        <w:tc>
          <w:tcPr>
            <w:tcW w:type="dxa" w:w="1050"/>
            <w:shd w:fill="F1F4F8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344"/>
                <w:sz w:val="19"/>
              </w:rPr>
              <w:t>Questions</w:t>
            </w:r>
          </w:p>
        </w:tc>
        <w:tc>
          <w:tcPr>
            <w:tcW w:type="dxa" w:w="3260"/>
            <w:shd w:fill="F1F4F8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344"/>
                <w:sz w:val="19"/>
              </w:rPr>
              <w:t>QA status</w:t>
            </w:r>
          </w:p>
        </w:tc>
      </w:tr>
      <w:tr>
        <w:trPr>
          <w:cantSplit/>
        </w:trPr>
        <w:tc>
          <w:tcPr>
            <w:tcW w:type="dxa" w:w="290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0B2344"/>
                <w:sz w:val="17"/>
              </w:rPr>
              <w:t>CA G6-G12 v1</w:t>
            </w:r>
          </w:p>
        </w:tc>
        <w:tc>
          <w:tcPr>
            <w:tcW w:type="dxa" w:w="70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344"/>
                <w:sz w:val="17"/>
              </w:rPr>
              <w:t>CA</w:t>
            </w:r>
          </w:p>
        </w:tc>
        <w:tc>
          <w:tcPr>
            <w:tcW w:type="dxa" w:w="145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344"/>
                <w:sz w:val="17"/>
              </w:rPr>
              <w:t>P6-S6</w:t>
            </w:r>
          </w:p>
        </w:tc>
        <w:tc>
          <w:tcPr>
            <w:tcW w:type="dxa" w:w="105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344"/>
                <w:sz w:val="17"/>
              </w:rPr>
              <w:t>1,500</w:t>
            </w:r>
          </w:p>
        </w:tc>
        <w:tc>
          <w:tcPr>
            <w:tcW w:type="dxa" w:w="3260"/>
            <w:shd w:fill="EAF6E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217346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90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0B2344"/>
                <w:sz w:val="17"/>
              </w:rPr>
              <w:t>CA G6-G12 v2</w:t>
            </w:r>
          </w:p>
        </w:tc>
        <w:tc>
          <w:tcPr>
            <w:tcW w:type="dxa" w:w="70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344"/>
                <w:sz w:val="17"/>
              </w:rPr>
              <w:t>CA</w:t>
            </w:r>
          </w:p>
        </w:tc>
        <w:tc>
          <w:tcPr>
            <w:tcW w:type="dxa" w:w="145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344"/>
                <w:sz w:val="17"/>
              </w:rPr>
              <w:t>P6-S6</w:t>
            </w:r>
          </w:p>
        </w:tc>
        <w:tc>
          <w:tcPr>
            <w:tcW w:type="dxa" w:w="105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344"/>
                <w:sz w:val="17"/>
              </w:rPr>
              <w:t>1,500</w:t>
            </w:r>
          </w:p>
        </w:tc>
        <w:tc>
          <w:tcPr>
            <w:tcW w:type="dxa" w:w="3260"/>
            <w:shd w:fill="EAF6E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217346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90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0B2344"/>
                <w:sz w:val="17"/>
              </w:rPr>
              <w:t>CA High School v3</w:t>
            </w:r>
          </w:p>
        </w:tc>
        <w:tc>
          <w:tcPr>
            <w:tcW w:type="dxa" w:w="70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344"/>
                <w:sz w:val="17"/>
              </w:rPr>
              <w:t>CA</w:t>
            </w:r>
          </w:p>
        </w:tc>
        <w:tc>
          <w:tcPr>
            <w:tcW w:type="dxa" w:w="145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344"/>
                <w:sz w:val="17"/>
              </w:rPr>
              <w:t>S3-S6</w:t>
            </w:r>
          </w:p>
        </w:tc>
        <w:tc>
          <w:tcPr>
            <w:tcW w:type="dxa" w:w="105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344"/>
                <w:sz w:val="17"/>
              </w:rPr>
              <w:t>1,500</w:t>
            </w:r>
          </w:p>
        </w:tc>
        <w:tc>
          <w:tcPr>
            <w:tcW w:type="dxa" w:w="3260"/>
            <w:shd w:fill="EAF6E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217346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90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0B2344"/>
                <w:sz w:val="17"/>
              </w:rPr>
              <w:t>TX K-G5 v1</w:t>
            </w:r>
          </w:p>
        </w:tc>
        <w:tc>
          <w:tcPr>
            <w:tcW w:type="dxa" w:w="70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344"/>
                <w:sz w:val="17"/>
              </w:rPr>
              <w:t>TX</w:t>
            </w:r>
          </w:p>
        </w:tc>
        <w:tc>
          <w:tcPr>
            <w:tcW w:type="dxa" w:w="145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344"/>
                <w:sz w:val="17"/>
              </w:rPr>
              <w:t>K, P1-P5</w:t>
            </w:r>
          </w:p>
        </w:tc>
        <w:tc>
          <w:tcPr>
            <w:tcW w:type="dxa" w:w="105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344"/>
                <w:sz w:val="17"/>
              </w:rPr>
              <w:t>1,500</w:t>
            </w:r>
          </w:p>
        </w:tc>
        <w:tc>
          <w:tcPr>
            <w:tcW w:type="dxa" w:w="3260"/>
            <w:shd w:fill="EAF6E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217346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90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0B2344"/>
                <w:sz w:val="17"/>
              </w:rPr>
              <w:t>TX High School TEKS v1</w:t>
            </w:r>
          </w:p>
        </w:tc>
        <w:tc>
          <w:tcPr>
            <w:tcW w:type="dxa" w:w="70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344"/>
                <w:sz w:val="17"/>
              </w:rPr>
              <w:t>TX</w:t>
            </w:r>
          </w:p>
        </w:tc>
        <w:tc>
          <w:tcPr>
            <w:tcW w:type="dxa" w:w="145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344"/>
                <w:sz w:val="17"/>
              </w:rPr>
              <w:t>S3-S6</w:t>
            </w:r>
          </w:p>
        </w:tc>
        <w:tc>
          <w:tcPr>
            <w:tcW w:type="dxa" w:w="105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344"/>
                <w:sz w:val="17"/>
              </w:rPr>
              <w:t>1,500</w:t>
            </w:r>
          </w:p>
        </w:tc>
        <w:tc>
          <w:tcPr>
            <w:tcW w:type="dxa" w:w="3260"/>
            <w:shd w:fill="EAF6E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217346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90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0B2344"/>
                <w:sz w:val="17"/>
              </w:rPr>
              <w:t>AR K-G5 v1</w:t>
            </w:r>
          </w:p>
        </w:tc>
        <w:tc>
          <w:tcPr>
            <w:tcW w:type="dxa" w:w="70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344"/>
                <w:sz w:val="17"/>
              </w:rPr>
              <w:t>AR</w:t>
            </w:r>
          </w:p>
        </w:tc>
        <w:tc>
          <w:tcPr>
            <w:tcW w:type="dxa" w:w="145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344"/>
                <w:sz w:val="17"/>
              </w:rPr>
              <w:t>K, P1-P5</w:t>
            </w:r>
          </w:p>
        </w:tc>
        <w:tc>
          <w:tcPr>
            <w:tcW w:type="dxa" w:w="105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344"/>
                <w:sz w:val="17"/>
              </w:rPr>
              <w:t>1,500</w:t>
            </w:r>
          </w:p>
        </w:tc>
        <w:tc>
          <w:tcPr>
            <w:tcW w:type="dxa" w:w="3260"/>
            <w:shd w:fill="EAF6E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217346"/>
                <w:sz w:val="17"/>
              </w:rPr>
              <w:t>PASS; also published</w:t>
            </w:r>
          </w:p>
        </w:tc>
      </w:tr>
    </w:tbl>
    <w:p>
      <w:pPr>
        <w:spacing w:after="80"/>
      </w:pPr>
    </w:p>
    <w:p>
      <w:pPr>
        <w:keepNext/>
        <w:spacing w:before="180" w:after="120"/>
      </w:pPr>
      <w:r>
        <w:rPr>
          <w:rFonts w:ascii="Calibri" w:hAnsi="Calibri" w:eastAsia="Calibri"/>
          <w:b/>
          <w:color w:val="2E75B6"/>
          <w:sz w:val="27"/>
        </w:rPr>
        <w:t>Blocked or not-release-ready question banks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2100"/>
            <w:shd w:fill="F1F4F8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344"/>
                <w:sz w:val="19"/>
              </w:rPr>
              <w:t>Package</w:t>
            </w:r>
          </w:p>
        </w:tc>
        <w:tc>
          <w:tcPr>
            <w:tcW w:type="dxa" w:w="2300"/>
            <w:shd w:fill="F1F4F8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344"/>
                <w:sz w:val="19"/>
              </w:rPr>
              <w:t>Planning state</w:t>
            </w:r>
          </w:p>
        </w:tc>
        <w:tc>
          <w:tcPr>
            <w:tcW w:type="dxa" w:w="1750"/>
            <w:shd w:fill="F1F4F8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344"/>
                <w:sz w:val="19"/>
              </w:rPr>
              <w:t>Current QA state</w:t>
            </w:r>
          </w:p>
        </w:tc>
        <w:tc>
          <w:tcPr>
            <w:tcW w:type="dxa" w:w="3210"/>
            <w:shd w:fill="F1F4F8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344"/>
                <w:sz w:val="19"/>
              </w:rPr>
              <w:t>Blocker / reason</w:t>
            </w:r>
          </w:p>
        </w:tc>
      </w:tr>
      <w:tr>
        <w:trPr>
          <w:cantSplit/>
        </w:trPr>
        <w:tc>
          <w:tcPr>
            <w:tcW w:type="dxa" w:w="210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0B2344"/>
                <w:sz w:val="17"/>
              </w:rPr>
              <w:t>AR G6-G12 v1</w:t>
            </w:r>
          </w:p>
        </w:tc>
        <w:tc>
          <w:tcPr>
            <w:tcW w:type="dxa" w:w="230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344"/>
                <w:sz w:val="17"/>
              </w:rPr>
              <w:t>Plan PASS: 1,500 targets</w:t>
            </w:r>
          </w:p>
        </w:tc>
        <w:tc>
          <w:tcPr>
            <w:tcW w:type="dxa" w:w="175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344"/>
                <w:sz w:val="17"/>
              </w:rPr>
              <w:t>0 generated rows</w:t>
            </w:r>
          </w:p>
        </w:tc>
        <w:tc>
          <w:tcPr>
            <w:tcW w:type="dxa" w:w="321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344"/>
                <w:sz w:val="17"/>
              </w:rPr>
              <w:t>Blocked by missing DeepSeek runtime key / provider setup.</w:t>
            </w:r>
          </w:p>
        </w:tc>
      </w:tr>
      <w:tr>
        <w:trPr>
          <w:cantSplit/>
        </w:trPr>
        <w:tc>
          <w:tcPr>
            <w:tcW w:type="dxa" w:w="210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0B2344"/>
                <w:sz w:val="17"/>
              </w:rPr>
              <w:t>TX G6-G8 v1</w:t>
            </w:r>
          </w:p>
        </w:tc>
        <w:tc>
          <w:tcPr>
            <w:tcW w:type="dxa" w:w="230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344"/>
                <w:sz w:val="17"/>
              </w:rPr>
              <w:t>Plan PASS: 1,500 targets</w:t>
            </w:r>
          </w:p>
        </w:tc>
        <w:tc>
          <w:tcPr>
            <w:tcW w:type="dxa" w:w="175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344"/>
                <w:sz w:val="17"/>
              </w:rPr>
              <w:t>0 generated rows</w:t>
            </w:r>
          </w:p>
        </w:tc>
        <w:tc>
          <w:tcPr>
            <w:tcW w:type="dxa" w:w="321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344"/>
                <w:sz w:val="17"/>
              </w:rPr>
              <w:t>Blocked by missing DeepSeek runtime key / provider setup.</w:t>
            </w:r>
          </w:p>
        </w:tc>
      </w:tr>
      <w:tr>
        <w:trPr>
          <w:cantSplit/>
        </w:trPr>
        <w:tc>
          <w:tcPr>
            <w:tcW w:type="dxa" w:w="210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0B2344"/>
                <w:sz w:val="17"/>
              </w:rPr>
              <w:t>CA High School v5</w:t>
            </w:r>
          </w:p>
        </w:tc>
        <w:tc>
          <w:tcPr>
            <w:tcW w:type="dxa" w:w="230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344"/>
                <w:sz w:val="17"/>
              </w:rPr>
              <w:t>Plan PASS: 1,500 targets</w:t>
            </w:r>
          </w:p>
        </w:tc>
        <w:tc>
          <w:tcPr>
            <w:tcW w:type="dxa" w:w="175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344"/>
                <w:sz w:val="17"/>
              </w:rPr>
              <w:t>0 generated rows</w:t>
            </w:r>
          </w:p>
        </w:tc>
        <w:tc>
          <w:tcPr>
            <w:tcW w:type="dxa" w:w="321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344"/>
                <w:sz w:val="17"/>
              </w:rPr>
              <w:t>Blocked by missing runtime key.</w:t>
            </w:r>
          </w:p>
        </w:tc>
      </w:tr>
      <w:tr>
        <w:trPr>
          <w:cantSplit/>
        </w:trPr>
        <w:tc>
          <w:tcPr>
            <w:tcW w:type="dxa" w:w="210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0B2344"/>
                <w:sz w:val="17"/>
              </w:rPr>
              <w:t>CA G6-G8 DeepSeek v1</w:t>
            </w:r>
          </w:p>
        </w:tc>
        <w:tc>
          <w:tcPr>
            <w:tcW w:type="dxa" w:w="230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344"/>
                <w:sz w:val="17"/>
              </w:rPr>
              <w:t>1,500 generated rows</w:t>
            </w:r>
          </w:p>
        </w:tc>
        <w:tc>
          <w:tcPr>
            <w:tcW w:type="dxa" w:w="1750"/>
            <w:shd w:fill="FDECEC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9C2F2F"/>
                <w:sz w:val="17"/>
              </w:rPr>
              <w:t>QA FAIL</w:t>
            </w:r>
          </w:p>
        </w:tc>
        <w:tc>
          <w:tcPr>
            <w:tcW w:type="dxa" w:w="321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B2344"/>
                <w:sz w:val="17"/>
              </w:rPr>
              <w:t>All rows remain P2/manual-pending; not release-ready.</w:t>
            </w:r>
          </w:p>
        </w:tc>
      </w:tr>
    </w:tbl>
    <w:p>
      <w:pPr>
        <w:spacing w:after="80"/>
      </w:pPr>
    </w:p>
    <w:p>
      <w:pPr>
        <w:spacing w:after="0"/>
      </w:pPr>
      <w:r>
        <w:br w:type="page"/>
      </w:r>
    </w:p>
    <w:p>
      <w:pPr>
        <w:keepNext/>
        <w:spacing w:before="280" w:after="160"/>
      </w:pPr>
      <w:r>
        <w:rPr>
          <w:rFonts w:ascii="Calibri" w:hAnsi="Calibri" w:eastAsia="Calibri"/>
          <w:b/>
          <w:color w:val="2E75B6"/>
          <w:sz w:val="36"/>
        </w:rPr>
        <w:t>4. QA Coverage and Release Meaning</w:t>
      </w:r>
    </w:p>
    <w:p>
      <w:pPr>
        <w:spacing w:before="0" w:after="140" w:line="269" w:lineRule="auto"/>
      </w:pPr>
      <w:r>
        <w:rPr>
          <w:rFonts w:ascii="Calibri" w:hAnsi="Calibri" w:eastAsia="Calibri"/>
          <w:color w:val="0B2344"/>
          <w:sz w:val="22"/>
        </w:rPr>
        <w:t>The QA system distinguishes structural inventory, source-safety distance, answer/solvability, manual sample review, and publication. Scott should treat QA PASS as evidence that a candidate package cleared automated and sample-review gates; product release still requires a separate content-integration decision.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950"/>
            <w:shd w:fill="F1F4F8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344"/>
                <w:sz w:val="19"/>
              </w:rPr>
              <w:t>QA area</w:t>
            </w:r>
          </w:p>
        </w:tc>
        <w:tc>
          <w:tcPr>
            <w:tcW w:type="dxa" w:w="1500"/>
            <w:shd w:fill="F1F4F8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344"/>
                <w:sz w:val="19"/>
              </w:rPr>
              <w:t>Readiness</w:t>
            </w:r>
          </w:p>
        </w:tc>
        <w:tc>
          <w:tcPr>
            <w:tcW w:type="dxa" w:w="5910"/>
            <w:shd w:fill="F1F4F8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344"/>
                <w:sz w:val="19"/>
              </w:rPr>
              <w:t>Evidence</w:t>
            </w:r>
          </w:p>
        </w:tc>
      </w:tr>
      <w:tr>
        <w:trPr>
          <w:cantSplit/>
        </w:trPr>
        <w:tc>
          <w:tcPr>
            <w:tcW w:type="dxa" w:w="195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0B2344"/>
                <w:sz w:val="18"/>
              </w:rPr>
              <w:t>RAG standards QA</w:t>
            </w:r>
          </w:p>
        </w:tc>
        <w:tc>
          <w:tcPr>
            <w:tcW w:type="dxa" w:w="1500"/>
            <w:shd w:fill="EAF6E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217346"/>
                <w:sz w:val="18"/>
              </w:rPr>
              <w:t>PASS</w:t>
            </w:r>
          </w:p>
        </w:tc>
        <w:tc>
          <w:tcPr>
            <w:tcW w:type="dxa" w:w="591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0B2344"/>
                <w:sz w:val="18"/>
              </w:rPr>
              <w:t>U.S. RAG tests pass locally: 253/253.</w:t>
            </w:r>
          </w:p>
        </w:tc>
      </w:tr>
      <w:tr>
        <w:trPr>
          <w:cantSplit/>
        </w:trPr>
        <w:tc>
          <w:tcPr>
            <w:tcW w:type="dxa" w:w="195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0B2344"/>
                <w:sz w:val="18"/>
              </w:rPr>
              <w:t>Textbook QA</w:t>
            </w:r>
          </w:p>
        </w:tc>
        <w:tc>
          <w:tcPr>
            <w:tcW w:type="dxa" w:w="1500"/>
            <w:shd w:fill="FFF4DC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9A6400"/>
                <w:sz w:val="18"/>
              </w:rPr>
              <w:t>Mostly PASS</w:t>
            </w:r>
          </w:p>
        </w:tc>
        <w:tc>
          <w:tcPr>
            <w:tcW w:type="dxa" w:w="591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0B2344"/>
                <w:sz w:val="18"/>
              </w:rPr>
              <w:t>CA/AR G6-G12 passed validation; TX K-G5 passed AI polish and DOCX render QA; K-G5 CA/AR/NC reports show 0 issues.</w:t>
            </w:r>
          </w:p>
        </w:tc>
      </w:tr>
      <w:tr>
        <w:trPr>
          <w:cantSplit/>
        </w:trPr>
        <w:tc>
          <w:tcPr>
            <w:tcW w:type="dxa" w:w="195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0B2344"/>
                <w:sz w:val="18"/>
              </w:rPr>
              <w:t>Question structural QA</w:t>
            </w:r>
          </w:p>
        </w:tc>
        <w:tc>
          <w:tcPr>
            <w:tcW w:type="dxa" w:w="1500"/>
            <w:shd w:fill="FFF4DC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9A6400"/>
                <w:sz w:val="18"/>
              </w:rPr>
              <w:t>Mixed</w:t>
            </w:r>
          </w:p>
        </w:tc>
        <w:tc>
          <w:tcPr>
            <w:tcW w:type="dxa" w:w="591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0B2344"/>
                <w:sz w:val="18"/>
              </w:rPr>
              <w:t>Several CA/TX/AR candidate packs are PASS; AR G6-G12, TX G6-G8, and CA HS v5 are generation-blocked.</w:t>
            </w:r>
          </w:p>
        </w:tc>
      </w:tr>
      <w:tr>
        <w:trPr>
          <w:cantSplit/>
        </w:trPr>
        <w:tc>
          <w:tcPr>
            <w:tcW w:type="dxa" w:w="195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0B2344"/>
                <w:sz w:val="18"/>
              </w:rPr>
              <w:t>Solvability QA</w:t>
            </w:r>
          </w:p>
        </w:tc>
        <w:tc>
          <w:tcPr>
            <w:tcW w:type="dxa" w:w="1500"/>
            <w:shd w:fill="F1F4F8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5F6F86"/>
                <w:sz w:val="18"/>
              </w:rPr>
              <w:t>Strong where complete</w:t>
            </w:r>
          </w:p>
        </w:tc>
        <w:tc>
          <w:tcPr>
            <w:tcW w:type="dxa" w:w="591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0B2344"/>
                <w:sz w:val="18"/>
              </w:rPr>
              <w:t>QA-passed question packs report 1,500/1,500 passing where solvability outputs are complete.</w:t>
            </w:r>
          </w:p>
        </w:tc>
      </w:tr>
      <w:tr>
        <w:trPr>
          <w:cantSplit/>
        </w:trPr>
        <w:tc>
          <w:tcPr>
            <w:tcW w:type="dxa" w:w="195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0B2344"/>
                <w:sz w:val="18"/>
              </w:rPr>
              <w:t>Manual review</w:t>
            </w:r>
          </w:p>
        </w:tc>
        <w:tc>
          <w:tcPr>
            <w:tcW w:type="dxa" w:w="1500"/>
            <w:shd w:fill="F1F4F8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5F6F86"/>
                <w:sz w:val="18"/>
              </w:rPr>
              <w:t>Sample-based</w:t>
            </w:r>
          </w:p>
        </w:tc>
        <w:tc>
          <w:tcPr>
            <w:tcW w:type="dxa" w:w="591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0B2344"/>
                <w:sz w:val="18"/>
              </w:rPr>
              <w:t>Manual queues exist for candidate packs; accepted sample counts vary by package.</w:t>
            </w:r>
          </w:p>
        </w:tc>
      </w:tr>
    </w:tbl>
    <w:p>
      <w:pPr>
        <w:spacing w:after="80"/>
      </w:pPr>
    </w:p>
    <w:p>
      <w:pPr>
        <w:keepNext/>
        <w:spacing w:before="280" w:after="160"/>
      </w:pPr>
      <w:r>
        <w:rPr>
          <w:rFonts w:ascii="Calibri" w:hAnsi="Calibri" w:eastAsia="Calibri"/>
          <w:b/>
          <w:color w:val="2E75B6"/>
          <w:sz w:val="36"/>
        </w:rPr>
        <w:t>5. Current Risks and Blockers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300"/>
            <w:shd w:fill="F1F4F8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344"/>
                <w:sz w:val="19"/>
              </w:rPr>
              <w:t>Risk / blocker</w:t>
            </w:r>
          </w:p>
        </w:tc>
        <w:tc>
          <w:tcPr>
            <w:tcW w:type="dxa" w:w="3360"/>
            <w:shd w:fill="F1F4F8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344"/>
                <w:sz w:val="19"/>
              </w:rPr>
              <w:t>Impact</w:t>
            </w:r>
          </w:p>
        </w:tc>
        <w:tc>
          <w:tcPr>
            <w:tcW w:type="dxa" w:w="3700"/>
            <w:shd w:fill="F1F4F8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344"/>
                <w:sz w:val="19"/>
              </w:rPr>
              <w:t>Recommended handling</w:t>
            </w:r>
          </w:p>
        </w:tc>
      </w:tr>
      <w:tr>
        <w:trPr>
          <w:cantSplit/>
        </w:trPr>
        <w:tc>
          <w:tcPr>
            <w:tcW w:type="dxa" w:w="230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/>
                <w:color w:val="0B2344"/>
                <w:sz w:val="17"/>
              </w:rPr>
              <w:t>DeepSeek runtime credential / provider availability</w:t>
            </w:r>
          </w:p>
        </w:tc>
        <w:tc>
          <w:tcPr>
            <w:tcW w:type="dxa" w:w="336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0B2344"/>
                <w:sz w:val="17"/>
              </w:rPr>
              <w:t>Prevents AR G6-G12, TX G6-G8, and CA HS v5 question generation from starting or resuming.</w:t>
            </w:r>
          </w:p>
        </w:tc>
        <w:tc>
          <w:tcPr>
            <w:tcW w:type="dxa" w:w="370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0B2344"/>
                <w:sz w:val="17"/>
              </w:rPr>
              <w:t>Use a rotated runtime-only key through environment variables; do not commit or log credentials.</w:t>
            </w:r>
          </w:p>
        </w:tc>
      </w:tr>
      <w:tr>
        <w:trPr>
          <w:cantSplit/>
        </w:trPr>
        <w:tc>
          <w:tcPr>
            <w:tcW w:type="dxa" w:w="230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/>
                <w:color w:val="0B2344"/>
                <w:sz w:val="17"/>
              </w:rPr>
              <w:t>Candidate vs. published data separation</w:t>
            </w:r>
          </w:p>
        </w:tc>
        <w:tc>
          <w:tcPr>
            <w:tcW w:type="dxa" w:w="336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0B2344"/>
                <w:sz w:val="17"/>
              </w:rPr>
              <w:t>Several QA PASS question banks are not yet in data/generated-content, so they should not be assumed live.</w:t>
            </w:r>
          </w:p>
        </w:tc>
        <w:tc>
          <w:tcPr>
            <w:tcW w:type="dxa" w:w="370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0B2344"/>
                <w:sz w:val="17"/>
              </w:rPr>
              <w:t>Make a promotion checklist for S18/S04/S11 before product integration.</w:t>
            </w:r>
          </w:p>
        </w:tc>
      </w:tr>
      <w:tr>
        <w:trPr>
          <w:cantSplit/>
        </w:trPr>
        <w:tc>
          <w:tcPr>
            <w:tcW w:type="dxa" w:w="230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/>
                <w:color w:val="0B2344"/>
                <w:sz w:val="17"/>
              </w:rPr>
              <w:t>Manual QA sample coverage varies</w:t>
            </w:r>
          </w:p>
        </w:tc>
        <w:tc>
          <w:tcPr>
            <w:tcW w:type="dxa" w:w="336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0B2344"/>
                <w:sz w:val="17"/>
              </w:rPr>
              <w:t>Some packages have full automated QA but only sample-based manual acceptance.</w:t>
            </w:r>
          </w:p>
        </w:tc>
        <w:tc>
          <w:tcPr>
            <w:tcW w:type="dxa" w:w="370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0B2344"/>
                <w:sz w:val="17"/>
              </w:rPr>
              <w:t>Ask Scott to prioritize which state/grade bands require deeper expert sampling.</w:t>
            </w:r>
          </w:p>
        </w:tc>
      </w:tr>
      <w:tr>
        <w:trPr>
          <w:cantSplit/>
        </w:trPr>
        <w:tc>
          <w:tcPr>
            <w:tcW w:type="dxa" w:w="230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/>
                <w:color w:val="0B2344"/>
                <w:sz w:val="17"/>
              </w:rPr>
              <w:t>Source-safety policy must remain strict</w:t>
            </w:r>
          </w:p>
        </w:tc>
        <w:tc>
          <w:tcPr>
            <w:tcW w:type="dxa" w:w="336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0B2344"/>
                <w:sz w:val="17"/>
              </w:rPr>
              <w:t>U.S. state standards, assessment artifacts, and publisher materials have different reuse constraints.</w:t>
            </w:r>
          </w:p>
        </w:tc>
        <w:tc>
          <w:tcPr>
            <w:tcW w:type="dxa" w:w="370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0B2344"/>
                <w:sz w:val="17"/>
              </w:rPr>
              <w:t>Continue safe-card abstraction only; avoid official wording, released items, or textbook examples.</w:t>
            </w:r>
          </w:p>
        </w:tc>
      </w:tr>
    </w:tbl>
    <w:p>
      <w:pPr>
        <w:spacing w:after="80"/>
      </w:pPr>
    </w:p>
    <w:p>
      <w:pPr>
        <w:spacing w:after="0"/>
      </w:pPr>
      <w:r>
        <w:br w:type="page"/>
      </w:r>
    </w:p>
    <w:p>
      <w:pPr>
        <w:keepNext/>
        <w:spacing w:before="280" w:after="160"/>
      </w:pPr>
      <w:r>
        <w:rPr>
          <w:rFonts w:ascii="Calibri" w:hAnsi="Calibri" w:eastAsia="Calibri"/>
          <w:b/>
          <w:color w:val="2E75B6"/>
          <w:sz w:val="36"/>
        </w:rPr>
        <w:t>6. Recommended Next Steps for Scott Review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820"/>
            <w:shd w:fill="F1F4F8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344"/>
                <w:sz w:val="19"/>
              </w:rPr>
              <w:t>Priority</w:t>
            </w:r>
          </w:p>
        </w:tc>
        <w:tc>
          <w:tcPr>
            <w:tcW w:type="dxa" w:w="4750"/>
            <w:shd w:fill="F1F4F8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344"/>
                <w:sz w:val="19"/>
              </w:rPr>
              <w:t>Action</w:t>
            </w:r>
          </w:p>
        </w:tc>
        <w:tc>
          <w:tcPr>
            <w:tcW w:type="dxa" w:w="3790"/>
            <w:shd w:fill="F1F4F8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344"/>
                <w:sz w:val="19"/>
              </w:rPr>
              <w:t>Why it matters</w:t>
            </w:r>
          </w:p>
        </w:tc>
      </w:tr>
      <w:tr>
        <w:trPr>
          <w:cantSplit/>
        </w:trPr>
        <w:tc>
          <w:tcPr>
            <w:tcW w:type="dxa" w:w="82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0B2344"/>
                <w:sz w:val="17"/>
              </w:rPr>
              <w:t>1</w:t>
            </w:r>
          </w:p>
        </w:tc>
        <w:tc>
          <w:tcPr>
            <w:tcW w:type="dxa" w:w="475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0B2344"/>
                <w:sz w:val="17"/>
              </w:rPr>
              <w:t>Review the safe-RAG state profiles and decide whether Phase 1/2/3 priority order matches MAIS business goals.</w:t>
            </w:r>
          </w:p>
        </w:tc>
        <w:tc>
          <w:tcPr>
            <w:tcW w:type="dxa" w:w="379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0B2344"/>
                <w:sz w:val="17"/>
              </w:rPr>
              <w:t>This sets the state rollout sequence before more generation work scales.</w:t>
            </w:r>
          </w:p>
        </w:tc>
      </w:tr>
      <w:tr>
        <w:trPr>
          <w:cantSplit/>
        </w:trPr>
        <w:tc>
          <w:tcPr>
            <w:tcW w:type="dxa" w:w="82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0B2344"/>
                <w:sz w:val="17"/>
              </w:rPr>
              <w:t>2</w:t>
            </w:r>
          </w:p>
        </w:tc>
        <w:tc>
          <w:tcPr>
            <w:tcW w:type="dxa" w:w="475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0B2344"/>
                <w:sz w:val="17"/>
              </w:rPr>
              <w:t>Expert-sample AR K-G5 and CA K-G5 published question packs before broader student-facing use.</w:t>
            </w:r>
          </w:p>
        </w:tc>
        <w:tc>
          <w:tcPr>
            <w:tcW w:type="dxa" w:w="379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0B2344"/>
                <w:sz w:val="17"/>
              </w:rPr>
              <w:t>These are the strongest currently published U.S. question banks.</w:t>
            </w:r>
          </w:p>
        </w:tc>
      </w:tr>
      <w:tr>
        <w:trPr>
          <w:cantSplit/>
        </w:trPr>
        <w:tc>
          <w:tcPr>
            <w:tcW w:type="dxa" w:w="82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0B2344"/>
                <w:sz w:val="17"/>
              </w:rPr>
              <w:t>3</w:t>
            </w:r>
          </w:p>
        </w:tc>
        <w:tc>
          <w:tcPr>
            <w:tcW w:type="dxa" w:w="475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0B2344"/>
                <w:sz w:val="17"/>
              </w:rPr>
              <w:t>Select which QA-passed candidate banks should be promoted next: CA G6-G12, CA High School v3, TX K-G5, or TX High School.</w:t>
            </w:r>
          </w:p>
        </w:tc>
        <w:tc>
          <w:tcPr>
            <w:tcW w:type="dxa" w:w="379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0B2344"/>
                <w:sz w:val="17"/>
              </w:rPr>
              <w:t>Promotion is a product decision, not only a QA result.</w:t>
            </w:r>
          </w:p>
        </w:tc>
      </w:tr>
      <w:tr>
        <w:trPr>
          <w:cantSplit/>
        </w:trPr>
        <w:tc>
          <w:tcPr>
            <w:tcW w:type="dxa" w:w="82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0B2344"/>
                <w:sz w:val="17"/>
              </w:rPr>
              <w:t>4</w:t>
            </w:r>
          </w:p>
        </w:tc>
        <w:tc>
          <w:tcPr>
            <w:tcW w:type="dxa" w:w="475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0B2344"/>
                <w:sz w:val="17"/>
              </w:rPr>
              <w:t>Unblock DeepSeek runtime setup only after key rotation and credential hygiene are confirmed.</w:t>
            </w:r>
          </w:p>
        </w:tc>
        <w:tc>
          <w:tcPr>
            <w:tcW w:type="dxa" w:w="379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0B2344"/>
                <w:sz w:val="17"/>
              </w:rPr>
              <w:t>AR G6-G12 and TX G6-G8 are planned but not generated.</w:t>
            </w:r>
          </w:p>
        </w:tc>
      </w:tr>
      <w:tr>
        <w:trPr>
          <w:cantSplit/>
        </w:trPr>
        <w:tc>
          <w:tcPr>
            <w:tcW w:type="dxa" w:w="82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0B2344"/>
                <w:sz w:val="17"/>
              </w:rPr>
              <w:t>5</w:t>
            </w:r>
          </w:p>
        </w:tc>
        <w:tc>
          <w:tcPr>
            <w:tcW w:type="dxa" w:w="475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0B2344"/>
                <w:sz w:val="17"/>
              </w:rPr>
              <w:t>Define Scott-level curriculum QA rubric for U.S. content: standard alignment, grade appropriateness, mathematical rigor, language clarity, and assessment representativeness.</w:t>
            </w:r>
          </w:p>
        </w:tc>
        <w:tc>
          <w:tcPr>
            <w:tcW w:type="dxa" w:w="379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0B2344"/>
                <w:sz w:val="17"/>
              </w:rPr>
              <w:t>This converts engineering QA into expert curriculum approval.</w:t>
            </w:r>
          </w:p>
        </w:tc>
      </w:tr>
    </w:tbl>
    <w:p>
      <w:pPr>
        <w:spacing w:after="80"/>
      </w:pPr>
    </w:p>
    <w:p>
      <w:pPr>
        <w:keepNext/>
        <w:spacing w:before="280" w:after="160"/>
      </w:pPr>
      <w:r>
        <w:rPr>
          <w:rFonts w:ascii="Calibri" w:hAnsi="Calibri" w:eastAsia="Calibri"/>
          <w:b/>
          <w:color w:val="2E75B6"/>
          <w:sz w:val="36"/>
        </w:rPr>
        <w:t>Appendix: Artifact Map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600"/>
            <w:shd w:fill="F1F4F8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344"/>
                <w:sz w:val="19"/>
              </w:rPr>
              <w:t>Artifact group</w:t>
            </w:r>
          </w:p>
        </w:tc>
        <w:tc>
          <w:tcPr>
            <w:tcW w:type="dxa" w:w="6760"/>
            <w:shd w:fill="F1F4F8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B2344"/>
                <w:sz w:val="19"/>
              </w:rPr>
              <w:t>Representative local path</w:t>
            </w:r>
          </w:p>
        </w:tc>
      </w:tr>
      <w:tr>
        <w:trPr>
          <w:cantSplit/>
        </w:trPr>
        <w:tc>
          <w:tcPr>
            <w:tcW w:type="dxa" w:w="260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/>
                <w:color w:val="0B2344"/>
                <w:sz w:val="18"/>
              </w:rPr>
              <w:t>U.S. safe-RAG source layer</w:t>
            </w:r>
          </w:p>
        </w:tc>
        <w:tc>
          <w:tcPr>
            <w:tcW w:type="dxa" w:w="676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0B2344"/>
                <w:sz w:val="18"/>
              </w:rPr>
              <w:t>data/rag/usMath.ts and lib/rag/usMath.ts</w:t>
            </w:r>
          </w:p>
        </w:tc>
      </w:tr>
      <w:tr>
        <w:trPr>
          <w:cantSplit/>
        </w:trPr>
        <w:tc>
          <w:tcPr>
            <w:tcW w:type="dxa" w:w="260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/>
                <w:color w:val="0B2344"/>
                <w:sz w:val="18"/>
              </w:rPr>
              <w:t>Published U.S. generated content</w:t>
            </w:r>
          </w:p>
        </w:tc>
        <w:tc>
          <w:tcPr>
            <w:tcW w:type="dxa" w:w="676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0B2344"/>
                <w:sz w:val="18"/>
              </w:rPr>
              <w:t>data/generated-content/us-*</w:t>
            </w:r>
          </w:p>
        </w:tc>
      </w:tr>
      <w:tr>
        <w:trPr>
          <w:cantSplit/>
        </w:trPr>
        <w:tc>
          <w:tcPr>
            <w:tcW w:type="dxa" w:w="260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/>
                <w:color w:val="0B2344"/>
                <w:sz w:val="18"/>
              </w:rPr>
              <w:t>U.S. content QA packages</w:t>
            </w:r>
          </w:p>
        </w:tc>
        <w:tc>
          <w:tcPr>
            <w:tcW w:type="dxa" w:w="676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0B2344"/>
                <w:sz w:val="18"/>
              </w:rPr>
              <w:t>coordination/content-qa/us-*</w:t>
            </w:r>
          </w:p>
        </w:tc>
      </w:tr>
      <w:tr>
        <w:trPr>
          <w:cantSplit/>
        </w:trPr>
        <w:tc>
          <w:tcPr>
            <w:tcW w:type="dxa" w:w="260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/>
                <w:color w:val="0B2344"/>
                <w:sz w:val="18"/>
              </w:rPr>
              <w:t>Credential/provider blockers</w:t>
            </w:r>
          </w:p>
        </w:tc>
        <w:tc>
          <w:tcPr>
            <w:tcW w:type="dxa" w:w="676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0B2344"/>
                <w:sz w:val="18"/>
              </w:rPr>
              <w:t>coordination/blockers/*us*</w:t>
            </w:r>
          </w:p>
        </w:tc>
      </w:tr>
      <w:tr>
        <w:trPr>
          <w:cantSplit/>
        </w:trPr>
        <w:tc>
          <w:tcPr>
            <w:tcW w:type="dxa" w:w="260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/>
                <w:color w:val="0B2344"/>
                <w:sz w:val="18"/>
              </w:rPr>
              <w:t>Latest project verification</w:t>
            </w:r>
          </w:p>
        </w:tc>
        <w:tc>
          <w:tcPr>
            <w:tcW w:type="dxa" w:w="6760"/>
            <w:shd w:fill="FFFFFF"/>
            <w:tcBorders>
              <w:top w:val="single" w:sz="4" w:color="C8D6E5"/>
              <w:left w:val="single" w:sz="4" w:color="C8D6E5"/>
              <w:bottom w:val="single" w:sz="4" w:color="C8D6E5"/>
              <w:right w:val="single" w:sz="4" w:color="C8D6E5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Calibri"/>
                <w:b w:val="0"/>
                <w:color w:val="0B2344"/>
                <w:sz w:val="18"/>
              </w:rPr>
              <w:t>npm run type-check; npm run test:rag</w:t>
            </w:r>
          </w:p>
        </w:tc>
      </w:tr>
    </w:tbl>
    <w:p>
      <w:pPr>
        <w:spacing w:after="80"/>
      </w:pPr>
    </w:p>
    <w:p>
      <w:pPr>
        <w:spacing w:before="240" w:line="252" w:lineRule="auto"/>
      </w:pPr>
      <w:r>
        <w:rPr>
          <w:rFonts w:ascii="Calibri" w:hAnsi="Calibri" w:eastAsia="Calibri"/>
          <w:i/>
          <w:color w:val="5F6F86"/>
          <w:sz w:val="18"/>
        </w:rPr>
        <w:t>Note: This brief summarizes local project artifacts inspected on June 2, 2026. It does not imply endorsement by any state education agency, assessment provider, school district, or publisher.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123" w:bottom="893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5F6F86"/>
        <w:sz w:val="17"/>
      </w:rPr>
      <w:t>Candidate and published content status as of June 2,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color="C8D6E5"/>
      </w:pBdr>
    </w:pPr>
    <w:r>
      <w:rPr>
        <w:rFonts w:ascii="Calibri" w:hAnsi="Calibri" w:eastAsia="Calibri"/>
        <w:color w:val="5F6F86"/>
        <w:sz w:val="18"/>
      </w:rPr>
      <w:t>MAIS U.S. Math Content Pipeline | Scott Review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0B234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