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0" w:after="80" w:line="252" w:lineRule="auto"/>
      </w:pPr>
      <w:r>
        <w:rPr>
          <w:rFonts w:ascii="Calibri" w:hAnsi="Calibri"/>
          <w:b/>
          <w:i w:val="0"/>
          <w:color w:val="2E74B5"/>
          <w:sz w:val="21"/>
        </w:rPr>
        <w:t>QA REVIEW MEMO</w:t>
      </w:r>
    </w:p>
    <w:p>
      <w:pPr>
        <w:keepNext/>
        <w:spacing w:before="0" w:after="40" w:line="252" w:lineRule="auto"/>
      </w:pPr>
      <w:r>
        <w:rPr>
          <w:rFonts w:ascii="Calibri" w:hAnsi="Calibri"/>
          <w:b/>
          <w:i w:val="0"/>
          <w:color w:val="0B2545"/>
          <w:sz w:val="42"/>
        </w:rPr>
        <w:t>Evaluation of the Bug Descriptions in the Attached DOCX</w:t>
      </w:r>
    </w:p>
    <w:p>
      <w:pPr>
        <w:spacing w:before="0" w:after="160" w:line="252" w:lineRule="auto"/>
      </w:pPr>
      <w:r>
        <w:rPr>
          <w:rFonts w:ascii="Calibri" w:hAnsi="Calibri"/>
          <w:b w:val="0"/>
          <w:i/>
          <w:color w:val="596573"/>
          <w:sz w:val="23"/>
        </w:rPr>
        <w:t>English translation and polished formatting of Codex's assessment</w:t>
      </w:r>
    </w:p>
    <w:tbl>
      <w:tblPr>
        <w:tblW w:type="dxa" w:w="9360"/>
        <w:jc w:val="left"/>
        <w:tblLook w:firstColumn="1" w:firstRow="1" w:lastColumn="0" w:lastRow="0" w:noHBand="0" w:noVBand="1" w:val="04A0"/>
        <w:tblInd w:w="120" w:type="dxa"/>
        <w:tblLayout w:type="fixed"/>
      </w:tblPr>
      <w:tblGrid>
        <w:gridCol w:w="2160"/>
        <w:gridCol w:w="7200"/>
      </w:tblGrid>
      <w:tr>
        <w:tc>
          <w:tcPr>
            <w:tcW w:type="dxa" w:w="2160"/>
            <w:shd w:fill="F2F4F7"/>
            <w:tcBorders>
              <w:top w:val="single" w:sz="8" w:space="0" w:color="B8C7D9"/>
              <w:left w:val="single" w:sz="8" w:space="0" w:color="B8C7D9"/>
              <w:bottom w:val="single" w:sz="8" w:space="0" w:color="B8C7D9"/>
              <w:right w:val="single" w:sz="8" w:space="0" w:color="B8C7D9"/>
              <w:insideH w:val="single" w:sz="8" w:space="0" w:color="B8C7D9"/>
              <w:insideV w:val="single" w:sz="8" w:space="0" w:color="B8C7D9"/>
            </w:tcBorders>
            <w:tcMar>
              <w:top w:w="70" w:type="dxa"/>
              <w:start w:w="110" w:type="dxa"/>
              <w:bottom w:w="70" w:type="dxa"/>
              <w:end w:w="110" w:type="dxa"/>
            </w:tcMar>
            <w:vAlign w:val="center"/>
          </w:tcPr>
          <w:p>
            <w:pPr>
              <w:spacing w:before="0" w:after="0" w:line="247" w:lineRule="auto"/>
            </w:pPr>
            <w:r/>
            <w:r>
              <w:rPr>
                <w:rFonts w:ascii="Calibri" w:hAnsi="Calibri"/>
                <w:b/>
                <w:color w:val="1F4D78"/>
                <w:sz w:val="19"/>
              </w:rPr>
              <w:t>Prepared for</w:t>
            </w:r>
          </w:p>
        </w:tc>
        <w:tc>
          <w:tcPr>
            <w:tcW w:type="dxa" w:w="7200"/>
            <w:tcBorders>
              <w:top w:val="single" w:sz="8" w:space="0" w:color="B8C7D9"/>
              <w:left w:val="single" w:sz="8" w:space="0" w:color="B8C7D9"/>
              <w:bottom w:val="single" w:sz="8" w:space="0" w:color="B8C7D9"/>
              <w:right w:val="single" w:sz="8" w:space="0" w:color="B8C7D9"/>
              <w:insideH w:val="single" w:sz="8" w:space="0" w:color="B8C7D9"/>
              <w:insideV w:val="single" w:sz="8" w:space="0" w:color="B8C7D9"/>
            </w:tcBorders>
            <w:tcMar>
              <w:top w:w="70" w:type="dxa"/>
              <w:start w:w="110" w:type="dxa"/>
              <w:bottom w:w="70" w:type="dxa"/>
              <w:end w:w="110" w:type="dxa"/>
            </w:tcMar>
            <w:vAlign w:val="center"/>
          </w:tcPr>
          <w:p>
            <w:pPr>
              <w:spacing w:before="0" w:after="0" w:line="247" w:lineRule="auto"/>
            </w:pPr>
            <w:r/>
            <w:r>
              <w:rPr>
                <w:rFonts w:ascii="Calibri" w:hAnsi="Calibri"/>
                <w:b w:val="0"/>
                <w:color w:val="0B2545"/>
                <w:sz w:val="19"/>
              </w:rPr>
              <w:t>MAIS-MVP bug triage and engineering follow-up</w:t>
            </w:r>
          </w:p>
        </w:tc>
      </w:tr>
      <w:tr>
        <w:tc>
          <w:tcPr>
            <w:tcW w:type="dxa" w:w="2160"/>
            <w:shd w:fill="F2F4F7"/>
            <w:tcBorders>
              <w:top w:val="single" w:sz="8" w:space="0" w:color="B8C7D9"/>
              <w:left w:val="single" w:sz="8" w:space="0" w:color="B8C7D9"/>
              <w:bottom w:val="single" w:sz="8" w:space="0" w:color="B8C7D9"/>
              <w:right w:val="single" w:sz="8" w:space="0" w:color="B8C7D9"/>
              <w:insideH w:val="single" w:sz="8" w:space="0" w:color="B8C7D9"/>
              <w:insideV w:val="single" w:sz="8" w:space="0" w:color="B8C7D9"/>
            </w:tcBorders>
            <w:tcMar>
              <w:top w:w="70" w:type="dxa"/>
              <w:start w:w="110" w:type="dxa"/>
              <w:bottom w:w="70" w:type="dxa"/>
              <w:end w:w="110" w:type="dxa"/>
            </w:tcMar>
            <w:vAlign w:val="center"/>
          </w:tcPr>
          <w:p>
            <w:pPr>
              <w:spacing w:before="0" w:after="0" w:line="247" w:lineRule="auto"/>
            </w:pPr>
            <w:r/>
            <w:r>
              <w:rPr>
                <w:rFonts w:ascii="Calibri" w:hAnsi="Calibri"/>
                <w:b/>
                <w:color w:val="1F4D78"/>
                <w:sz w:val="19"/>
              </w:rPr>
              <w:t>Prepared by</w:t>
            </w:r>
          </w:p>
        </w:tc>
        <w:tc>
          <w:tcPr>
            <w:tcW w:type="dxa" w:w="7200"/>
            <w:tcBorders>
              <w:top w:val="single" w:sz="8" w:space="0" w:color="B8C7D9"/>
              <w:left w:val="single" w:sz="8" w:space="0" w:color="B8C7D9"/>
              <w:bottom w:val="single" w:sz="8" w:space="0" w:color="B8C7D9"/>
              <w:right w:val="single" w:sz="8" w:space="0" w:color="B8C7D9"/>
              <w:insideH w:val="single" w:sz="8" w:space="0" w:color="B8C7D9"/>
              <w:insideV w:val="single" w:sz="8" w:space="0" w:color="B8C7D9"/>
            </w:tcBorders>
            <w:tcMar>
              <w:top w:w="70" w:type="dxa"/>
              <w:start w:w="110" w:type="dxa"/>
              <w:bottom w:w="70" w:type="dxa"/>
              <w:end w:w="110" w:type="dxa"/>
            </w:tcMar>
            <w:vAlign w:val="center"/>
          </w:tcPr>
          <w:p>
            <w:pPr>
              <w:spacing w:before="0" w:after="0" w:line="247" w:lineRule="auto"/>
            </w:pPr>
            <w:r/>
            <w:r>
              <w:rPr>
                <w:rFonts w:ascii="Calibri" w:hAnsi="Calibri"/>
                <w:b w:val="0"/>
                <w:color w:val="0B2545"/>
                <w:sz w:val="19"/>
              </w:rPr>
              <w:t>Codex, S10 documentation/reporting using the S11 QA review lens</w:t>
            </w:r>
          </w:p>
        </w:tc>
      </w:tr>
      <w:tr>
        <w:tc>
          <w:tcPr>
            <w:tcW w:type="dxa" w:w="2160"/>
            <w:shd w:fill="F2F4F7"/>
            <w:tcBorders>
              <w:top w:val="single" w:sz="8" w:space="0" w:color="B8C7D9"/>
              <w:left w:val="single" w:sz="8" w:space="0" w:color="B8C7D9"/>
              <w:bottom w:val="single" w:sz="8" w:space="0" w:color="B8C7D9"/>
              <w:right w:val="single" w:sz="8" w:space="0" w:color="B8C7D9"/>
              <w:insideH w:val="single" w:sz="8" w:space="0" w:color="B8C7D9"/>
              <w:insideV w:val="single" w:sz="8" w:space="0" w:color="B8C7D9"/>
            </w:tcBorders>
            <w:tcMar>
              <w:top w:w="70" w:type="dxa"/>
              <w:start w:w="110" w:type="dxa"/>
              <w:bottom w:w="70" w:type="dxa"/>
              <w:end w:w="110" w:type="dxa"/>
            </w:tcMar>
            <w:vAlign w:val="center"/>
          </w:tcPr>
          <w:p>
            <w:pPr>
              <w:spacing w:before="0" w:after="0" w:line="247" w:lineRule="auto"/>
            </w:pPr>
            <w:r/>
            <w:r>
              <w:rPr>
                <w:rFonts w:ascii="Calibri" w:hAnsi="Calibri"/>
                <w:b/>
                <w:color w:val="1F4D78"/>
                <w:sz w:val="19"/>
              </w:rPr>
              <w:t>Date</w:t>
            </w:r>
          </w:p>
        </w:tc>
        <w:tc>
          <w:tcPr>
            <w:tcW w:type="dxa" w:w="7200"/>
            <w:tcBorders>
              <w:top w:val="single" w:sz="8" w:space="0" w:color="B8C7D9"/>
              <w:left w:val="single" w:sz="8" w:space="0" w:color="B8C7D9"/>
              <w:bottom w:val="single" w:sz="8" w:space="0" w:color="B8C7D9"/>
              <w:right w:val="single" w:sz="8" w:space="0" w:color="B8C7D9"/>
              <w:insideH w:val="single" w:sz="8" w:space="0" w:color="B8C7D9"/>
              <w:insideV w:val="single" w:sz="8" w:space="0" w:color="B8C7D9"/>
            </w:tcBorders>
            <w:tcMar>
              <w:top w:w="70" w:type="dxa"/>
              <w:start w:w="110" w:type="dxa"/>
              <w:bottom w:w="70" w:type="dxa"/>
              <w:end w:w="110" w:type="dxa"/>
            </w:tcMar>
            <w:vAlign w:val="center"/>
          </w:tcPr>
          <w:p>
            <w:pPr>
              <w:spacing w:before="0" w:after="0" w:line="247" w:lineRule="auto"/>
            </w:pPr>
            <w:r/>
            <w:r>
              <w:rPr>
                <w:rFonts w:ascii="Calibri" w:hAnsi="Calibri"/>
                <w:b w:val="0"/>
                <w:color w:val="0B2545"/>
                <w:sz w:val="19"/>
              </w:rPr>
              <w:t>June 22, 2026</w:t>
            </w:r>
          </w:p>
        </w:tc>
      </w:tr>
      <w:tr>
        <w:tc>
          <w:tcPr>
            <w:tcW w:type="dxa" w:w="2160"/>
            <w:shd w:fill="F2F4F7"/>
            <w:tcBorders>
              <w:top w:val="single" w:sz="8" w:space="0" w:color="B8C7D9"/>
              <w:left w:val="single" w:sz="8" w:space="0" w:color="B8C7D9"/>
              <w:bottom w:val="single" w:sz="8" w:space="0" w:color="B8C7D9"/>
              <w:right w:val="single" w:sz="8" w:space="0" w:color="B8C7D9"/>
              <w:insideH w:val="single" w:sz="8" w:space="0" w:color="B8C7D9"/>
              <w:insideV w:val="single" w:sz="8" w:space="0" w:color="B8C7D9"/>
            </w:tcBorders>
            <w:tcMar>
              <w:top w:w="70" w:type="dxa"/>
              <w:start w:w="110" w:type="dxa"/>
              <w:bottom w:w="70" w:type="dxa"/>
              <w:end w:w="110" w:type="dxa"/>
            </w:tcMar>
            <w:vAlign w:val="center"/>
          </w:tcPr>
          <w:p>
            <w:pPr>
              <w:spacing w:before="0" w:after="0" w:line="247" w:lineRule="auto"/>
            </w:pPr>
            <w:r/>
            <w:r>
              <w:rPr>
                <w:rFonts w:ascii="Calibri" w:hAnsi="Calibri"/>
                <w:b/>
                <w:color w:val="1F4D78"/>
                <w:sz w:val="19"/>
              </w:rPr>
              <w:t>Source reviewed</w:t>
            </w:r>
          </w:p>
        </w:tc>
        <w:tc>
          <w:tcPr>
            <w:tcW w:type="dxa" w:w="7200"/>
            <w:tcBorders>
              <w:top w:val="single" w:sz="8" w:space="0" w:color="B8C7D9"/>
              <w:left w:val="single" w:sz="8" w:space="0" w:color="B8C7D9"/>
              <w:bottom w:val="single" w:sz="8" w:space="0" w:color="B8C7D9"/>
              <w:right w:val="single" w:sz="8" w:space="0" w:color="B8C7D9"/>
              <w:insideH w:val="single" w:sz="8" w:space="0" w:color="B8C7D9"/>
              <w:insideV w:val="single" w:sz="8" w:space="0" w:color="B8C7D9"/>
            </w:tcBorders>
            <w:tcMar>
              <w:top w:w="70" w:type="dxa"/>
              <w:start w:w="110" w:type="dxa"/>
              <w:bottom w:w="70" w:type="dxa"/>
              <w:end w:w="110" w:type="dxa"/>
            </w:tcMar>
            <w:vAlign w:val="center"/>
          </w:tcPr>
          <w:p>
            <w:pPr>
              <w:spacing w:before="0" w:after="0" w:line="247" w:lineRule="auto"/>
            </w:pPr>
            <w:r>
              <w:rPr>
                <w:rFonts w:ascii="Calibri" w:hAnsi="Calibri"/>
                <w:sz w:val="19"/>
              </w:rPr>
            </w:r>
            <w:r>
              <w:rPr>
                <w:rFonts w:ascii="Calibri" w:hAnsi="Calibri"/>
                <w:b w:val="0"/>
                <w:color w:val="0B2545"/>
                <w:sz w:val="19"/>
              </w:rPr>
              <w:t>Weekly Deliverables and Reporting_Template 6_16-6_19.docx</w:t>
            </w:r>
          </w:p>
        </w:tc>
      </w:tr>
    </w:tbl>
    <w:p>
      <w:pPr>
        <w:spacing w:before="0" w:after="120" w:line="252" w:lineRule="auto"/>
      </w:pPr>
    </w:p>
    <w:tbl>
      <w:tblPr>
        <w:tblW w:type="dxa" w:w="9360"/>
        <w:jc w:val="left"/>
        <w:tblLook w:firstColumn="1" w:firstRow="1" w:lastColumn="0" w:lastRow="0" w:noHBand="0" w:noVBand="1" w:val="04A0"/>
        <w:tblInd w:w="120" w:type="dxa"/>
        <w:tblLayout w:type="fixed"/>
      </w:tblPr>
      <w:tblGrid>
        <w:gridCol w:w="2340"/>
        <w:gridCol w:w="2340"/>
        <w:gridCol w:w="2340"/>
        <w:gridCol w:w="2340"/>
      </w:tblGrid>
      <w:tr>
        <w:tc>
          <w:tcPr>
            <w:tcW w:type="dxa" w:w="2340"/>
            <w:shd w:fill="F7FAFC"/>
            <w:tcBorders>
              <w:top w:val="single" w:sz="8" w:space="0" w:color="B8C7D9"/>
              <w:left w:val="single" w:sz="8" w:space="0" w:color="B8C7D9"/>
              <w:bottom w:val="single" w:sz="8" w:space="0" w:color="B8C7D9"/>
              <w:right w:val="single" w:sz="8" w:space="0" w:color="B8C7D9"/>
              <w:insideH w:val="single" w:sz="8" w:space="0" w:color="B8C7D9"/>
              <w:insideV w:val="single" w:sz="8" w:space="0" w:color="B8C7D9"/>
            </w:tcBorders>
            <w:tcMar>
              <w:top w:w="70" w:type="dxa"/>
              <w:start w:w="110" w:type="dxa"/>
              <w:bottom w:w="70" w:type="dxa"/>
              <w:end w:w="110" w:type="dxa"/>
            </w:tcMar>
            <w:vAlign w:val="center"/>
          </w:tcPr>
          <w:p>
            <w:pPr>
              <w:spacing w:before="0" w:after="0" w:line="247" w:lineRule="auto"/>
            </w:pPr>
            <w:r>
              <w:rPr>
                <w:rFonts w:ascii="Calibri" w:hAnsi="Calibri"/>
                <w:b/>
                <w:color w:val="596573"/>
                <w:sz w:val="16"/>
              </w:rPr>
              <w:t>OVERALL RATING</w:t>
            </w:r>
          </w:p>
          <w:p>
            <w:pPr>
              <w:spacing w:before="0" w:after="0" w:line="247" w:lineRule="auto"/>
            </w:pPr>
            <w:r>
              <w:rPr>
                <w:rFonts w:ascii="Calibri" w:hAnsi="Calibri"/>
                <w:b/>
                <w:color w:val="2E74B5"/>
                <w:sz w:val="28"/>
              </w:rPr>
              <w:t>4 / 10</w:t>
            </w:r>
          </w:p>
        </w:tc>
        <w:tc>
          <w:tcPr>
            <w:tcW w:type="dxa" w:w="2340"/>
            <w:shd w:fill="EEF4FB"/>
            <w:tcBorders>
              <w:top w:val="single" w:sz="8" w:space="0" w:color="B8C7D9"/>
              <w:left w:val="single" w:sz="8" w:space="0" w:color="B8C7D9"/>
              <w:bottom w:val="single" w:sz="8" w:space="0" w:color="B8C7D9"/>
              <w:right w:val="single" w:sz="8" w:space="0" w:color="B8C7D9"/>
              <w:insideH w:val="single" w:sz="8" w:space="0" w:color="B8C7D9"/>
              <w:insideV w:val="single" w:sz="8" w:space="0" w:color="B8C7D9"/>
            </w:tcBorders>
            <w:tcMar>
              <w:top w:w="70" w:type="dxa"/>
              <w:start w:w="110" w:type="dxa"/>
              <w:bottom w:w="70" w:type="dxa"/>
              <w:end w:w="110" w:type="dxa"/>
            </w:tcMar>
            <w:vAlign w:val="center"/>
          </w:tcPr>
          <w:p>
            <w:pPr>
              <w:spacing w:before="0" w:after="0" w:line="247" w:lineRule="auto"/>
            </w:pPr>
            <w:r>
              <w:rPr>
                <w:rFonts w:ascii="Calibri" w:hAnsi="Calibri"/>
                <w:b/>
                <w:color w:val="596573"/>
                <w:sz w:val="16"/>
              </w:rPr>
              <w:t>BUG ENTRIES</w:t>
            </w:r>
          </w:p>
          <w:p>
            <w:pPr>
              <w:spacing w:before="0" w:after="0" w:line="247" w:lineRule="auto"/>
            </w:pPr>
            <w:r>
              <w:rPr>
                <w:rFonts w:ascii="Calibri" w:hAnsi="Calibri"/>
                <w:b/>
                <w:color w:val="2E74B5"/>
                <w:sz w:val="28"/>
              </w:rPr>
              <w:t>51</w:t>
            </w:r>
          </w:p>
        </w:tc>
        <w:tc>
          <w:tcPr>
            <w:tcW w:type="dxa" w:w="2340"/>
            <w:shd w:fill="F7FAFC"/>
            <w:tcBorders>
              <w:top w:val="single" w:sz="8" w:space="0" w:color="B8C7D9"/>
              <w:left w:val="single" w:sz="8" w:space="0" w:color="B8C7D9"/>
              <w:bottom w:val="single" w:sz="8" w:space="0" w:color="B8C7D9"/>
              <w:right w:val="single" w:sz="8" w:space="0" w:color="B8C7D9"/>
              <w:insideH w:val="single" w:sz="8" w:space="0" w:color="B8C7D9"/>
              <w:insideV w:val="single" w:sz="8" w:space="0" w:color="B8C7D9"/>
            </w:tcBorders>
            <w:tcMar>
              <w:top w:w="70" w:type="dxa"/>
              <w:start w:w="110" w:type="dxa"/>
              <w:bottom w:w="70" w:type="dxa"/>
              <w:end w:w="110" w:type="dxa"/>
            </w:tcMar>
            <w:vAlign w:val="center"/>
          </w:tcPr>
          <w:p>
            <w:pPr>
              <w:spacing w:before="0" w:after="0" w:line="247" w:lineRule="auto"/>
            </w:pPr>
            <w:r>
              <w:rPr>
                <w:rFonts w:ascii="Calibri" w:hAnsi="Calibri"/>
                <w:b/>
                <w:color w:val="596573"/>
                <w:sz w:val="16"/>
              </w:rPr>
              <w:t>SCREENSHOTS</w:t>
            </w:r>
          </w:p>
          <w:p>
            <w:pPr>
              <w:spacing w:before="0" w:after="0" w:line="247" w:lineRule="auto"/>
            </w:pPr>
            <w:r>
              <w:rPr>
                <w:rFonts w:ascii="Calibri" w:hAnsi="Calibri"/>
                <w:b/>
                <w:color w:val="2E74B5"/>
                <w:sz w:val="28"/>
              </w:rPr>
              <w:t>51</w:t>
            </w:r>
          </w:p>
        </w:tc>
        <w:tc>
          <w:tcPr>
            <w:tcW w:type="dxa" w:w="2340"/>
            <w:shd w:fill="EEF4FB"/>
            <w:tcBorders>
              <w:top w:val="single" w:sz="8" w:space="0" w:color="B8C7D9"/>
              <w:left w:val="single" w:sz="8" w:space="0" w:color="B8C7D9"/>
              <w:bottom w:val="single" w:sz="8" w:space="0" w:color="B8C7D9"/>
              <w:right w:val="single" w:sz="8" w:space="0" w:color="B8C7D9"/>
              <w:insideH w:val="single" w:sz="8" w:space="0" w:color="B8C7D9"/>
              <w:insideV w:val="single" w:sz="8" w:space="0" w:color="B8C7D9"/>
            </w:tcBorders>
            <w:tcMar>
              <w:top w:w="70" w:type="dxa"/>
              <w:start w:w="110" w:type="dxa"/>
              <w:bottom w:w="70" w:type="dxa"/>
              <w:end w:w="110" w:type="dxa"/>
            </w:tcMar>
            <w:vAlign w:val="center"/>
          </w:tcPr>
          <w:p>
            <w:pPr>
              <w:spacing w:before="0" w:after="0" w:line="247" w:lineRule="auto"/>
            </w:pPr>
            <w:r>
              <w:rPr>
                <w:rFonts w:ascii="Calibri" w:hAnsi="Calibri"/>
                <w:b/>
                <w:color w:val="596573"/>
                <w:sz w:val="16"/>
              </w:rPr>
              <w:t>RENDERED PAGES</w:t>
            </w:r>
          </w:p>
          <w:p>
            <w:pPr>
              <w:spacing w:before="0" w:after="0" w:line="247" w:lineRule="auto"/>
            </w:pPr>
            <w:r>
              <w:rPr>
                <w:rFonts w:ascii="Calibri" w:hAnsi="Calibri"/>
                <w:b/>
                <w:color w:val="2E74B5"/>
                <w:sz w:val="28"/>
              </w:rPr>
              <w:t>29</w:t>
            </w:r>
          </w:p>
        </w:tc>
      </w:tr>
    </w:tbl>
    <w:p>
      <w:pPr>
        <w:spacing w:before="0" w:after="160" w:line="252" w:lineRule="auto"/>
      </w:pPr>
    </w:p>
    <w:tbl>
      <w:tblPr>
        <w:tblW w:type="dxa" w:w="9360"/>
        <w:jc w:val="left"/>
        <w:tblLook w:firstColumn="1" w:firstRow="1" w:lastColumn="0" w:lastRow="0" w:noHBand="0" w:noVBand="1" w:val="04A0"/>
        <w:tblInd w:w="120" w:type="dxa"/>
        <w:tblLayout w:type="fixed"/>
      </w:tblPr>
      <w:tblGrid>
        <w:gridCol w:w="9360"/>
      </w:tblGrid>
      <w:tr>
        <w:tc>
          <w:tcPr>
            <w:tcW w:type="dxa" w:w="9360"/>
            <w:shd w:fill="EEF4FB"/>
            <w:tcMar>
              <w:top w:w="70" w:type="dxa"/>
              <w:start w:w="110" w:type="dxa"/>
              <w:bottom w:w="70" w:type="dxa"/>
              <w:end w:w="110" w:type="dxa"/>
            </w:tcMar>
            <w:tcBorders>
              <w:top w:val="single" w:sz="8" w:space="0" w:color="B8C7D9"/>
              <w:left w:val="single" w:sz="8" w:space="0" w:color="B8C7D9"/>
              <w:bottom w:val="single" w:sz="8" w:space="0" w:color="B8C7D9"/>
              <w:right w:val="single" w:sz="8" w:space="0" w:color="B8C7D9"/>
              <w:insideH w:val="single" w:sz="8" w:space="0" w:color="B8C7D9"/>
              <w:insideV w:val="single" w:sz="8" w:space="0" w:color="B8C7D9"/>
            </w:tcBorders>
            <w:vAlign w:val="center"/>
          </w:tcPr>
          <w:p>
            <w:pPr>
              <w:spacing w:before="0" w:after="0" w:line="247" w:lineRule="auto"/>
            </w:pPr>
            <w:r>
              <w:rPr>
                <w:rFonts w:ascii="Calibri" w:hAnsi="Calibri"/>
                <w:b/>
                <w:color w:val="1F4D78"/>
                <w:sz w:val="19"/>
              </w:rPr>
              <w:t>Overall verdict</w:t>
            </w:r>
          </w:p>
          <w:p>
            <w:pPr>
              <w:spacing w:before="0" w:after="0" w:line="247" w:lineRule="auto"/>
            </w:pPr>
            <w:r>
              <w:rPr>
                <w:rFonts w:ascii="Calibri" w:hAnsi="Calibri"/>
                <w:color w:val="0B2545"/>
                <w:sz w:val="19"/>
              </w:rPr>
              <w:t>The attachment is valuable as a raw QA inventory, but it is not yet ready to function as a direct engineering fix list. It needs triage, deduplication, severity assignment, and richer reproduction details before it can be handed to module owners efficiently.</w:t>
            </w:r>
          </w:p>
        </w:tc>
      </w:tr>
    </w:tbl>
    <w:p>
      <w:pPr>
        <w:spacing w:before="0" w:after="80" w:line="252" w:lineRule="auto"/>
      </w:pPr>
    </w:p>
    <w:p>
      <w:pPr>
        <w:pStyle w:val="Heading1"/>
        <w:spacing w:before="200" w:after="100" w:line="252" w:lineRule="auto"/>
      </w:pPr>
      <w:r>
        <w:rPr>
          <w:rFonts w:ascii="Calibri" w:hAnsi="Calibri"/>
          <w:b/>
          <w:color w:val="2E74B5"/>
          <w:sz w:val="30"/>
        </w:rPr>
        <w:t>Assessment</w:t>
      </w:r>
    </w:p>
    <w:p>
      <w:pPr>
        <w:spacing w:before="0" w:after="80" w:line="252" w:lineRule="auto"/>
      </w:pPr>
      <w:r>
        <w:rPr>
          <w:rFonts w:ascii="Calibri" w:hAnsi="Calibri"/>
          <w:b w:val="0"/>
          <w:i w:val="0"/>
          <w:color w:val="0B2545"/>
          <w:sz w:val="21"/>
        </w:rPr>
        <w:t>From the S11 QA release-quality perspective, the bug descriptions in the attachment are useful raw QA records. However, they do not yet meet the standard for engineer-ready tickets.</w:t>
      </w:r>
    </w:p>
    <w:p>
      <w:pPr>
        <w:spacing w:before="0" w:after="80" w:line="252" w:lineRule="auto"/>
      </w:pPr>
      <w:r>
        <w:rPr>
          <w:rFonts w:ascii="Calibri" w:hAnsi="Calibri"/>
          <w:b/>
          <w:i w:val="0"/>
          <w:color w:val="1F4D78"/>
          <w:sz w:val="21"/>
        </w:rPr>
        <w:t>Overall rating: medium-low, approximately 4 out of 10.</w:t>
      </w:r>
    </w:p>
    <w:p>
      <w:pPr>
        <w:pStyle w:val="Heading1"/>
        <w:spacing w:before="200" w:after="100" w:line="252" w:lineRule="auto"/>
      </w:pPr>
      <w:r>
        <w:rPr>
          <w:rFonts w:ascii="Calibri" w:hAnsi="Calibri"/>
          <w:b/>
          <w:color w:val="2E74B5"/>
          <w:sz w:val="30"/>
        </w:rPr>
        <w:t>Key Issues</w:t>
      </w:r>
    </w:p>
    <w:p>
      <w:pPr>
        <w:pStyle w:val="ListNumber"/>
        <w:spacing w:before="0" w:after="80" w:line="259" w:lineRule="auto"/>
        <w:ind w:left="720" w:hanging="360"/>
      </w:pPr>
      <w:r>
        <w:rPr>
          <w:rFonts w:ascii="Calibri" w:hAnsi="Calibri"/>
          <w:b/>
          <w:color w:val="0B2545"/>
          <w:sz w:val="21"/>
        </w:rPr>
        <w:t xml:space="preserve">Insufficient reproduction steps. </w:t>
      </w:r>
      <w:r>
        <w:rPr>
          <w:rFonts w:ascii="Calibri" w:hAnsi="Calibri"/>
          <w:color w:val="0B2545"/>
          <w:sz w:val="21"/>
        </w:rPr>
        <w:t>Most entries only contain a one-line observation, such as "Exponential line surpasses graph" or "Capitalization needed." Engineers still need the exact page, model, button, slider value, login state, browser, screen size, and click sequence.</w:t>
      </w:r>
    </w:p>
    <w:p>
      <w:pPr>
        <w:pStyle w:val="ListNumber"/>
        <w:spacing w:before="0" w:after="80" w:line="259" w:lineRule="auto"/>
        <w:ind w:left="720" w:hanging="360"/>
      </w:pPr>
      <w:r>
        <w:rPr>
          <w:rFonts w:ascii="Calibri" w:hAnsi="Calibri"/>
          <w:b/>
          <w:color w:val="0B2545"/>
          <w:sz w:val="21"/>
        </w:rPr>
        <w:t xml:space="preserve">Expected versus actual behavior is unclear. </w:t>
      </w:r>
      <w:r>
        <w:rPr>
          <w:rFonts w:ascii="Calibri" w:hAnsi="Calibri"/>
          <w:color w:val="0B2545"/>
          <w:sz w:val="21"/>
        </w:rPr>
        <w:t>Many reports say that something has "no purpose," is "not proper," or goes outside the graph, but they do not describe what the correct behavior should be. For example, a comparison bar may be a real bug or simply an undefined product design.</w:t>
      </w:r>
    </w:p>
    <w:p>
      <w:pPr>
        <w:pStyle w:val="ListNumber"/>
        <w:spacing w:before="0" w:after="80" w:line="259" w:lineRule="auto"/>
        <w:ind w:left="720" w:hanging="360"/>
      </w:pPr>
      <w:r>
        <w:rPr>
          <w:rFonts w:ascii="Calibri" w:hAnsi="Calibri"/>
          <w:b/>
          <w:color w:val="0B2545"/>
          <w:sz w:val="21"/>
        </w:rPr>
        <w:t xml:space="preserve">Duplicates and clusters are not organized. </w:t>
      </w:r>
      <w:r>
        <w:rPr>
          <w:rFonts w:ascii="Calibri" w:hAnsi="Calibri"/>
          <w:color w:val="0B2545"/>
          <w:sz w:val="21"/>
        </w:rPr>
        <w:t>Several items repeat or belong to the same issue family, including the password reveal icon, undefined highlighted-line equations, capitalization fixes, model buttons with no apparent effect, missing ruler units, and graph elements exceeding their coordinate boundaries.</w:t>
      </w:r>
    </w:p>
    <w:p>
      <w:pPr>
        <w:pStyle w:val="ListNumber"/>
        <w:spacing w:before="0" w:after="80" w:line="259" w:lineRule="auto"/>
        <w:ind w:left="720" w:hanging="360"/>
      </w:pPr>
      <w:r>
        <w:rPr>
          <w:rFonts w:ascii="Calibri" w:hAnsi="Calibri"/>
          <w:b/>
          <w:color w:val="0B2545"/>
          <w:sz w:val="21"/>
        </w:rPr>
        <w:t xml:space="preserve">Severity levels are missing. </w:t>
      </w:r>
      <w:r>
        <w:rPr>
          <w:rFonts w:ascii="Calibri" w:hAnsi="Calibri"/>
          <w:color w:val="0B2545"/>
          <w:sz w:val="21"/>
        </w:rPr>
        <w:t>Performance or blocking issues such as "Took 2+ minutes" should be high priority, while copy polish such as capitalization should be low priority. Without severity labels, scheduling and release-risk judgment become harder.</w:t>
      </w:r>
    </w:p>
    <w:p>
      <w:pPr>
        <w:pStyle w:val="ListNumber"/>
        <w:spacing w:before="0" w:after="80" w:line="259" w:lineRule="auto"/>
        <w:ind w:left="720" w:hanging="360"/>
      </w:pPr>
      <w:r>
        <w:rPr>
          <w:rFonts w:ascii="Calibri" w:hAnsi="Calibri"/>
          <w:b/>
          <w:color w:val="0B2545"/>
          <w:sz w:val="21"/>
        </w:rPr>
        <w:t xml:space="preserve">Some screenshots and document layout weaken the evidence. </w:t>
      </w:r>
      <w:r>
        <w:rPr>
          <w:rFonts w:ascii="Calibri" w:hAnsi="Calibri"/>
          <w:color w:val="0B2545"/>
          <w:sz w:val="21"/>
        </w:rPr>
        <w:t>The screenshots are helpful, but a few are cropped, crowded, or awkwardly placed in the DOCX. That is acceptable for an internal note, but it should be cleaned up before the document is used for engineering handoff or external reporting.</w:t>
      </w:r>
    </w:p>
    <w:p>
      <w:pPr>
        <w:pStyle w:val="Heading1"/>
        <w:spacing w:before="200" w:after="100" w:line="252" w:lineRule="auto"/>
      </w:pPr>
      <w:r>
        <w:rPr>
          <w:rFonts w:ascii="Calibri" w:hAnsi="Calibri"/>
          <w:b/>
          <w:color w:val="2E74B5"/>
          <w:sz w:val="30"/>
        </w:rPr>
        <w:t>What Works Well</w:t>
      </w:r>
    </w:p>
    <w:p>
      <w:pPr>
        <w:pStyle w:val="ListBullet"/>
        <w:spacing w:before="0" w:after="80" w:line="259" w:lineRule="auto"/>
        <w:ind w:left="720" w:hanging="360"/>
      </w:pPr>
      <w:r>
        <w:rPr>
          <w:rFonts w:ascii="Calibri" w:hAnsi="Calibri"/>
          <w:b/>
          <w:color w:val="0B2545"/>
          <w:sz w:val="21"/>
        </w:rPr>
        <w:t xml:space="preserve">Broad coverage. </w:t>
      </w:r>
      <w:r>
        <w:rPr>
          <w:rFonts w:ascii="Calibri" w:hAnsi="Calibri"/>
          <w:color w:val="0B2545"/>
          <w:sz w:val="21"/>
        </w:rPr>
        <w:t>The attachment covers many UI, visual-lab, and practice-area surfaces rather than focusing on only one path.</w:t>
      </w:r>
    </w:p>
    <w:p>
      <w:pPr>
        <w:pStyle w:val="ListBullet"/>
        <w:spacing w:before="0" w:after="80" w:line="259" w:lineRule="auto"/>
        <w:ind w:left="720" w:hanging="360"/>
      </w:pPr>
      <w:r>
        <w:rPr>
          <w:rFonts w:ascii="Calibri" w:hAnsi="Calibri"/>
          <w:b/>
          <w:color w:val="0B2545"/>
          <w:sz w:val="21"/>
        </w:rPr>
        <w:t xml:space="preserve">Screenshot-rich evidence. </w:t>
      </w:r>
      <w:r>
        <w:rPr>
          <w:rFonts w:ascii="Calibri" w:hAnsi="Calibri"/>
          <w:color w:val="0B2545"/>
          <w:sz w:val="21"/>
        </w:rPr>
        <w:t>The document includes 51 embedded screenshots, and many of them are legible enough to identify the general symptom.</w:t>
      </w:r>
    </w:p>
    <w:p>
      <w:pPr>
        <w:pStyle w:val="ListBullet"/>
        <w:spacing w:before="0" w:after="80" w:line="259" w:lineRule="auto"/>
        <w:ind w:left="720" w:hanging="360"/>
      </w:pPr>
      <w:r>
        <w:rPr>
          <w:rFonts w:ascii="Calibri" w:hAnsi="Calibri"/>
          <w:b/>
          <w:color w:val="0B2545"/>
          <w:sz w:val="21"/>
        </w:rPr>
        <w:t xml:space="preserve">Initial categorization exists. </w:t>
      </w:r>
      <w:r>
        <w:rPr>
          <w:rFonts w:ascii="Calibri" w:hAnsi="Calibri"/>
          <w:color w:val="0B2545"/>
          <w:sz w:val="21"/>
        </w:rPr>
        <w:t>Many entries are already marked as Visual, Functional, or mixed. That is useful for routing follow-up work to owners such as S06 Visualization Lab, S04 Practice Arena, S09 copy/accessibility, and S01/S12 shell/auth/backend surfaces.</w:t>
      </w:r>
    </w:p>
    <w:p>
      <w:pPr>
        <w:pStyle w:val="Heading1"/>
        <w:spacing w:before="200" w:after="100" w:line="252" w:lineRule="auto"/>
      </w:pPr>
      <w:r>
        <w:rPr>
          <w:rFonts w:ascii="Calibri" w:hAnsi="Calibri"/>
          <w:b/>
          <w:color w:val="2E74B5"/>
          <w:sz w:val="30"/>
        </w:rPr>
        <w:t>Recommended Next Step</w:t>
      </w:r>
    </w:p>
    <w:p>
      <w:pPr>
        <w:spacing w:before="0" w:after="80" w:line="252" w:lineRule="auto"/>
      </w:pPr>
      <w:r>
        <w:rPr>
          <w:rFonts w:ascii="Calibri" w:hAnsi="Calibri"/>
          <w:b w:val="0"/>
          <w:i w:val="0"/>
          <w:color w:val="0B2545"/>
          <w:sz w:val="21"/>
        </w:rPr>
        <w:t>Before assigning engineering work, convert the 51 raw entries into roughly 12 to 18 deduplicated engineering tickets. Each ticket should carry enough context for another person to reproduce, verify, and prioritize it without reading the whole attachment.</w:t>
      </w:r>
    </w:p>
    <w:tbl>
      <w:tblPr>
        <w:tblW w:type="dxa" w:w="9360"/>
        <w:jc w:val="left"/>
        <w:tblLook w:firstColumn="1" w:firstRow="1" w:lastColumn="0" w:lastRow="0" w:noHBand="0" w:noVBand="1" w:val="04A0"/>
        <w:tblInd w:w="120" w:type="dxa"/>
        <w:tblLayout w:type="fixed"/>
      </w:tblPr>
      <w:tblGrid>
        <w:gridCol w:w="2340"/>
        <w:gridCol w:w="7020"/>
      </w:tblGrid>
      <w:tr>
        <w:tc>
          <w:tcPr>
            <w:tcW w:type="dxa" w:w="2340"/>
            <w:shd w:fill="E8EEF5"/>
            <w:tcBorders>
              <w:top w:val="single" w:sz="8" w:space="0" w:color="B8C7D9"/>
              <w:left w:val="single" w:sz="8" w:space="0" w:color="B8C7D9"/>
              <w:bottom w:val="single" w:sz="8" w:space="0" w:color="B8C7D9"/>
              <w:right w:val="single" w:sz="8" w:space="0" w:color="B8C7D9"/>
              <w:insideH w:val="single" w:sz="8" w:space="0" w:color="B8C7D9"/>
              <w:insideV w:val="single" w:sz="8" w:space="0" w:color="B8C7D9"/>
            </w:tcBorders>
            <w:tcMar>
              <w:top w:w="70" w:type="dxa"/>
              <w:start w:w="110" w:type="dxa"/>
              <w:bottom w:w="70" w:type="dxa"/>
              <w:end w:w="110" w:type="dxa"/>
            </w:tcMar>
          </w:tcPr>
          <w:p>
            <w:pPr>
              <w:spacing w:before="0" w:after="0" w:line="247" w:lineRule="auto"/>
            </w:pPr>
            <w:r/>
            <w:r>
              <w:rPr>
                <w:rFonts w:ascii="Calibri" w:hAnsi="Calibri"/>
                <w:b/>
                <w:color w:val="1F4D78"/>
                <w:sz w:val="18"/>
              </w:rPr>
              <w:t>Field</w:t>
            </w:r>
          </w:p>
        </w:tc>
        <w:tc>
          <w:tcPr>
            <w:tcW w:type="dxa" w:w="7020"/>
            <w:shd w:fill="E8EEF5"/>
            <w:tcBorders>
              <w:top w:val="single" w:sz="8" w:space="0" w:color="B8C7D9"/>
              <w:left w:val="single" w:sz="8" w:space="0" w:color="B8C7D9"/>
              <w:bottom w:val="single" w:sz="8" w:space="0" w:color="B8C7D9"/>
              <w:right w:val="single" w:sz="8" w:space="0" w:color="B8C7D9"/>
              <w:insideH w:val="single" w:sz="8" w:space="0" w:color="B8C7D9"/>
              <w:insideV w:val="single" w:sz="8" w:space="0" w:color="B8C7D9"/>
            </w:tcBorders>
            <w:tcMar>
              <w:top w:w="70" w:type="dxa"/>
              <w:start w:w="110" w:type="dxa"/>
              <w:bottom w:w="70" w:type="dxa"/>
              <w:end w:w="110" w:type="dxa"/>
            </w:tcMar>
          </w:tcPr>
          <w:p>
            <w:pPr>
              <w:spacing w:before="0" w:after="0" w:line="247" w:lineRule="auto"/>
            </w:pPr>
            <w:r/>
            <w:r>
              <w:rPr>
                <w:rFonts w:ascii="Calibri" w:hAnsi="Calibri"/>
                <w:b/>
                <w:color w:val="1F4D78"/>
                <w:sz w:val="18"/>
              </w:rPr>
              <w:t>What to capture</w:t>
            </w:r>
          </w:p>
        </w:tc>
      </w:tr>
      <w:tr>
        <w:tc>
          <w:tcPr>
            <w:tcW w:type="dxa" w:w="2340"/>
            <w:shd w:fill="F7FAFC"/>
            <w:tcBorders>
              <w:top w:val="single" w:sz="8" w:space="0" w:color="B8C7D9"/>
              <w:left w:val="single" w:sz="8" w:space="0" w:color="B8C7D9"/>
              <w:bottom w:val="single" w:sz="8" w:space="0" w:color="B8C7D9"/>
              <w:right w:val="single" w:sz="8" w:space="0" w:color="B8C7D9"/>
              <w:insideH w:val="single" w:sz="8" w:space="0" w:color="B8C7D9"/>
              <w:insideV w:val="single" w:sz="8" w:space="0" w:color="B8C7D9"/>
            </w:tcBorders>
            <w:tcMar>
              <w:top w:w="70" w:type="dxa"/>
              <w:start w:w="110" w:type="dxa"/>
              <w:bottom w:w="70" w:type="dxa"/>
              <w:end w:w="110" w:type="dxa"/>
            </w:tcMar>
            <w:vAlign w:val="center"/>
          </w:tcPr>
          <w:p>
            <w:pPr>
              <w:spacing w:before="0" w:after="0" w:line="247" w:lineRule="auto"/>
            </w:pPr>
            <w:r/>
            <w:r>
              <w:rPr>
                <w:rFonts w:ascii="Calibri" w:hAnsi="Calibri"/>
                <w:b/>
                <w:color w:val="1F4D78"/>
                <w:sz w:val="18"/>
              </w:rPr>
              <w:t>Module / path</w:t>
            </w:r>
          </w:p>
        </w:tc>
        <w:tc>
          <w:tcPr>
            <w:tcW w:type="dxa" w:w="7020"/>
            <w:tcBorders>
              <w:top w:val="single" w:sz="8" w:space="0" w:color="B8C7D9"/>
              <w:left w:val="single" w:sz="8" w:space="0" w:color="B8C7D9"/>
              <w:bottom w:val="single" w:sz="8" w:space="0" w:color="B8C7D9"/>
              <w:right w:val="single" w:sz="8" w:space="0" w:color="B8C7D9"/>
              <w:insideH w:val="single" w:sz="8" w:space="0" w:color="B8C7D9"/>
              <w:insideV w:val="single" w:sz="8" w:space="0" w:color="B8C7D9"/>
            </w:tcBorders>
            <w:tcMar>
              <w:top w:w="70" w:type="dxa"/>
              <w:start w:w="110" w:type="dxa"/>
              <w:bottom w:w="70" w:type="dxa"/>
              <w:end w:w="110" w:type="dxa"/>
            </w:tcMar>
            <w:vAlign w:val="center"/>
          </w:tcPr>
          <w:p>
            <w:pPr>
              <w:spacing w:before="0" w:after="0" w:line="247" w:lineRule="auto"/>
            </w:pPr>
            <w:r/>
            <w:r>
              <w:rPr>
                <w:rFonts w:ascii="Calibri" w:hAnsi="Calibri"/>
                <w:b w:val="0"/>
                <w:color w:val="0B2545"/>
                <w:sz w:val="18"/>
              </w:rPr>
              <w:t>Exact page, route, lab, model, question, or component where the issue appears.</w:t>
            </w:r>
          </w:p>
        </w:tc>
      </w:tr>
      <w:tr>
        <w:tc>
          <w:tcPr>
            <w:tcW w:type="dxa" w:w="2340"/>
            <w:shd w:fill="F7FAFC"/>
            <w:tcBorders>
              <w:top w:val="single" w:sz="8" w:space="0" w:color="B8C7D9"/>
              <w:left w:val="single" w:sz="8" w:space="0" w:color="B8C7D9"/>
              <w:bottom w:val="single" w:sz="8" w:space="0" w:color="B8C7D9"/>
              <w:right w:val="single" w:sz="8" w:space="0" w:color="B8C7D9"/>
              <w:insideH w:val="single" w:sz="8" w:space="0" w:color="B8C7D9"/>
              <w:insideV w:val="single" w:sz="8" w:space="0" w:color="B8C7D9"/>
            </w:tcBorders>
            <w:tcMar>
              <w:top w:w="70" w:type="dxa"/>
              <w:start w:w="110" w:type="dxa"/>
              <w:bottom w:w="70" w:type="dxa"/>
              <w:end w:w="110" w:type="dxa"/>
            </w:tcMar>
            <w:vAlign w:val="center"/>
          </w:tcPr>
          <w:p>
            <w:pPr>
              <w:spacing w:before="0" w:after="0" w:line="247" w:lineRule="auto"/>
            </w:pPr>
            <w:r/>
            <w:r>
              <w:rPr>
                <w:rFonts w:ascii="Calibri" w:hAnsi="Calibri"/>
                <w:b/>
                <w:color w:val="1F4D78"/>
                <w:sz w:val="18"/>
              </w:rPr>
              <w:t>Preconditions</w:t>
            </w:r>
          </w:p>
        </w:tc>
        <w:tc>
          <w:tcPr>
            <w:tcW w:type="dxa" w:w="7020"/>
            <w:tcBorders>
              <w:top w:val="single" w:sz="8" w:space="0" w:color="B8C7D9"/>
              <w:left w:val="single" w:sz="8" w:space="0" w:color="B8C7D9"/>
              <w:bottom w:val="single" w:sz="8" w:space="0" w:color="B8C7D9"/>
              <w:right w:val="single" w:sz="8" w:space="0" w:color="B8C7D9"/>
              <w:insideH w:val="single" w:sz="8" w:space="0" w:color="B8C7D9"/>
              <w:insideV w:val="single" w:sz="8" w:space="0" w:color="B8C7D9"/>
            </w:tcBorders>
            <w:tcMar>
              <w:top w:w="70" w:type="dxa"/>
              <w:start w:w="110" w:type="dxa"/>
              <w:bottom w:w="70" w:type="dxa"/>
              <w:end w:w="110" w:type="dxa"/>
            </w:tcMar>
            <w:vAlign w:val="center"/>
          </w:tcPr>
          <w:p>
            <w:pPr>
              <w:spacing w:before="0" w:after="0" w:line="247" w:lineRule="auto"/>
            </w:pPr>
            <w:r/>
            <w:r>
              <w:rPr>
                <w:rFonts w:ascii="Calibri" w:hAnsi="Calibri"/>
                <w:b w:val="0"/>
                <w:color w:val="0B2545"/>
                <w:sz w:val="18"/>
              </w:rPr>
              <w:t>Login state, browser, viewport, language, selected model, slider values, and relevant data setup.</w:t>
            </w:r>
          </w:p>
        </w:tc>
      </w:tr>
      <w:tr>
        <w:tc>
          <w:tcPr>
            <w:tcW w:type="dxa" w:w="2340"/>
            <w:shd w:fill="F7FAFC"/>
            <w:tcBorders>
              <w:top w:val="single" w:sz="8" w:space="0" w:color="B8C7D9"/>
              <w:left w:val="single" w:sz="8" w:space="0" w:color="B8C7D9"/>
              <w:bottom w:val="single" w:sz="8" w:space="0" w:color="B8C7D9"/>
              <w:right w:val="single" w:sz="8" w:space="0" w:color="B8C7D9"/>
              <w:insideH w:val="single" w:sz="8" w:space="0" w:color="B8C7D9"/>
              <w:insideV w:val="single" w:sz="8" w:space="0" w:color="B8C7D9"/>
            </w:tcBorders>
            <w:tcMar>
              <w:top w:w="70" w:type="dxa"/>
              <w:start w:w="110" w:type="dxa"/>
              <w:bottom w:w="70" w:type="dxa"/>
              <w:end w:w="110" w:type="dxa"/>
            </w:tcMar>
            <w:vAlign w:val="center"/>
          </w:tcPr>
          <w:p>
            <w:pPr>
              <w:spacing w:before="0" w:after="0" w:line="247" w:lineRule="auto"/>
            </w:pPr>
            <w:r/>
            <w:r>
              <w:rPr>
                <w:rFonts w:ascii="Calibri" w:hAnsi="Calibri"/>
                <w:b/>
                <w:color w:val="1F4D78"/>
                <w:sz w:val="18"/>
              </w:rPr>
              <w:t>Reproduction steps</w:t>
            </w:r>
          </w:p>
        </w:tc>
        <w:tc>
          <w:tcPr>
            <w:tcW w:type="dxa" w:w="7020"/>
            <w:tcBorders>
              <w:top w:val="single" w:sz="8" w:space="0" w:color="B8C7D9"/>
              <w:left w:val="single" w:sz="8" w:space="0" w:color="B8C7D9"/>
              <w:bottom w:val="single" w:sz="8" w:space="0" w:color="B8C7D9"/>
              <w:right w:val="single" w:sz="8" w:space="0" w:color="B8C7D9"/>
              <w:insideH w:val="single" w:sz="8" w:space="0" w:color="B8C7D9"/>
              <w:insideV w:val="single" w:sz="8" w:space="0" w:color="B8C7D9"/>
            </w:tcBorders>
            <w:tcMar>
              <w:top w:w="70" w:type="dxa"/>
              <w:start w:w="110" w:type="dxa"/>
              <w:bottom w:w="70" w:type="dxa"/>
              <w:end w:w="110" w:type="dxa"/>
            </w:tcMar>
            <w:vAlign w:val="center"/>
          </w:tcPr>
          <w:p>
            <w:pPr>
              <w:spacing w:before="0" w:after="0" w:line="247" w:lineRule="auto"/>
            </w:pPr>
            <w:r/>
            <w:r>
              <w:rPr>
                <w:rFonts w:ascii="Calibri" w:hAnsi="Calibri"/>
                <w:b w:val="0"/>
                <w:color w:val="0B2545"/>
                <w:sz w:val="18"/>
              </w:rPr>
              <w:t>A short numbered sequence that another tester or engineer can repeat.</w:t>
            </w:r>
          </w:p>
        </w:tc>
      </w:tr>
      <w:tr>
        <w:tc>
          <w:tcPr>
            <w:tcW w:type="dxa" w:w="2340"/>
            <w:shd w:fill="F7FAFC"/>
            <w:tcBorders>
              <w:top w:val="single" w:sz="8" w:space="0" w:color="B8C7D9"/>
              <w:left w:val="single" w:sz="8" w:space="0" w:color="B8C7D9"/>
              <w:bottom w:val="single" w:sz="8" w:space="0" w:color="B8C7D9"/>
              <w:right w:val="single" w:sz="8" w:space="0" w:color="B8C7D9"/>
              <w:insideH w:val="single" w:sz="8" w:space="0" w:color="B8C7D9"/>
              <w:insideV w:val="single" w:sz="8" w:space="0" w:color="B8C7D9"/>
            </w:tcBorders>
            <w:tcMar>
              <w:top w:w="70" w:type="dxa"/>
              <w:start w:w="110" w:type="dxa"/>
              <w:bottom w:w="70" w:type="dxa"/>
              <w:end w:w="110" w:type="dxa"/>
            </w:tcMar>
            <w:vAlign w:val="center"/>
          </w:tcPr>
          <w:p>
            <w:pPr>
              <w:spacing w:before="0" w:after="0" w:line="247" w:lineRule="auto"/>
            </w:pPr>
            <w:r/>
            <w:r>
              <w:rPr>
                <w:rFonts w:ascii="Calibri" w:hAnsi="Calibri"/>
                <w:b/>
                <w:color w:val="1F4D78"/>
                <w:sz w:val="18"/>
              </w:rPr>
              <w:t>Actual result</w:t>
            </w:r>
          </w:p>
        </w:tc>
        <w:tc>
          <w:tcPr>
            <w:tcW w:type="dxa" w:w="7020"/>
            <w:tcBorders>
              <w:top w:val="single" w:sz="8" w:space="0" w:color="B8C7D9"/>
              <w:left w:val="single" w:sz="8" w:space="0" w:color="B8C7D9"/>
              <w:bottom w:val="single" w:sz="8" w:space="0" w:color="B8C7D9"/>
              <w:right w:val="single" w:sz="8" w:space="0" w:color="B8C7D9"/>
              <w:insideH w:val="single" w:sz="8" w:space="0" w:color="B8C7D9"/>
              <w:insideV w:val="single" w:sz="8" w:space="0" w:color="B8C7D9"/>
            </w:tcBorders>
            <w:tcMar>
              <w:top w:w="70" w:type="dxa"/>
              <w:start w:w="110" w:type="dxa"/>
              <w:bottom w:w="70" w:type="dxa"/>
              <w:end w:w="110" w:type="dxa"/>
            </w:tcMar>
            <w:vAlign w:val="center"/>
          </w:tcPr>
          <w:p>
            <w:pPr>
              <w:spacing w:before="0" w:after="0" w:line="247" w:lineRule="auto"/>
            </w:pPr>
            <w:r/>
            <w:r>
              <w:rPr>
                <w:rFonts w:ascii="Calibri" w:hAnsi="Calibri"/>
                <w:b w:val="0"/>
                <w:color w:val="0B2545"/>
                <w:sz w:val="18"/>
              </w:rPr>
              <w:t>What the user sees or what the system does now.</w:t>
            </w:r>
          </w:p>
        </w:tc>
      </w:tr>
      <w:tr>
        <w:tc>
          <w:tcPr>
            <w:tcW w:type="dxa" w:w="2340"/>
            <w:shd w:fill="F7FAFC"/>
            <w:tcBorders>
              <w:top w:val="single" w:sz="8" w:space="0" w:color="B8C7D9"/>
              <w:left w:val="single" w:sz="8" w:space="0" w:color="B8C7D9"/>
              <w:bottom w:val="single" w:sz="8" w:space="0" w:color="B8C7D9"/>
              <w:right w:val="single" w:sz="8" w:space="0" w:color="B8C7D9"/>
              <w:insideH w:val="single" w:sz="8" w:space="0" w:color="B8C7D9"/>
              <w:insideV w:val="single" w:sz="8" w:space="0" w:color="B8C7D9"/>
            </w:tcBorders>
            <w:tcMar>
              <w:top w:w="70" w:type="dxa"/>
              <w:start w:w="110" w:type="dxa"/>
              <w:bottom w:w="70" w:type="dxa"/>
              <w:end w:w="110" w:type="dxa"/>
            </w:tcMar>
            <w:vAlign w:val="center"/>
          </w:tcPr>
          <w:p>
            <w:pPr>
              <w:spacing w:before="0" w:after="0" w:line="247" w:lineRule="auto"/>
            </w:pPr>
            <w:r/>
            <w:r>
              <w:rPr>
                <w:rFonts w:ascii="Calibri" w:hAnsi="Calibri"/>
                <w:b/>
                <w:color w:val="1F4D78"/>
                <w:sz w:val="18"/>
              </w:rPr>
              <w:t>Expected result</w:t>
            </w:r>
          </w:p>
        </w:tc>
        <w:tc>
          <w:tcPr>
            <w:tcW w:type="dxa" w:w="7020"/>
            <w:tcBorders>
              <w:top w:val="single" w:sz="8" w:space="0" w:color="B8C7D9"/>
              <w:left w:val="single" w:sz="8" w:space="0" w:color="B8C7D9"/>
              <w:bottom w:val="single" w:sz="8" w:space="0" w:color="B8C7D9"/>
              <w:right w:val="single" w:sz="8" w:space="0" w:color="B8C7D9"/>
              <w:insideH w:val="single" w:sz="8" w:space="0" w:color="B8C7D9"/>
              <w:insideV w:val="single" w:sz="8" w:space="0" w:color="B8C7D9"/>
            </w:tcBorders>
            <w:tcMar>
              <w:top w:w="70" w:type="dxa"/>
              <w:start w:w="110" w:type="dxa"/>
              <w:bottom w:w="70" w:type="dxa"/>
              <w:end w:w="110" w:type="dxa"/>
            </w:tcMar>
            <w:vAlign w:val="center"/>
          </w:tcPr>
          <w:p>
            <w:pPr>
              <w:spacing w:before="0" w:after="0" w:line="247" w:lineRule="auto"/>
            </w:pPr>
            <w:r/>
            <w:r>
              <w:rPr>
                <w:rFonts w:ascii="Calibri" w:hAnsi="Calibri"/>
                <w:b w:val="0"/>
                <w:color w:val="0B2545"/>
                <w:sz w:val="18"/>
              </w:rPr>
              <w:t>The correct behavior, visual boundary, copy, or performance target.</w:t>
            </w:r>
          </w:p>
        </w:tc>
      </w:tr>
      <w:tr>
        <w:tc>
          <w:tcPr>
            <w:tcW w:type="dxa" w:w="2340"/>
            <w:shd w:fill="F7FAFC"/>
            <w:tcBorders>
              <w:top w:val="single" w:sz="8" w:space="0" w:color="B8C7D9"/>
              <w:left w:val="single" w:sz="8" w:space="0" w:color="B8C7D9"/>
              <w:bottom w:val="single" w:sz="8" w:space="0" w:color="B8C7D9"/>
              <w:right w:val="single" w:sz="8" w:space="0" w:color="B8C7D9"/>
              <w:insideH w:val="single" w:sz="8" w:space="0" w:color="B8C7D9"/>
              <w:insideV w:val="single" w:sz="8" w:space="0" w:color="B8C7D9"/>
            </w:tcBorders>
            <w:tcMar>
              <w:top w:w="70" w:type="dxa"/>
              <w:start w:w="110" w:type="dxa"/>
              <w:bottom w:w="70" w:type="dxa"/>
              <w:end w:w="110" w:type="dxa"/>
            </w:tcMar>
            <w:vAlign w:val="center"/>
          </w:tcPr>
          <w:p>
            <w:pPr>
              <w:spacing w:before="0" w:after="0" w:line="247" w:lineRule="auto"/>
            </w:pPr>
            <w:r/>
            <w:r>
              <w:rPr>
                <w:rFonts w:ascii="Calibri" w:hAnsi="Calibri"/>
                <w:b/>
                <w:color w:val="1F4D78"/>
                <w:sz w:val="18"/>
              </w:rPr>
              <w:t>Severity</w:t>
            </w:r>
          </w:p>
        </w:tc>
        <w:tc>
          <w:tcPr>
            <w:tcW w:type="dxa" w:w="7020"/>
            <w:tcBorders>
              <w:top w:val="single" w:sz="8" w:space="0" w:color="B8C7D9"/>
              <w:left w:val="single" w:sz="8" w:space="0" w:color="B8C7D9"/>
              <w:bottom w:val="single" w:sz="8" w:space="0" w:color="B8C7D9"/>
              <w:right w:val="single" w:sz="8" w:space="0" w:color="B8C7D9"/>
              <w:insideH w:val="single" w:sz="8" w:space="0" w:color="B8C7D9"/>
              <w:insideV w:val="single" w:sz="8" w:space="0" w:color="B8C7D9"/>
            </w:tcBorders>
            <w:tcMar>
              <w:top w:w="70" w:type="dxa"/>
              <w:start w:w="110" w:type="dxa"/>
              <w:bottom w:w="70" w:type="dxa"/>
              <w:end w:w="110" w:type="dxa"/>
            </w:tcMar>
            <w:vAlign w:val="center"/>
          </w:tcPr>
          <w:p>
            <w:pPr>
              <w:spacing w:before="0" w:after="0" w:line="247" w:lineRule="auto"/>
            </w:pPr>
            <w:r/>
            <w:r>
              <w:rPr>
                <w:rFonts w:ascii="Calibri" w:hAnsi="Calibri"/>
                <w:b w:val="0"/>
                <w:color w:val="0B2545"/>
                <w:sz w:val="18"/>
              </w:rPr>
              <w:t>Blocker, high, medium, or low, based on user impact and release risk.</w:t>
            </w:r>
          </w:p>
        </w:tc>
      </w:tr>
      <w:tr>
        <w:tc>
          <w:tcPr>
            <w:tcW w:type="dxa" w:w="2340"/>
            <w:shd w:fill="F7FAFC"/>
            <w:tcBorders>
              <w:top w:val="single" w:sz="8" w:space="0" w:color="B8C7D9"/>
              <w:left w:val="single" w:sz="8" w:space="0" w:color="B8C7D9"/>
              <w:bottom w:val="single" w:sz="8" w:space="0" w:color="B8C7D9"/>
              <w:right w:val="single" w:sz="8" w:space="0" w:color="B8C7D9"/>
              <w:insideH w:val="single" w:sz="8" w:space="0" w:color="B8C7D9"/>
              <w:insideV w:val="single" w:sz="8" w:space="0" w:color="B8C7D9"/>
            </w:tcBorders>
            <w:tcMar>
              <w:top w:w="70" w:type="dxa"/>
              <w:start w:w="110" w:type="dxa"/>
              <w:bottom w:w="70" w:type="dxa"/>
              <w:end w:w="110" w:type="dxa"/>
            </w:tcMar>
            <w:vAlign w:val="center"/>
          </w:tcPr>
          <w:p>
            <w:pPr>
              <w:spacing w:before="0" w:after="0" w:line="247" w:lineRule="auto"/>
            </w:pPr>
            <w:r/>
            <w:r>
              <w:rPr>
                <w:rFonts w:ascii="Calibri" w:hAnsi="Calibri"/>
                <w:b/>
                <w:color w:val="1F4D78"/>
                <w:sz w:val="18"/>
              </w:rPr>
              <w:t>Evidence</w:t>
            </w:r>
          </w:p>
        </w:tc>
        <w:tc>
          <w:tcPr>
            <w:tcW w:type="dxa" w:w="7020"/>
            <w:tcBorders>
              <w:top w:val="single" w:sz="8" w:space="0" w:color="B8C7D9"/>
              <w:left w:val="single" w:sz="8" w:space="0" w:color="B8C7D9"/>
              <w:bottom w:val="single" w:sz="8" w:space="0" w:color="B8C7D9"/>
              <w:right w:val="single" w:sz="8" w:space="0" w:color="B8C7D9"/>
              <w:insideH w:val="single" w:sz="8" w:space="0" w:color="B8C7D9"/>
              <w:insideV w:val="single" w:sz="8" w:space="0" w:color="B8C7D9"/>
            </w:tcBorders>
            <w:tcMar>
              <w:top w:w="70" w:type="dxa"/>
              <w:start w:w="110" w:type="dxa"/>
              <w:bottom w:w="70" w:type="dxa"/>
              <w:end w:w="110" w:type="dxa"/>
            </w:tcMar>
            <w:vAlign w:val="center"/>
          </w:tcPr>
          <w:p>
            <w:pPr>
              <w:spacing w:before="0" w:after="0" w:line="247" w:lineRule="auto"/>
            </w:pPr>
            <w:r/>
            <w:r>
              <w:rPr>
                <w:rFonts w:ascii="Calibri" w:hAnsi="Calibri"/>
                <w:b w:val="0"/>
                <w:color w:val="0B2545"/>
                <w:sz w:val="18"/>
              </w:rPr>
              <w:t>Screenshot, timing note, console/network evidence, or screen recording when useful.</w:t>
            </w:r>
          </w:p>
        </w:tc>
      </w:tr>
      <w:tr>
        <w:tc>
          <w:tcPr>
            <w:tcW w:type="dxa" w:w="2340"/>
            <w:shd w:fill="F7FAFC"/>
            <w:tcBorders>
              <w:top w:val="single" w:sz="8" w:space="0" w:color="B8C7D9"/>
              <w:left w:val="single" w:sz="8" w:space="0" w:color="B8C7D9"/>
              <w:bottom w:val="single" w:sz="8" w:space="0" w:color="B8C7D9"/>
              <w:right w:val="single" w:sz="8" w:space="0" w:color="B8C7D9"/>
              <w:insideH w:val="single" w:sz="8" w:space="0" w:color="B8C7D9"/>
              <w:insideV w:val="single" w:sz="8" w:space="0" w:color="B8C7D9"/>
            </w:tcBorders>
            <w:tcMar>
              <w:top w:w="70" w:type="dxa"/>
              <w:start w:w="110" w:type="dxa"/>
              <w:bottom w:w="70" w:type="dxa"/>
              <w:end w:w="110" w:type="dxa"/>
            </w:tcMar>
            <w:vAlign w:val="center"/>
          </w:tcPr>
          <w:p>
            <w:pPr>
              <w:spacing w:before="0" w:after="0" w:line="247" w:lineRule="auto"/>
            </w:pPr>
            <w:r/>
            <w:r>
              <w:rPr>
                <w:rFonts w:ascii="Calibri" w:hAnsi="Calibri"/>
                <w:b/>
                <w:color w:val="1F4D78"/>
                <w:sz w:val="18"/>
              </w:rPr>
              <w:t>Likely owner/session</w:t>
            </w:r>
          </w:p>
        </w:tc>
        <w:tc>
          <w:tcPr>
            <w:tcW w:type="dxa" w:w="7020"/>
            <w:tcBorders>
              <w:top w:val="single" w:sz="8" w:space="0" w:color="B8C7D9"/>
              <w:left w:val="single" w:sz="8" w:space="0" w:color="B8C7D9"/>
              <w:bottom w:val="single" w:sz="8" w:space="0" w:color="B8C7D9"/>
              <w:right w:val="single" w:sz="8" w:space="0" w:color="B8C7D9"/>
              <w:insideH w:val="single" w:sz="8" w:space="0" w:color="B8C7D9"/>
              <w:insideV w:val="single" w:sz="8" w:space="0" w:color="B8C7D9"/>
            </w:tcBorders>
            <w:tcMar>
              <w:top w:w="70" w:type="dxa"/>
              <w:start w:w="110" w:type="dxa"/>
              <w:bottom w:w="70" w:type="dxa"/>
              <w:end w:w="110" w:type="dxa"/>
            </w:tcMar>
            <w:vAlign w:val="center"/>
          </w:tcPr>
          <w:p>
            <w:pPr>
              <w:spacing w:before="0" w:after="0" w:line="247" w:lineRule="auto"/>
            </w:pPr>
            <w:r/>
            <w:r>
              <w:rPr>
                <w:rFonts w:ascii="Calibri" w:hAnsi="Calibri"/>
                <w:b w:val="0"/>
                <w:color w:val="0B2545"/>
                <w:sz w:val="18"/>
              </w:rPr>
              <w:t>Suggested owner such as S06 Visualization Lab, S04 Practice Arena, S09 copy/accessibility, or S01/S12 shell/auth/backend.</w:t>
            </w:r>
          </w:p>
        </w:tc>
      </w:tr>
    </w:tbl>
    <w:p>
      <w:pPr>
        <w:pStyle w:val="Heading1"/>
        <w:spacing w:before="200" w:after="100" w:line="252" w:lineRule="auto"/>
      </w:pPr>
      <w:r>
        <w:rPr>
          <w:rFonts w:ascii="Calibri" w:hAnsi="Calibri"/>
          <w:b/>
          <w:color w:val="2E74B5"/>
          <w:sz w:val="30"/>
        </w:rPr>
        <w:t>Conclusion</w:t>
      </w:r>
    </w:p>
    <w:tbl>
      <w:tblPr>
        <w:tblW w:type="dxa" w:w="9360"/>
        <w:jc w:val="left"/>
        <w:tblLook w:firstColumn="1" w:firstRow="1" w:lastColumn="0" w:lastRow="0" w:noHBand="0" w:noVBand="1" w:val="04A0"/>
        <w:tblInd w:w="120" w:type="dxa"/>
        <w:tblLayout w:type="fixed"/>
      </w:tblPr>
      <w:tblGrid>
        <w:gridCol w:w="9360"/>
      </w:tblGrid>
      <w:tr>
        <w:tc>
          <w:tcPr>
            <w:tcW w:type="dxa" w:w="9360"/>
            <w:shd w:fill="F4F6F9"/>
            <w:tcMar>
              <w:top w:w="70" w:type="dxa"/>
              <w:start w:w="110" w:type="dxa"/>
              <w:bottom w:w="70" w:type="dxa"/>
              <w:end w:w="110" w:type="dxa"/>
            </w:tcMar>
            <w:tcBorders>
              <w:top w:val="single" w:sz="8" w:space="0" w:color="B8C7D9"/>
              <w:left w:val="single" w:sz="8" w:space="0" w:color="B8C7D9"/>
              <w:bottom w:val="single" w:sz="8" w:space="0" w:color="B8C7D9"/>
              <w:right w:val="single" w:sz="8" w:space="0" w:color="B8C7D9"/>
              <w:insideH w:val="single" w:sz="8" w:space="0" w:color="B8C7D9"/>
              <w:insideV w:val="single" w:sz="8" w:space="0" w:color="B8C7D9"/>
            </w:tcBorders>
            <w:vAlign w:val="center"/>
          </w:tcPr>
          <w:p>
            <w:pPr>
              <w:spacing w:before="0" w:after="0" w:line="247" w:lineRule="auto"/>
            </w:pPr>
            <w:r>
              <w:rPr>
                <w:rFonts w:ascii="Calibri" w:hAnsi="Calibri"/>
                <w:b/>
                <w:color w:val="1F4D78"/>
                <w:sz w:val="19"/>
              </w:rPr>
              <w:t>Bottom line</w:t>
            </w:r>
          </w:p>
          <w:p>
            <w:pPr>
              <w:spacing w:before="0" w:after="0" w:line="247" w:lineRule="auto"/>
            </w:pPr>
            <w:r>
              <w:rPr>
                <w:rFonts w:ascii="Calibri" w:hAnsi="Calibri"/>
                <w:color w:val="0B2545"/>
                <w:sz w:val="19"/>
              </w:rPr>
              <w:t>The attachment is suitable as a bug inventory, but not as a direct fix list. S11 should triage and deduplicate it first, then route the resulting tickets to the relevant module owners.</w:t>
            </w:r>
          </w:p>
        </w:tc>
      </w:tr>
    </w:tbl>
    <w:p>
      <w:pPr>
        <w:spacing w:before="0" w:after="80" w:line="252" w:lineRule="auto"/>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color w:val="596573"/>
        <w:sz w:val="18"/>
      </w:rP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Calibri" w:hAnsi="Calibri"/>
        <w:b/>
        <w:color w:val="596573"/>
        <w:sz w:val="18"/>
      </w:rPr>
      <w:t>MAIS-MVP Bug Description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