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b/>
          <w:i w:val="0"/>
          <w:color w:val="000000"/>
          <w:sz w:val="46"/>
        </w:rPr>
        <w:t>S18 QA REPORT</w:t>
      </w:r>
    </w:p>
    <w:p>
      <w:pPr>
        <w:spacing w:before="0" w:after="280" w:line="264" w:lineRule="auto"/>
      </w:pPr>
      <w:r>
        <w:rPr>
          <w:rFonts w:ascii="Calibri" w:hAnsi="Calibri"/>
          <w:b w:val="0"/>
          <w:i w:val="0"/>
          <w:color w:val="595959"/>
          <w:sz w:val="28"/>
        </w:rPr>
        <w:t>California K-G5 New RAG Knowledge-Point Practice Candidate</w:t>
      </w:r>
    </w:p>
    <w:p>
      <w:pPr>
        <w:spacing w:before="0" w:after="40" w:line="264" w:lineRule="auto"/>
      </w:pPr>
      <w:r>
        <w:rPr>
          <w:rFonts w:ascii="Calibri" w:hAnsi="Calibri"/>
          <w:b/>
        </w:rPr>
        <w:t xml:space="preserve">Package: </w:t>
      </w:r>
      <w:r>
        <w:rPr>
          <w:rFonts w:ascii="Calibri" w:hAnsi="Calibri"/>
        </w:rPr>
        <w:t>us-ca-k5-knowledge-point-practice-v1</w:t>
      </w:r>
    </w:p>
    <w:p>
      <w:pPr>
        <w:spacing w:before="0" w:after="40" w:line="264" w:lineRule="auto"/>
      </w:pPr>
      <w:r>
        <w:rPr>
          <w:rFonts w:ascii="Calibri" w:hAnsi="Calibri"/>
          <w:b/>
        </w:rPr>
        <w:t xml:space="preserve">Date: </w:t>
      </w:r>
      <w:r>
        <w:rPr>
          <w:rFonts w:ascii="Calibri" w:hAnsi="Calibri"/>
        </w:rPr>
        <w:t>June 22, 2026</w:t>
      </w:r>
    </w:p>
    <w:p>
      <w:pPr>
        <w:spacing w:before="0" w:after="40" w:line="264" w:lineRule="auto"/>
      </w:pPr>
      <w:r>
        <w:rPr>
          <w:rFonts w:ascii="Calibri" w:hAnsi="Calibri"/>
          <w:b/>
        </w:rPr>
        <w:t xml:space="preserve">Owners: </w:t>
      </w:r>
      <w:r>
        <w:rPr>
          <w:rFonts w:ascii="Calibri" w:hAnsi="Calibri"/>
        </w:rPr>
        <w:t>S21 content pipeline generation; S18 curriculum QA</w:t>
      </w:r>
    </w:p>
    <w:p>
      <w:pPr>
        <w:spacing w:before="0" w:after="40" w:line="264" w:lineRule="auto"/>
      </w:pPr>
      <w:r>
        <w:rPr>
          <w:rFonts w:ascii="Calibri" w:hAnsi="Calibri"/>
          <w:b/>
        </w:rPr>
        <w:t xml:space="preserve">Decision: </w:t>
      </w:r>
      <w:r>
        <w:rPr>
          <w:rFonts w:ascii="Calibri" w:hAnsi="Calibri"/>
        </w:rPr>
        <w:t>candidate-only-two-round-qa-pass</w:t>
      </w:r>
    </w:p>
    <w:p>
      <w:pPr>
        <w:spacing w:before="0" w:after="40" w:line="264" w:lineRule="auto"/>
      </w:pPr>
      <w:r>
        <w:rPr>
          <w:rFonts w:ascii="Calibri" w:hAnsi="Calibri"/>
          <w:b/>
        </w:rPr>
        <w:t xml:space="preserve">Live status: </w:t>
      </w:r>
      <w:r>
        <w:rPr>
          <w:rFonts w:ascii="Calibri" w:hAnsi="Calibri"/>
        </w:rPr>
        <w:t>Not integrated into live student practice in this dialogue</w:t>
      </w:r>
    </w:p>
    <w:p>
      <w:pPr>
        <w:spacing w:before="0" w:after="240" w:line="264" w:lineRule="auto"/>
        <w:pBdr>
          <w:bottom w:val="single" w:sz="8" w:space="1" w:color="2E74B5"/>
        </w:pBdr>
      </w:pPr>
    </w:p>
    <w:p>
      <w:pPr>
        <w:spacing w:before="320" w:after="160" w:line="264" w:lineRule="auto"/>
      </w:pPr>
      <w:r>
        <w:rPr>
          <w:rFonts w:ascii="Calibri" w:hAnsi="Calibri"/>
          <w:b/>
          <w:color w:val="2E74B5"/>
          <w:sz w:val="32"/>
        </w:rPr>
        <w:t>Executive Verdict</w:t>
      </w:r>
    </w:p>
    <w:p>
      <w:pPr>
        <w:spacing w:before="0" w:after="120" w:line="264" w:lineRule="auto"/>
      </w:pPr>
      <w:r>
        <w:rPr>
          <w:rFonts w:ascii="Calibri" w:hAnsi="Calibri"/>
          <w:b w:val="0"/>
          <w:i w:val="0"/>
          <w:color w:val="000000"/>
          <w:sz w:val="22"/>
        </w:rPr>
        <w:t>The candidate package passes two internal QA rounds for topic coverage, deterministic answer validity, source-distance boundaries, bilingual field completeness, and no-live-integration status. It should remain candidate-only until a future owner assignment routes it through S23, S04/S05, S11, and S22.</w:t>
      </w:r>
    </w:p>
    <w:p>
      <w:pPr>
        <w:spacing w:before="320" w:after="160" w:line="264" w:lineRule="auto"/>
      </w:pPr>
      <w:r>
        <w:rPr>
          <w:rFonts w:ascii="Calibri" w:hAnsi="Calibri"/>
          <w:b/>
          <w:color w:val="2E74B5"/>
          <w:sz w:val="32"/>
        </w:rPr>
        <w:t>Package Scope</w:t>
      </w:r>
    </w:p>
    <w:tbl>
      <w:tblPr>
        <w:tblStyle w:val="TableGrid"/>
        <w:tblW w:type="dxa" w:w="9360"/>
        <w:jc w:val="left"/>
        <w:tblLayout w:type="fixed"/>
        <w:tblLook w:firstColumn="1" w:firstRow="1" w:lastColumn="0" w:lastRow="0" w:noHBand="0" w:noVBand="1" w:val="04A0"/>
      </w:tblPr>
      <w:tblGrid>
        <w:gridCol w:w="4680"/>
        <w:gridCol w:w="4680"/>
      </w:tblGrid>
      <w:tr>
        <w:tc>
          <w:tcPr>
            <w:tcW w:type="dxa" w:w="3100"/>
            <w:tcMar>
              <w:top w:w="80" w:type="dxa"/>
              <w:bottom w:w="80" w:type="dxa"/>
              <w:start w:w="120" w:type="dxa"/>
              <w:end w:w="120" w:type="dxa"/>
            </w:tcMar>
            <w:vAlign w:val="center"/>
            <w:shd w:fill="F2F4F7"/>
          </w:tcPr>
          <w:p>
            <w:pPr>
              <w:spacing w:before="0" w:after="0" w:line="264" w:lineRule="auto"/>
              <w:jc w:val="center"/>
            </w:pPr>
            <w:r>
              <w:rPr>
                <w:rFonts w:ascii="Calibri" w:hAnsi="Calibri"/>
                <w:b/>
                <w:color w:val="000000"/>
                <w:sz w:val="21"/>
              </w:rPr>
              <w:t>Metric</w:t>
            </w:r>
          </w:p>
        </w:tc>
        <w:tc>
          <w:tcPr>
            <w:tcW w:type="dxa" w:w="6260"/>
            <w:tcMar>
              <w:top w:w="80" w:type="dxa"/>
              <w:bottom w:w="80" w:type="dxa"/>
              <w:start w:w="120" w:type="dxa"/>
              <w:end w:w="120" w:type="dxa"/>
            </w:tcMar>
            <w:vAlign w:val="center"/>
            <w:shd w:fill="F2F4F7"/>
          </w:tcPr>
          <w:p>
            <w:pPr>
              <w:spacing w:before="0" w:after="0" w:line="264" w:lineRule="auto"/>
              <w:jc w:val="center"/>
            </w:pPr>
            <w:r>
              <w:rPr>
                <w:rFonts w:ascii="Calibri" w:hAnsi="Calibri"/>
                <w:b/>
                <w:color w:val="000000"/>
                <w:sz w:val="21"/>
              </w:rPr>
              <w:t>Value</w:t>
            </w:r>
          </w:p>
        </w:tc>
      </w:tr>
      <w:tr>
        <w:tc>
          <w:tcPr>
            <w:tcW w:type="dxa" w:w="4680"/>
            <w:vAlign w:val="center"/>
          </w:tcPr>
          <w:p>
            <w:pPr>
              <w:spacing w:before="0" w:after="0" w:line="264" w:lineRule="auto"/>
              <w:jc w:val="center"/>
            </w:pPr>
            <w:r>
              <w:rPr>
                <w:rFonts w:ascii="Calibri" w:hAnsi="Calibri"/>
                <w:b w:val="0"/>
                <w:color w:val="000000"/>
                <w:sz w:val="21"/>
              </w:rPr>
              <w:t>Knowledge-point topics</w:t>
            </w:r>
          </w:p>
        </w:tc>
        <w:tc>
          <w:tcPr>
            <w:tcW w:type="dxa" w:w="4680"/>
            <w:vAlign w:val="center"/>
          </w:tcPr>
          <w:p>
            <w:pPr>
              <w:spacing w:before="0" w:after="0" w:line="264" w:lineRule="auto"/>
              <w:jc w:val="left"/>
            </w:pPr>
            <w:r>
              <w:rPr>
                <w:rFonts w:ascii="Calibri" w:hAnsi="Calibri"/>
                <w:b w:val="0"/>
                <w:color w:val="000000"/>
                <w:sz w:val="21"/>
              </w:rPr>
              <w:t>41</w:t>
            </w:r>
          </w:p>
        </w:tc>
      </w:tr>
      <w:tr>
        <w:tc>
          <w:tcPr>
            <w:tcW w:type="dxa" w:w="4680"/>
            <w:vAlign w:val="center"/>
          </w:tcPr>
          <w:p>
            <w:pPr>
              <w:spacing w:before="0" w:after="0" w:line="264" w:lineRule="auto"/>
              <w:jc w:val="center"/>
            </w:pPr>
            <w:r>
              <w:rPr>
                <w:rFonts w:ascii="Calibri" w:hAnsi="Calibri"/>
                <w:b w:val="0"/>
                <w:color w:val="000000"/>
                <w:sz w:val="21"/>
              </w:rPr>
              <w:t>Practice questions</w:t>
            </w:r>
          </w:p>
        </w:tc>
        <w:tc>
          <w:tcPr>
            <w:tcW w:type="dxa" w:w="4680"/>
            <w:vAlign w:val="center"/>
          </w:tcPr>
          <w:p>
            <w:pPr>
              <w:spacing w:before="0" w:after="0" w:line="264" w:lineRule="auto"/>
              <w:jc w:val="left"/>
            </w:pPr>
            <w:r>
              <w:rPr>
                <w:rFonts w:ascii="Calibri" w:hAnsi="Calibri"/>
                <w:b w:val="0"/>
                <w:color w:val="000000"/>
                <w:sz w:val="21"/>
              </w:rPr>
              <w:t>492</w:t>
            </w:r>
          </w:p>
        </w:tc>
      </w:tr>
      <w:tr>
        <w:tc>
          <w:tcPr>
            <w:tcW w:type="dxa" w:w="4680"/>
            <w:vAlign w:val="center"/>
          </w:tcPr>
          <w:p>
            <w:pPr>
              <w:spacing w:before="0" w:after="0" w:line="264" w:lineRule="auto"/>
              <w:jc w:val="center"/>
            </w:pPr>
            <w:r>
              <w:rPr>
                <w:rFonts w:ascii="Calibri" w:hAnsi="Calibri"/>
                <w:b w:val="0"/>
                <w:color w:val="000000"/>
                <w:sz w:val="21"/>
              </w:rPr>
              <w:t>Questions per topic</w:t>
            </w:r>
          </w:p>
        </w:tc>
        <w:tc>
          <w:tcPr>
            <w:tcW w:type="dxa" w:w="4680"/>
            <w:vAlign w:val="center"/>
          </w:tcPr>
          <w:p>
            <w:pPr>
              <w:spacing w:before="0" w:after="0" w:line="264" w:lineRule="auto"/>
              <w:jc w:val="left"/>
            </w:pPr>
            <w:r>
              <w:rPr>
                <w:rFonts w:ascii="Calibri" w:hAnsi="Calibri"/>
                <w:b w:val="0"/>
                <w:color w:val="000000"/>
                <w:sz w:val="21"/>
              </w:rPr>
              <w:t>12</w:t>
            </w:r>
          </w:p>
        </w:tc>
      </w:tr>
      <w:tr>
        <w:tc>
          <w:tcPr>
            <w:tcW w:type="dxa" w:w="4680"/>
            <w:vAlign w:val="center"/>
          </w:tcPr>
          <w:p>
            <w:pPr>
              <w:spacing w:before="0" w:after="0" w:line="264" w:lineRule="auto"/>
              <w:jc w:val="center"/>
            </w:pPr>
            <w:r>
              <w:rPr>
                <w:rFonts w:ascii="Calibri" w:hAnsi="Calibri"/>
                <w:b w:val="0"/>
                <w:color w:val="000000"/>
                <w:sz w:val="21"/>
              </w:rPr>
              <w:t>Textbook lesson topics</w:t>
            </w:r>
          </w:p>
        </w:tc>
        <w:tc>
          <w:tcPr>
            <w:tcW w:type="dxa" w:w="4680"/>
            <w:vAlign w:val="center"/>
          </w:tcPr>
          <w:p>
            <w:pPr>
              <w:spacing w:before="0" w:after="0" w:line="264" w:lineRule="auto"/>
              <w:jc w:val="left"/>
            </w:pPr>
            <w:r>
              <w:rPr>
                <w:rFonts w:ascii="Calibri" w:hAnsi="Calibri"/>
                <w:b w:val="0"/>
                <w:color w:val="000000"/>
                <w:sz w:val="21"/>
              </w:rPr>
              <w:t>29</w:t>
            </w:r>
          </w:p>
        </w:tc>
      </w:tr>
      <w:tr>
        <w:tc>
          <w:tcPr>
            <w:tcW w:type="dxa" w:w="4680"/>
            <w:vAlign w:val="center"/>
          </w:tcPr>
          <w:p>
            <w:pPr>
              <w:spacing w:before="0" w:after="0" w:line="264" w:lineRule="auto"/>
              <w:jc w:val="center"/>
            </w:pPr>
            <w:r>
              <w:rPr>
                <w:rFonts w:ascii="Calibri" w:hAnsi="Calibri"/>
                <w:b w:val="0"/>
                <w:color w:val="000000"/>
                <w:sz w:val="21"/>
              </w:rPr>
              <w:t>Grade 1 micro-lesson topics</w:t>
            </w:r>
          </w:p>
        </w:tc>
        <w:tc>
          <w:tcPr>
            <w:tcW w:type="dxa" w:w="4680"/>
            <w:vAlign w:val="center"/>
          </w:tcPr>
          <w:p>
            <w:pPr>
              <w:spacing w:before="0" w:after="0" w:line="264" w:lineRule="auto"/>
              <w:jc w:val="left"/>
            </w:pPr>
            <w:r>
              <w:rPr>
                <w:rFonts w:ascii="Calibri" w:hAnsi="Calibri"/>
                <w:b w:val="0"/>
                <w:color w:val="000000"/>
                <w:sz w:val="21"/>
              </w:rPr>
              <w:t>12</w:t>
            </w:r>
          </w:p>
        </w:tc>
      </w:tr>
      <w:tr>
        <w:tc>
          <w:tcPr>
            <w:tcW w:type="dxa" w:w="4680"/>
            <w:vAlign w:val="center"/>
          </w:tcPr>
          <w:p>
            <w:pPr>
              <w:spacing w:before="0" w:after="0" w:line="264" w:lineRule="auto"/>
              <w:jc w:val="center"/>
            </w:pPr>
            <w:r>
              <w:rPr>
                <w:rFonts w:ascii="Calibri" w:hAnsi="Calibri"/>
                <w:b w:val="0"/>
                <w:color w:val="000000"/>
                <w:sz w:val="21"/>
              </w:rPr>
              <w:t>Integration status</w:t>
            </w:r>
          </w:p>
        </w:tc>
        <w:tc>
          <w:tcPr>
            <w:tcW w:type="dxa" w:w="4680"/>
            <w:vAlign w:val="center"/>
          </w:tcPr>
          <w:p>
            <w:pPr>
              <w:spacing w:before="0" w:after="0" w:line="264" w:lineRule="auto"/>
              <w:jc w:val="left"/>
            </w:pPr>
            <w:r>
              <w:rPr>
                <w:rFonts w:ascii="Calibri" w:hAnsi="Calibri"/>
                <w:b w:val="0"/>
                <w:color w:val="000000"/>
                <w:sz w:val="21"/>
              </w:rPr>
              <w:t>candidate-only-not-live</w:t>
            </w:r>
          </w:p>
        </w:tc>
      </w:tr>
    </w:tbl>
    <w:p>
      <w:pPr>
        <w:spacing w:after="80"/>
      </w:pPr>
    </w:p>
    <w:p>
      <w:pPr>
        <w:spacing w:before="320" w:after="160" w:line="264" w:lineRule="auto"/>
      </w:pPr>
      <w:r>
        <w:rPr>
          <w:rFonts w:ascii="Calibri" w:hAnsi="Calibri"/>
          <w:b/>
          <w:color w:val="2E74B5"/>
          <w:sz w:val="32"/>
        </w:rPr>
        <w:t>Grade Coverage</w:t>
      </w:r>
    </w:p>
    <w:tbl>
      <w:tblPr>
        <w:tblStyle w:val="TableGrid"/>
        <w:tblW w:type="dxa" w:w="5500"/>
        <w:jc w:val="left"/>
        <w:tblLayout w:type="fixed"/>
        <w:tblLook w:firstColumn="1" w:firstRow="1" w:lastColumn="0" w:lastRow="0" w:noHBand="0" w:noVBand="1" w:val="04A0"/>
      </w:tblPr>
      <w:tblGrid>
        <w:gridCol w:w="3120"/>
        <w:gridCol w:w="3120"/>
        <w:gridCol w:w="3120"/>
      </w:tblGrid>
      <w:tr>
        <w:tc>
          <w:tcPr>
            <w:tcW w:type="dxa" w:w="1500"/>
            <w:tcMar>
              <w:top w:w="80" w:type="dxa"/>
              <w:bottom w:w="80" w:type="dxa"/>
              <w:start w:w="120" w:type="dxa"/>
              <w:end w:w="120" w:type="dxa"/>
            </w:tcMar>
            <w:vAlign w:val="center"/>
            <w:shd w:fill="F2F4F7"/>
          </w:tcPr>
          <w:p>
            <w:pPr>
              <w:spacing w:before="0" w:after="0" w:line="264" w:lineRule="auto"/>
              <w:jc w:val="center"/>
            </w:pPr>
            <w:r>
              <w:rPr>
                <w:rFonts w:ascii="Calibri" w:hAnsi="Calibri"/>
                <w:b/>
                <w:color w:val="000000"/>
                <w:sz w:val="21"/>
              </w:rPr>
              <w:t>Grade</w:t>
            </w:r>
          </w:p>
        </w:tc>
        <w:tc>
          <w:tcPr>
            <w:tcW w:type="dxa" w:w="2000"/>
            <w:tcMar>
              <w:top w:w="80" w:type="dxa"/>
              <w:bottom w:w="80" w:type="dxa"/>
              <w:start w:w="120" w:type="dxa"/>
              <w:end w:w="120" w:type="dxa"/>
            </w:tcMar>
            <w:vAlign w:val="center"/>
            <w:shd w:fill="F2F4F7"/>
          </w:tcPr>
          <w:p>
            <w:pPr>
              <w:spacing w:before="0" w:after="0" w:line="264" w:lineRule="auto"/>
              <w:jc w:val="center"/>
            </w:pPr>
            <w:r>
              <w:rPr>
                <w:rFonts w:ascii="Calibri" w:hAnsi="Calibri"/>
                <w:b/>
                <w:color w:val="000000"/>
                <w:sz w:val="21"/>
              </w:rPr>
              <w:t>Topics</w:t>
            </w:r>
          </w:p>
        </w:tc>
        <w:tc>
          <w:tcPr>
            <w:tcW w:type="dxa" w:w="2000"/>
            <w:tcMar>
              <w:top w:w="80" w:type="dxa"/>
              <w:bottom w:w="80" w:type="dxa"/>
              <w:start w:w="120" w:type="dxa"/>
              <w:end w:w="120" w:type="dxa"/>
            </w:tcMar>
            <w:vAlign w:val="center"/>
            <w:shd w:fill="F2F4F7"/>
          </w:tcPr>
          <w:p>
            <w:pPr>
              <w:spacing w:before="0" w:after="0" w:line="264" w:lineRule="auto"/>
              <w:jc w:val="center"/>
            </w:pPr>
            <w:r>
              <w:rPr>
                <w:rFonts w:ascii="Calibri" w:hAnsi="Calibri"/>
                <w:b/>
                <w:color w:val="000000"/>
                <w:sz w:val="21"/>
              </w:rPr>
              <w:t>Questions</w:t>
            </w:r>
          </w:p>
        </w:tc>
      </w:tr>
      <w:tr>
        <w:tc>
          <w:tcPr>
            <w:tcW w:type="dxa" w:w="3120"/>
            <w:vAlign w:val="center"/>
          </w:tcPr>
          <w:p>
            <w:pPr>
              <w:spacing w:before="0" w:after="0" w:line="264" w:lineRule="auto"/>
              <w:jc w:val="center"/>
            </w:pPr>
            <w:r>
              <w:rPr>
                <w:rFonts w:ascii="Calibri" w:hAnsi="Calibri"/>
                <w:b w:val="0"/>
                <w:color w:val="000000"/>
                <w:sz w:val="21"/>
              </w:rPr>
              <w:t>K</w:t>
            </w:r>
          </w:p>
        </w:tc>
        <w:tc>
          <w:tcPr>
            <w:tcW w:type="dxa" w:w="3120"/>
            <w:vAlign w:val="center"/>
          </w:tcPr>
          <w:p>
            <w:pPr>
              <w:spacing w:before="0" w:after="0" w:line="264" w:lineRule="auto"/>
              <w:jc w:val="center"/>
            </w:pPr>
            <w:r>
              <w:rPr>
                <w:rFonts w:ascii="Calibri" w:hAnsi="Calibri"/>
                <w:b w:val="0"/>
                <w:color w:val="000000"/>
                <w:sz w:val="21"/>
              </w:rPr>
              <w:t>6</w:t>
            </w:r>
          </w:p>
        </w:tc>
        <w:tc>
          <w:tcPr>
            <w:tcW w:type="dxa" w:w="3120"/>
            <w:vAlign w:val="center"/>
          </w:tcPr>
          <w:p>
            <w:pPr>
              <w:spacing w:before="0" w:after="0" w:line="264" w:lineRule="auto"/>
              <w:jc w:val="center"/>
            </w:pPr>
            <w:r>
              <w:rPr>
                <w:rFonts w:ascii="Calibri" w:hAnsi="Calibri"/>
                <w:b w:val="0"/>
                <w:color w:val="000000"/>
                <w:sz w:val="21"/>
              </w:rPr>
              <w:t>72</w:t>
            </w:r>
          </w:p>
        </w:tc>
      </w:tr>
      <w:tr>
        <w:tc>
          <w:tcPr>
            <w:tcW w:type="dxa" w:w="3120"/>
            <w:vAlign w:val="center"/>
          </w:tcPr>
          <w:p>
            <w:pPr>
              <w:spacing w:before="0" w:after="0" w:line="264" w:lineRule="auto"/>
              <w:jc w:val="center"/>
            </w:pPr>
            <w:r>
              <w:rPr>
                <w:rFonts w:ascii="Calibri" w:hAnsi="Calibri"/>
                <w:b w:val="0"/>
                <w:color w:val="000000"/>
                <w:sz w:val="21"/>
              </w:rPr>
              <w:t>P1</w:t>
            </w:r>
          </w:p>
        </w:tc>
        <w:tc>
          <w:tcPr>
            <w:tcW w:type="dxa" w:w="3120"/>
            <w:vAlign w:val="center"/>
          </w:tcPr>
          <w:p>
            <w:pPr>
              <w:spacing w:before="0" w:after="0" w:line="264" w:lineRule="auto"/>
              <w:jc w:val="center"/>
            </w:pPr>
            <w:r>
              <w:rPr>
                <w:rFonts w:ascii="Calibri" w:hAnsi="Calibri"/>
                <w:b w:val="0"/>
                <w:color w:val="000000"/>
                <w:sz w:val="21"/>
              </w:rPr>
              <w:t>16</w:t>
            </w:r>
          </w:p>
        </w:tc>
        <w:tc>
          <w:tcPr>
            <w:tcW w:type="dxa" w:w="3120"/>
            <w:vAlign w:val="center"/>
          </w:tcPr>
          <w:p>
            <w:pPr>
              <w:spacing w:before="0" w:after="0" w:line="264" w:lineRule="auto"/>
              <w:jc w:val="center"/>
            </w:pPr>
            <w:r>
              <w:rPr>
                <w:rFonts w:ascii="Calibri" w:hAnsi="Calibri"/>
                <w:b w:val="0"/>
                <w:color w:val="000000"/>
                <w:sz w:val="21"/>
              </w:rPr>
              <w:t>192</w:t>
            </w:r>
          </w:p>
        </w:tc>
      </w:tr>
      <w:tr>
        <w:tc>
          <w:tcPr>
            <w:tcW w:type="dxa" w:w="3120"/>
            <w:vAlign w:val="center"/>
          </w:tcPr>
          <w:p>
            <w:pPr>
              <w:spacing w:before="0" w:after="0" w:line="264" w:lineRule="auto"/>
              <w:jc w:val="center"/>
            </w:pPr>
            <w:r>
              <w:rPr>
                <w:rFonts w:ascii="Calibri" w:hAnsi="Calibri"/>
                <w:b w:val="0"/>
                <w:color w:val="000000"/>
                <w:sz w:val="21"/>
              </w:rPr>
              <w:t>P2</w:t>
            </w:r>
          </w:p>
        </w:tc>
        <w:tc>
          <w:tcPr>
            <w:tcW w:type="dxa" w:w="3120"/>
            <w:vAlign w:val="center"/>
          </w:tcPr>
          <w:p>
            <w:pPr>
              <w:spacing w:before="0" w:after="0" w:line="264" w:lineRule="auto"/>
              <w:jc w:val="center"/>
            </w:pPr>
            <w:r>
              <w:rPr>
                <w:rFonts w:ascii="Calibri" w:hAnsi="Calibri"/>
                <w:b w:val="0"/>
                <w:color w:val="000000"/>
                <w:sz w:val="21"/>
              </w:rPr>
              <w:t>4</w:t>
            </w:r>
          </w:p>
        </w:tc>
        <w:tc>
          <w:tcPr>
            <w:tcW w:type="dxa" w:w="3120"/>
            <w:vAlign w:val="center"/>
          </w:tcPr>
          <w:p>
            <w:pPr>
              <w:spacing w:before="0" w:after="0" w:line="264" w:lineRule="auto"/>
              <w:jc w:val="center"/>
            </w:pPr>
            <w:r>
              <w:rPr>
                <w:rFonts w:ascii="Calibri" w:hAnsi="Calibri"/>
                <w:b w:val="0"/>
                <w:color w:val="000000"/>
                <w:sz w:val="21"/>
              </w:rPr>
              <w:t>48</w:t>
            </w:r>
          </w:p>
        </w:tc>
      </w:tr>
      <w:tr>
        <w:tc>
          <w:tcPr>
            <w:tcW w:type="dxa" w:w="3120"/>
            <w:vAlign w:val="center"/>
          </w:tcPr>
          <w:p>
            <w:pPr>
              <w:spacing w:before="0" w:after="0" w:line="264" w:lineRule="auto"/>
              <w:jc w:val="center"/>
            </w:pPr>
            <w:r>
              <w:rPr>
                <w:rFonts w:ascii="Calibri" w:hAnsi="Calibri"/>
                <w:b w:val="0"/>
                <w:color w:val="000000"/>
                <w:sz w:val="21"/>
              </w:rPr>
              <w:t>P3</w:t>
            </w:r>
          </w:p>
        </w:tc>
        <w:tc>
          <w:tcPr>
            <w:tcW w:type="dxa" w:w="3120"/>
            <w:vAlign w:val="center"/>
          </w:tcPr>
          <w:p>
            <w:pPr>
              <w:spacing w:before="0" w:after="0" w:line="264" w:lineRule="auto"/>
              <w:jc w:val="center"/>
            </w:pPr>
            <w:r>
              <w:rPr>
                <w:rFonts w:ascii="Calibri" w:hAnsi="Calibri"/>
                <w:b w:val="0"/>
                <w:color w:val="000000"/>
                <w:sz w:val="21"/>
              </w:rPr>
              <w:t>5</w:t>
            </w:r>
          </w:p>
        </w:tc>
        <w:tc>
          <w:tcPr>
            <w:tcW w:type="dxa" w:w="3120"/>
            <w:vAlign w:val="center"/>
          </w:tcPr>
          <w:p>
            <w:pPr>
              <w:spacing w:before="0" w:after="0" w:line="264" w:lineRule="auto"/>
              <w:jc w:val="center"/>
            </w:pPr>
            <w:r>
              <w:rPr>
                <w:rFonts w:ascii="Calibri" w:hAnsi="Calibri"/>
                <w:b w:val="0"/>
                <w:color w:val="000000"/>
                <w:sz w:val="21"/>
              </w:rPr>
              <w:t>60</w:t>
            </w:r>
          </w:p>
        </w:tc>
      </w:tr>
      <w:tr>
        <w:tc>
          <w:tcPr>
            <w:tcW w:type="dxa" w:w="3120"/>
            <w:vAlign w:val="center"/>
          </w:tcPr>
          <w:p>
            <w:pPr>
              <w:spacing w:before="0" w:after="0" w:line="264" w:lineRule="auto"/>
              <w:jc w:val="center"/>
            </w:pPr>
            <w:r>
              <w:rPr>
                <w:rFonts w:ascii="Calibri" w:hAnsi="Calibri"/>
                <w:b w:val="0"/>
                <w:color w:val="000000"/>
                <w:sz w:val="21"/>
              </w:rPr>
              <w:t>P4</w:t>
            </w:r>
          </w:p>
        </w:tc>
        <w:tc>
          <w:tcPr>
            <w:tcW w:type="dxa" w:w="3120"/>
            <w:vAlign w:val="center"/>
          </w:tcPr>
          <w:p>
            <w:pPr>
              <w:spacing w:before="0" w:after="0" w:line="264" w:lineRule="auto"/>
              <w:jc w:val="center"/>
            </w:pPr>
            <w:r>
              <w:rPr>
                <w:rFonts w:ascii="Calibri" w:hAnsi="Calibri"/>
                <w:b w:val="0"/>
                <w:color w:val="000000"/>
                <w:sz w:val="21"/>
              </w:rPr>
              <w:t>5</w:t>
            </w:r>
          </w:p>
        </w:tc>
        <w:tc>
          <w:tcPr>
            <w:tcW w:type="dxa" w:w="3120"/>
            <w:vAlign w:val="center"/>
          </w:tcPr>
          <w:p>
            <w:pPr>
              <w:spacing w:before="0" w:after="0" w:line="264" w:lineRule="auto"/>
              <w:jc w:val="center"/>
            </w:pPr>
            <w:r>
              <w:rPr>
                <w:rFonts w:ascii="Calibri" w:hAnsi="Calibri"/>
                <w:b w:val="0"/>
                <w:color w:val="000000"/>
                <w:sz w:val="21"/>
              </w:rPr>
              <w:t>60</w:t>
            </w:r>
          </w:p>
        </w:tc>
      </w:tr>
      <w:tr>
        <w:tc>
          <w:tcPr>
            <w:tcW w:type="dxa" w:w="3120"/>
            <w:vAlign w:val="center"/>
          </w:tcPr>
          <w:p>
            <w:pPr>
              <w:spacing w:before="0" w:after="0" w:line="264" w:lineRule="auto"/>
              <w:jc w:val="center"/>
            </w:pPr>
            <w:r>
              <w:rPr>
                <w:rFonts w:ascii="Calibri" w:hAnsi="Calibri"/>
                <w:b w:val="0"/>
                <w:color w:val="000000"/>
                <w:sz w:val="21"/>
              </w:rPr>
              <w:t>P5</w:t>
            </w:r>
          </w:p>
        </w:tc>
        <w:tc>
          <w:tcPr>
            <w:tcW w:type="dxa" w:w="3120"/>
            <w:vAlign w:val="center"/>
          </w:tcPr>
          <w:p>
            <w:pPr>
              <w:spacing w:before="0" w:after="0" w:line="264" w:lineRule="auto"/>
              <w:jc w:val="center"/>
            </w:pPr>
            <w:r>
              <w:rPr>
                <w:rFonts w:ascii="Calibri" w:hAnsi="Calibri"/>
                <w:b w:val="0"/>
                <w:color w:val="000000"/>
                <w:sz w:val="21"/>
              </w:rPr>
              <w:t>5</w:t>
            </w:r>
          </w:p>
        </w:tc>
        <w:tc>
          <w:tcPr>
            <w:tcW w:type="dxa" w:w="3120"/>
            <w:vAlign w:val="center"/>
          </w:tcPr>
          <w:p>
            <w:pPr>
              <w:spacing w:before="0" w:after="0" w:line="264" w:lineRule="auto"/>
              <w:jc w:val="center"/>
            </w:pPr>
            <w:r>
              <w:rPr>
                <w:rFonts w:ascii="Calibri" w:hAnsi="Calibri"/>
                <w:b w:val="0"/>
                <w:color w:val="000000"/>
                <w:sz w:val="21"/>
              </w:rPr>
              <w:t>60</w:t>
            </w:r>
          </w:p>
        </w:tc>
      </w:tr>
    </w:tbl>
    <w:p>
      <w:pPr>
        <w:spacing w:after="80"/>
      </w:pPr>
    </w:p>
    <w:p>
      <w:r>
        <w:br w:type="page"/>
      </w:r>
    </w:p>
    <w:p>
      <w:pPr>
        <w:spacing w:before="320" w:after="160" w:line="264" w:lineRule="auto"/>
      </w:pPr>
      <w:r>
        <w:rPr>
          <w:rFonts w:ascii="Calibri" w:hAnsi="Calibri"/>
          <w:b/>
          <w:color w:val="2E74B5"/>
          <w:sz w:val="32"/>
        </w:rPr>
        <w:t>Two-Round QA Evidence</w:t>
      </w:r>
    </w:p>
    <w:tbl>
      <w:tblPr>
        <w:tblStyle w:val="TableGrid"/>
        <w:tblW w:type="dxa" w:w="8850"/>
        <w:jc w:val="left"/>
        <w:tblLayout w:type="fixed"/>
        <w:tblLook w:firstColumn="1" w:firstRow="1" w:lastColumn="0" w:lastRow="0" w:noHBand="0" w:noVBand="1" w:val="04A0"/>
      </w:tblPr>
      <w:tblGrid>
        <w:gridCol w:w="1560"/>
        <w:gridCol w:w="1560"/>
        <w:gridCol w:w="1560"/>
        <w:gridCol w:w="1560"/>
        <w:gridCol w:w="1560"/>
        <w:gridCol w:w="1560"/>
      </w:tblGrid>
      <w:tr>
        <w:tc>
          <w:tcPr>
            <w:tcW w:type="dxa" w:w="1300"/>
            <w:tcMar>
              <w:top w:w="80" w:type="dxa"/>
              <w:bottom w:w="80" w:type="dxa"/>
              <w:start w:w="120" w:type="dxa"/>
              <w:end w:w="120" w:type="dxa"/>
            </w:tcMar>
            <w:vAlign w:val="center"/>
            <w:shd w:fill="F2F4F7"/>
          </w:tcPr>
          <w:p>
            <w:pPr>
              <w:spacing w:before="0" w:after="0" w:line="264" w:lineRule="auto"/>
              <w:jc w:val="center"/>
            </w:pPr>
            <w:r>
              <w:rPr>
                <w:rFonts w:ascii="Calibri" w:hAnsi="Calibri"/>
                <w:b/>
                <w:color w:val="000000"/>
                <w:sz w:val="21"/>
              </w:rPr>
              <w:t>QA Round</w:t>
            </w:r>
          </w:p>
        </w:tc>
        <w:tc>
          <w:tcPr>
            <w:tcW w:type="dxa" w:w="3550"/>
            <w:tcMar>
              <w:top w:w="80" w:type="dxa"/>
              <w:bottom w:w="80" w:type="dxa"/>
              <w:start w:w="120" w:type="dxa"/>
              <w:end w:w="120" w:type="dxa"/>
            </w:tcMar>
            <w:vAlign w:val="center"/>
            <w:shd w:fill="F2F4F7"/>
          </w:tcPr>
          <w:p>
            <w:pPr>
              <w:spacing w:before="0" w:after="0" w:line="264" w:lineRule="auto"/>
              <w:jc w:val="center"/>
            </w:pPr>
            <w:r>
              <w:rPr>
                <w:rFonts w:ascii="Calibri" w:hAnsi="Calibri"/>
                <w:b/>
                <w:color w:val="000000"/>
                <w:sz w:val="21"/>
              </w:rPr>
              <w:t>Method</w:t>
            </w:r>
          </w:p>
        </w:tc>
        <w:tc>
          <w:tcPr>
            <w:tcW w:type="dxa" w:w="1350"/>
            <w:tcMar>
              <w:top w:w="80" w:type="dxa"/>
              <w:bottom w:w="80" w:type="dxa"/>
              <w:start w:w="120" w:type="dxa"/>
              <w:end w:w="120" w:type="dxa"/>
            </w:tcMar>
            <w:vAlign w:val="center"/>
            <w:shd w:fill="F2F4F7"/>
          </w:tcPr>
          <w:p>
            <w:pPr>
              <w:spacing w:before="0" w:after="0" w:line="264" w:lineRule="auto"/>
              <w:jc w:val="center"/>
            </w:pPr>
            <w:r>
              <w:rPr>
                <w:rFonts w:ascii="Calibri" w:hAnsi="Calibri"/>
                <w:b/>
                <w:color w:val="000000"/>
                <w:sz w:val="21"/>
              </w:rPr>
              <w:t>Accepted</w:t>
            </w:r>
          </w:p>
        </w:tc>
        <w:tc>
          <w:tcPr>
            <w:tcW w:type="dxa" w:w="850"/>
            <w:tcMar>
              <w:top w:w="80" w:type="dxa"/>
              <w:bottom w:w="80" w:type="dxa"/>
              <w:start w:w="120" w:type="dxa"/>
              <w:end w:w="120" w:type="dxa"/>
            </w:tcMar>
            <w:vAlign w:val="center"/>
            <w:shd w:fill="F2F4F7"/>
          </w:tcPr>
          <w:p>
            <w:pPr>
              <w:spacing w:before="0" w:after="0" w:line="264" w:lineRule="auto"/>
              <w:jc w:val="center"/>
            </w:pPr>
            <w:r>
              <w:rPr>
                <w:rFonts w:ascii="Calibri" w:hAnsi="Calibri"/>
                <w:b/>
                <w:color w:val="000000"/>
                <w:sz w:val="21"/>
              </w:rPr>
              <w:t>Errors</w:t>
            </w:r>
          </w:p>
        </w:tc>
        <w:tc>
          <w:tcPr>
            <w:tcW w:type="dxa" w:w="900"/>
            <w:tcMar>
              <w:top w:w="80" w:type="dxa"/>
              <w:bottom w:w="80" w:type="dxa"/>
              <w:start w:w="120" w:type="dxa"/>
              <w:end w:w="120" w:type="dxa"/>
            </w:tcMar>
            <w:vAlign w:val="center"/>
            <w:shd w:fill="F2F4F7"/>
          </w:tcPr>
          <w:p>
            <w:pPr>
              <w:spacing w:before="0" w:after="0" w:line="264" w:lineRule="auto"/>
              <w:jc w:val="center"/>
            </w:pPr>
            <w:r>
              <w:rPr>
                <w:rFonts w:ascii="Calibri" w:hAnsi="Calibri"/>
                <w:b/>
                <w:color w:val="000000"/>
                <w:sz w:val="21"/>
              </w:rPr>
              <w:t>Warnings</w:t>
            </w:r>
          </w:p>
        </w:tc>
        <w:tc>
          <w:tcPr>
            <w:tcW w:type="dxa" w:w="900"/>
            <w:tcMar>
              <w:top w:w="80" w:type="dxa"/>
              <w:bottom w:w="80" w:type="dxa"/>
              <w:start w:w="120" w:type="dxa"/>
              <w:end w:w="120" w:type="dxa"/>
            </w:tcMar>
            <w:vAlign w:val="center"/>
            <w:shd w:fill="F2F4F7"/>
          </w:tcPr>
          <w:p>
            <w:pPr>
              <w:spacing w:before="0" w:after="0" w:line="264" w:lineRule="auto"/>
              <w:jc w:val="center"/>
            </w:pPr>
            <w:r>
              <w:rPr>
                <w:rFonts w:ascii="Calibri" w:hAnsi="Calibri"/>
                <w:b/>
                <w:color w:val="000000"/>
                <w:sz w:val="21"/>
              </w:rPr>
              <w:t>Status</w:t>
            </w:r>
          </w:p>
        </w:tc>
      </w:tr>
      <w:tr>
        <w:tc>
          <w:tcPr>
            <w:tcW w:type="dxa" w:w="1560"/>
            <w:vAlign w:val="center"/>
          </w:tcPr>
          <w:p>
            <w:pPr>
              <w:spacing w:before="0" w:after="0" w:line="264" w:lineRule="auto"/>
              <w:jc w:val="center"/>
            </w:pPr>
            <w:r>
              <w:rPr>
                <w:rFonts w:ascii="Calibri" w:hAnsi="Calibri"/>
                <w:b w:val="0"/>
                <w:color w:val="000000"/>
                <w:sz w:val="21"/>
              </w:rPr>
              <w:t>Round 1</w:t>
            </w:r>
          </w:p>
        </w:tc>
        <w:tc>
          <w:tcPr>
            <w:tcW w:type="dxa" w:w="1560"/>
            <w:vAlign w:val="center"/>
          </w:tcPr>
          <w:p>
            <w:pPr>
              <w:spacing w:before="0" w:after="0" w:line="264" w:lineRule="auto"/>
              <w:jc w:val="center"/>
            </w:pPr>
            <w:r>
              <w:rPr>
                <w:rFonts w:ascii="Calibri" w:hAnsi="Calibri"/>
                <w:b w:val="0"/>
                <w:color w:val="000000"/>
                <w:sz w:val="21"/>
              </w:rPr>
              <w:t>Inventory, answer-key, MC uniqueness, source-visible scan</w:t>
            </w:r>
          </w:p>
        </w:tc>
        <w:tc>
          <w:tcPr>
            <w:tcW w:type="dxa" w:w="1560"/>
            <w:vAlign w:val="center"/>
          </w:tcPr>
          <w:p>
            <w:pPr>
              <w:spacing w:before="0" w:after="0" w:line="264" w:lineRule="auto"/>
              <w:jc w:val="center"/>
            </w:pPr>
            <w:r>
              <w:rPr>
                <w:rFonts w:ascii="Calibri" w:hAnsi="Calibri"/>
                <w:b w:val="0"/>
                <w:color w:val="000000"/>
                <w:sz w:val="21"/>
              </w:rPr>
              <w:t>492/492</w:t>
            </w:r>
          </w:p>
        </w:tc>
        <w:tc>
          <w:tcPr>
            <w:tcW w:type="dxa" w:w="1560"/>
            <w:vAlign w:val="center"/>
          </w:tcPr>
          <w:p>
            <w:pPr>
              <w:spacing w:before="0" w:after="0" w:line="264" w:lineRule="auto"/>
              <w:jc w:val="center"/>
            </w:pPr>
            <w:r>
              <w:rPr>
                <w:rFonts w:ascii="Calibri" w:hAnsi="Calibri"/>
                <w:b w:val="0"/>
                <w:color w:val="000000"/>
                <w:sz w:val="21"/>
              </w:rPr>
              <w:t>0</w:t>
            </w:r>
          </w:p>
        </w:tc>
        <w:tc>
          <w:tcPr>
            <w:tcW w:type="dxa" w:w="1560"/>
            <w:vAlign w:val="center"/>
          </w:tcPr>
          <w:p>
            <w:pPr>
              <w:spacing w:before="0" w:after="0" w:line="264" w:lineRule="auto"/>
              <w:jc w:val="center"/>
            </w:pPr>
            <w:r>
              <w:rPr>
                <w:rFonts w:ascii="Calibri" w:hAnsi="Calibri"/>
                <w:b w:val="0"/>
                <w:color w:val="000000"/>
                <w:sz w:val="21"/>
              </w:rPr>
              <w:t>0</w:t>
            </w:r>
          </w:p>
        </w:tc>
        <w:tc>
          <w:tcPr>
            <w:tcW w:type="dxa" w:w="1560"/>
            <w:vAlign w:val="center"/>
          </w:tcPr>
          <w:p>
            <w:pPr>
              <w:spacing w:before="0" w:after="0" w:line="264" w:lineRule="auto"/>
              <w:jc w:val="center"/>
            </w:pPr>
            <w:r>
              <w:rPr>
                <w:rFonts w:ascii="Calibri" w:hAnsi="Calibri"/>
                <w:b w:val="0"/>
                <w:color w:val="000000"/>
                <w:sz w:val="21"/>
              </w:rPr>
              <w:t>pass</w:t>
            </w:r>
          </w:p>
        </w:tc>
      </w:tr>
      <w:tr>
        <w:tc>
          <w:tcPr>
            <w:tcW w:type="dxa" w:w="1560"/>
            <w:vAlign w:val="center"/>
          </w:tcPr>
          <w:p>
            <w:pPr>
              <w:spacing w:before="0" w:after="0" w:line="264" w:lineRule="auto"/>
              <w:jc w:val="center"/>
            </w:pPr>
            <w:r>
              <w:rPr>
                <w:rFonts w:ascii="Calibri" w:hAnsi="Calibri"/>
                <w:b w:val="0"/>
                <w:color w:val="000000"/>
                <w:sz w:val="21"/>
              </w:rPr>
              <w:t>Round 2</w:t>
            </w:r>
          </w:p>
        </w:tc>
        <w:tc>
          <w:tcPr>
            <w:tcW w:type="dxa" w:w="1560"/>
            <w:vAlign w:val="center"/>
          </w:tcPr>
          <w:p>
            <w:pPr>
              <w:spacing w:before="0" w:after="0" w:line="264" w:lineRule="auto"/>
              <w:jc w:val="center"/>
            </w:pPr>
            <w:r>
              <w:rPr>
                <w:rFonts w:ascii="Calibri" w:hAnsi="Calibri"/>
                <w:b w:val="0"/>
                <w:color w:val="000000"/>
                <w:sz w:val="21"/>
              </w:rPr>
              <w:t>Coverage, grade fit, bilingual fields, no-live boundary</w:t>
            </w:r>
          </w:p>
        </w:tc>
        <w:tc>
          <w:tcPr>
            <w:tcW w:type="dxa" w:w="1560"/>
            <w:vAlign w:val="center"/>
          </w:tcPr>
          <w:p>
            <w:pPr>
              <w:spacing w:before="0" w:after="0" w:line="264" w:lineRule="auto"/>
              <w:jc w:val="center"/>
            </w:pPr>
            <w:r>
              <w:rPr>
                <w:rFonts w:ascii="Calibri" w:hAnsi="Calibri"/>
                <w:b w:val="0"/>
                <w:color w:val="000000"/>
                <w:sz w:val="21"/>
              </w:rPr>
              <w:t>492/492</w:t>
            </w:r>
          </w:p>
        </w:tc>
        <w:tc>
          <w:tcPr>
            <w:tcW w:type="dxa" w:w="1560"/>
            <w:vAlign w:val="center"/>
          </w:tcPr>
          <w:p>
            <w:pPr>
              <w:spacing w:before="0" w:after="0" w:line="264" w:lineRule="auto"/>
              <w:jc w:val="center"/>
            </w:pPr>
            <w:r>
              <w:rPr>
                <w:rFonts w:ascii="Calibri" w:hAnsi="Calibri"/>
                <w:b w:val="0"/>
                <w:color w:val="000000"/>
                <w:sz w:val="21"/>
              </w:rPr>
              <w:t>0</w:t>
            </w:r>
          </w:p>
        </w:tc>
        <w:tc>
          <w:tcPr>
            <w:tcW w:type="dxa" w:w="1560"/>
            <w:vAlign w:val="center"/>
          </w:tcPr>
          <w:p>
            <w:pPr>
              <w:spacing w:before="0" w:after="0" w:line="264" w:lineRule="auto"/>
              <w:jc w:val="center"/>
            </w:pPr>
            <w:r>
              <w:rPr>
                <w:rFonts w:ascii="Calibri" w:hAnsi="Calibri"/>
                <w:b w:val="0"/>
                <w:color w:val="000000"/>
                <w:sz w:val="21"/>
              </w:rPr>
              <w:t>0</w:t>
            </w:r>
          </w:p>
        </w:tc>
        <w:tc>
          <w:tcPr>
            <w:tcW w:type="dxa" w:w="1560"/>
            <w:vAlign w:val="center"/>
          </w:tcPr>
          <w:p>
            <w:pPr>
              <w:spacing w:before="0" w:after="0" w:line="264" w:lineRule="auto"/>
              <w:jc w:val="center"/>
            </w:pPr>
            <w:r>
              <w:rPr>
                <w:rFonts w:ascii="Calibri" w:hAnsi="Calibri"/>
                <w:b w:val="0"/>
                <w:color w:val="000000"/>
                <w:sz w:val="21"/>
              </w:rPr>
              <w:t>pass</w:t>
            </w:r>
          </w:p>
        </w:tc>
      </w:tr>
      <w:tr>
        <w:tc>
          <w:tcPr>
            <w:tcW w:type="dxa" w:w="1560"/>
            <w:vAlign w:val="center"/>
          </w:tcPr>
          <w:p>
            <w:pPr>
              <w:spacing w:before="0" w:after="0" w:line="264" w:lineRule="auto"/>
              <w:jc w:val="center"/>
            </w:pPr>
            <w:r>
              <w:rPr>
                <w:rFonts w:ascii="Calibri" w:hAnsi="Calibri"/>
                <w:b w:val="0"/>
                <w:color w:val="000000"/>
                <w:sz w:val="21"/>
              </w:rPr>
              <w:t>Solvability</w:t>
            </w:r>
          </w:p>
        </w:tc>
        <w:tc>
          <w:tcPr>
            <w:tcW w:type="dxa" w:w="1560"/>
            <w:vAlign w:val="center"/>
          </w:tcPr>
          <w:p>
            <w:pPr>
              <w:spacing w:before="0" w:after="0" w:line="264" w:lineRule="auto"/>
              <w:jc w:val="center"/>
            </w:pPr>
            <w:r>
              <w:rPr>
                <w:rFonts w:ascii="Calibri" w:hAnsi="Calibri"/>
                <w:b w:val="0"/>
                <w:color w:val="000000"/>
                <w:sz w:val="21"/>
              </w:rPr>
              <w:t>Stored, independent, and computed answer comparison</w:t>
            </w:r>
          </w:p>
        </w:tc>
        <w:tc>
          <w:tcPr>
            <w:tcW w:type="dxa" w:w="1560"/>
            <w:vAlign w:val="center"/>
          </w:tcPr>
          <w:p>
            <w:pPr>
              <w:spacing w:before="0" w:after="0" w:line="264" w:lineRule="auto"/>
              <w:jc w:val="center"/>
            </w:pPr>
            <w:r>
              <w:rPr>
                <w:rFonts w:ascii="Calibri" w:hAnsi="Calibri"/>
                <w:b w:val="0"/>
                <w:color w:val="000000"/>
                <w:sz w:val="21"/>
              </w:rPr>
              <w:t>492/492</w:t>
            </w:r>
          </w:p>
        </w:tc>
        <w:tc>
          <w:tcPr>
            <w:tcW w:type="dxa" w:w="1560"/>
            <w:vAlign w:val="center"/>
          </w:tcPr>
          <w:p>
            <w:pPr>
              <w:spacing w:before="0" w:after="0" w:line="264" w:lineRule="auto"/>
              <w:jc w:val="center"/>
            </w:pPr>
            <w:r>
              <w:rPr>
                <w:rFonts w:ascii="Calibri" w:hAnsi="Calibri"/>
                <w:b w:val="0"/>
                <w:color w:val="000000"/>
                <w:sz w:val="21"/>
              </w:rPr>
              <w:t>0</w:t>
            </w:r>
          </w:p>
        </w:tc>
        <w:tc>
          <w:tcPr>
            <w:tcW w:type="dxa" w:w="1560"/>
            <w:vAlign w:val="center"/>
          </w:tcPr>
          <w:p>
            <w:pPr>
              <w:spacing w:before="0" w:after="0" w:line="264" w:lineRule="auto"/>
              <w:jc w:val="center"/>
            </w:pPr>
            <w:r>
              <w:rPr>
                <w:rFonts w:ascii="Calibri" w:hAnsi="Calibri"/>
                <w:b w:val="0"/>
                <w:color w:val="000000"/>
                <w:sz w:val="21"/>
              </w:rPr>
              <w:t>0</w:t>
            </w:r>
          </w:p>
        </w:tc>
        <w:tc>
          <w:tcPr>
            <w:tcW w:type="dxa" w:w="1560"/>
            <w:vAlign w:val="center"/>
          </w:tcPr>
          <w:p>
            <w:pPr>
              <w:spacing w:before="0" w:after="0" w:line="264" w:lineRule="auto"/>
              <w:jc w:val="center"/>
            </w:pPr>
            <w:r>
              <w:rPr>
                <w:rFonts w:ascii="Calibri" w:hAnsi="Calibri"/>
                <w:b w:val="0"/>
                <w:color w:val="000000"/>
                <w:sz w:val="21"/>
              </w:rPr>
              <w:t>pass</w:t>
            </w:r>
          </w:p>
        </w:tc>
      </w:tr>
    </w:tbl>
    <w:p>
      <w:pPr>
        <w:spacing w:after="80"/>
      </w:pPr>
    </w:p>
    <w:p>
      <w:pPr>
        <w:spacing w:before="320" w:after="160" w:line="264" w:lineRule="auto"/>
      </w:pPr>
      <w:r>
        <w:rPr>
          <w:rFonts w:ascii="Calibri" w:hAnsi="Calibri"/>
          <w:b/>
          <w:color w:val="2E74B5"/>
          <w:sz w:val="32"/>
        </w:rPr>
        <w:t>Source-Safety Boundary</w:t>
      </w:r>
    </w:p>
    <w:p>
      <w:pPr>
        <w:spacing w:before="0" w:after="120" w:line="264" w:lineRule="auto"/>
      </w:pPr>
      <w:r>
        <w:rPr>
          <w:rFonts w:ascii="Calibri" w:hAnsi="Calibri"/>
          <w:b w:val="0"/>
          <w:i w:val="0"/>
          <w:color w:val="000000"/>
          <w:sz w:val="22"/>
        </w:rPr>
        <w:t>The package uses public standards identifiers and existing MAIS-authored knowledge-point metadata only. It does not commit raw textbook text, private corpus chunks, IXL exercise text, IXL preview wording, official standards prose, released assessment items, screenshots, answer keys, or copied diagrams.</w:t>
      </w:r>
    </w:p>
    <w:p>
      <w:pPr>
        <w:spacing w:before="320" w:after="160" w:line="264" w:lineRule="auto"/>
      </w:pPr>
      <w:r>
        <w:rPr>
          <w:rFonts w:ascii="Calibri" w:hAnsi="Calibri"/>
          <w:b/>
          <w:color w:val="2E74B5"/>
          <w:sz w:val="32"/>
        </w:rPr>
        <w:t>Representative Candidate Rows</w:t>
      </w:r>
    </w:p>
    <w:tbl>
      <w:tblPr>
        <w:tblStyle w:val="TableGrid"/>
        <w:tblW w:type="dxa" w:w="9360"/>
        <w:jc w:val="left"/>
        <w:tblLayout w:type="fixed"/>
        <w:tblLook w:firstColumn="1" w:firstRow="1" w:lastColumn="0" w:lastRow="0" w:noHBand="0" w:noVBand="1" w:val="04A0"/>
      </w:tblPr>
      <w:tblGrid>
        <w:gridCol w:w="1872"/>
        <w:gridCol w:w="1872"/>
        <w:gridCol w:w="1872"/>
        <w:gridCol w:w="1872"/>
        <w:gridCol w:w="1872"/>
      </w:tblGrid>
      <w:tr>
        <w:tc>
          <w:tcPr>
            <w:tcW w:type="dxa" w:w="900"/>
            <w:tcMar>
              <w:top w:w="80" w:type="dxa"/>
              <w:bottom w:w="80" w:type="dxa"/>
              <w:start w:w="120" w:type="dxa"/>
              <w:end w:w="120" w:type="dxa"/>
            </w:tcMar>
            <w:vAlign w:val="center"/>
            <w:shd w:fill="F2F4F7"/>
          </w:tcPr>
          <w:p>
            <w:pPr>
              <w:spacing w:before="0" w:after="0" w:line="264" w:lineRule="auto"/>
              <w:jc w:val="center"/>
            </w:pPr>
            <w:r>
              <w:rPr>
                <w:rFonts w:ascii="Calibri" w:hAnsi="Calibri"/>
                <w:b/>
                <w:color w:val="000000"/>
                <w:sz w:val="21"/>
              </w:rPr>
              <w:t>Grade</w:t>
            </w:r>
          </w:p>
        </w:tc>
        <w:tc>
          <w:tcPr>
            <w:tcW w:type="dxa" w:w="4200"/>
            <w:tcMar>
              <w:top w:w="80" w:type="dxa"/>
              <w:bottom w:w="80" w:type="dxa"/>
              <w:start w:w="120" w:type="dxa"/>
              <w:end w:w="120" w:type="dxa"/>
            </w:tcMar>
            <w:vAlign w:val="center"/>
            <w:shd w:fill="F2F4F7"/>
          </w:tcPr>
          <w:p>
            <w:pPr>
              <w:spacing w:before="0" w:after="0" w:line="264" w:lineRule="auto"/>
              <w:jc w:val="center"/>
            </w:pPr>
            <w:r>
              <w:rPr>
                <w:rFonts w:ascii="Calibri" w:hAnsi="Calibri"/>
                <w:b/>
                <w:color w:val="000000"/>
                <w:sz w:val="21"/>
              </w:rPr>
              <w:t>Topic ID</w:t>
            </w:r>
          </w:p>
        </w:tc>
        <w:tc>
          <w:tcPr>
            <w:tcW w:type="dxa" w:w="1450"/>
            <w:tcMar>
              <w:top w:w="80" w:type="dxa"/>
              <w:bottom w:w="80" w:type="dxa"/>
              <w:start w:w="120" w:type="dxa"/>
              <w:end w:w="120" w:type="dxa"/>
            </w:tcMar>
            <w:vAlign w:val="center"/>
            <w:shd w:fill="F2F4F7"/>
          </w:tcPr>
          <w:p>
            <w:pPr>
              <w:spacing w:before="0" w:after="0" w:line="264" w:lineRule="auto"/>
              <w:jc w:val="center"/>
            </w:pPr>
            <w:r>
              <w:rPr>
                <w:rFonts w:ascii="Calibri" w:hAnsi="Calibri"/>
                <w:b/>
                <w:color w:val="000000"/>
                <w:sz w:val="21"/>
              </w:rPr>
              <w:t>Type</w:t>
            </w:r>
          </w:p>
        </w:tc>
        <w:tc>
          <w:tcPr>
            <w:tcW w:type="dxa" w:w="1300"/>
            <w:tcMar>
              <w:top w:w="80" w:type="dxa"/>
              <w:bottom w:w="80" w:type="dxa"/>
              <w:start w:w="120" w:type="dxa"/>
              <w:end w:w="120" w:type="dxa"/>
            </w:tcMar>
            <w:vAlign w:val="center"/>
            <w:shd w:fill="F2F4F7"/>
          </w:tcPr>
          <w:p>
            <w:pPr>
              <w:spacing w:before="0" w:after="0" w:line="264" w:lineRule="auto"/>
              <w:jc w:val="center"/>
            </w:pPr>
            <w:r>
              <w:rPr>
                <w:rFonts w:ascii="Calibri" w:hAnsi="Calibri"/>
                <w:b/>
                <w:color w:val="000000"/>
                <w:sz w:val="21"/>
              </w:rPr>
              <w:t>Difficulty</w:t>
            </w:r>
          </w:p>
        </w:tc>
        <w:tc>
          <w:tcPr>
            <w:tcW w:type="dxa" w:w="1510"/>
            <w:tcMar>
              <w:top w:w="80" w:type="dxa"/>
              <w:bottom w:w="80" w:type="dxa"/>
              <w:start w:w="120" w:type="dxa"/>
              <w:end w:w="120" w:type="dxa"/>
            </w:tcMar>
            <w:vAlign w:val="center"/>
            <w:shd w:fill="F2F4F7"/>
          </w:tcPr>
          <w:p>
            <w:pPr>
              <w:spacing w:before="0" w:after="0" w:line="264" w:lineRule="auto"/>
              <w:jc w:val="center"/>
            </w:pPr>
            <w:r>
              <w:rPr>
                <w:rFonts w:ascii="Calibri" w:hAnsi="Calibri"/>
                <w:b/>
                <w:color w:val="000000"/>
                <w:sz w:val="21"/>
              </w:rPr>
              <w:t>Answer</w:t>
            </w:r>
          </w:p>
        </w:tc>
      </w:tr>
      <w:tr>
        <w:tc>
          <w:tcPr>
            <w:tcW w:type="dxa" w:w="1872"/>
            <w:vAlign w:val="center"/>
          </w:tcPr>
          <w:p>
            <w:pPr>
              <w:spacing w:before="0" w:after="0" w:line="264" w:lineRule="auto"/>
              <w:jc w:val="center"/>
            </w:pPr>
            <w:r>
              <w:rPr>
                <w:rFonts w:ascii="Calibri" w:hAnsi="Calibri"/>
                <w:b w:val="0"/>
                <w:color w:val="000000"/>
                <w:sz w:val="21"/>
              </w:rPr>
              <w:t>K</w:t>
            </w:r>
          </w:p>
        </w:tc>
        <w:tc>
          <w:tcPr>
            <w:tcW w:type="dxa" w:w="1872"/>
            <w:vAlign w:val="center"/>
          </w:tcPr>
          <w:p>
            <w:pPr>
              <w:spacing w:before="0" w:after="0" w:line="264" w:lineRule="auto"/>
              <w:jc w:val="left"/>
            </w:pPr>
            <w:r>
              <w:rPr>
                <w:rFonts w:ascii="Calibri" w:hAnsi="Calibri"/>
                <w:b w:val="0"/>
                <w:color w:val="000000"/>
                <w:sz w:val="21"/>
              </w:rPr>
              <w:t>us-ca-math-k-k-cc-count-sequence</w:t>
            </w:r>
          </w:p>
        </w:tc>
        <w:tc>
          <w:tcPr>
            <w:tcW w:type="dxa" w:w="1872"/>
            <w:vAlign w:val="center"/>
          </w:tcPr>
          <w:p>
            <w:pPr>
              <w:spacing w:before="0" w:after="0" w:line="264" w:lineRule="auto"/>
              <w:jc w:val="left"/>
            </w:pPr>
            <w:r>
              <w:rPr>
                <w:rFonts w:ascii="Calibri" w:hAnsi="Calibri"/>
                <w:b w:val="0"/>
                <w:color w:val="000000"/>
                <w:sz w:val="21"/>
              </w:rPr>
              <w:t>multiple-choice</w:t>
            </w:r>
          </w:p>
        </w:tc>
        <w:tc>
          <w:tcPr>
            <w:tcW w:type="dxa" w:w="1872"/>
            <w:vAlign w:val="center"/>
          </w:tcPr>
          <w:p>
            <w:pPr>
              <w:spacing w:before="0" w:after="0" w:line="264" w:lineRule="auto"/>
              <w:jc w:val="left"/>
            </w:pPr>
            <w:r>
              <w:rPr>
                <w:rFonts w:ascii="Calibri" w:hAnsi="Calibri"/>
                <w:b w:val="0"/>
                <w:color w:val="000000"/>
                <w:sz w:val="21"/>
              </w:rPr>
              <w:t>Low</w:t>
            </w:r>
          </w:p>
        </w:tc>
        <w:tc>
          <w:tcPr>
            <w:tcW w:type="dxa" w:w="1872"/>
            <w:vAlign w:val="center"/>
          </w:tcPr>
          <w:p>
            <w:pPr>
              <w:spacing w:before="0" w:after="0" w:line="264" w:lineRule="auto"/>
              <w:jc w:val="left"/>
            </w:pPr>
            <w:r>
              <w:rPr>
                <w:rFonts w:ascii="Calibri" w:hAnsi="Calibri"/>
                <w:b w:val="0"/>
                <w:color w:val="000000"/>
                <w:sz w:val="21"/>
              </w:rPr>
              <w:t>10</w:t>
            </w:r>
          </w:p>
        </w:tc>
      </w:tr>
      <w:tr>
        <w:tc>
          <w:tcPr>
            <w:tcW w:type="dxa" w:w="1872"/>
            <w:vAlign w:val="center"/>
          </w:tcPr>
          <w:p>
            <w:pPr>
              <w:spacing w:before="0" w:after="0" w:line="264" w:lineRule="auto"/>
              <w:jc w:val="center"/>
            </w:pPr>
            <w:r>
              <w:rPr>
                <w:rFonts w:ascii="Calibri" w:hAnsi="Calibri"/>
                <w:b w:val="0"/>
                <w:color w:val="000000"/>
                <w:sz w:val="21"/>
              </w:rPr>
              <w:t>K</w:t>
            </w:r>
          </w:p>
        </w:tc>
        <w:tc>
          <w:tcPr>
            <w:tcW w:type="dxa" w:w="1872"/>
            <w:vAlign w:val="center"/>
          </w:tcPr>
          <w:p>
            <w:pPr>
              <w:spacing w:before="0" w:after="0" w:line="264" w:lineRule="auto"/>
              <w:jc w:val="left"/>
            </w:pPr>
            <w:r>
              <w:rPr>
                <w:rFonts w:ascii="Calibri" w:hAnsi="Calibri"/>
                <w:b w:val="0"/>
                <w:color w:val="000000"/>
                <w:sz w:val="21"/>
              </w:rPr>
              <w:t>us-ca-math-k-k-cc-count-sequence</w:t>
            </w:r>
          </w:p>
        </w:tc>
        <w:tc>
          <w:tcPr>
            <w:tcW w:type="dxa" w:w="1872"/>
            <w:vAlign w:val="center"/>
          </w:tcPr>
          <w:p>
            <w:pPr>
              <w:spacing w:before="0" w:after="0" w:line="264" w:lineRule="auto"/>
              <w:jc w:val="left"/>
            </w:pPr>
            <w:r>
              <w:rPr>
                <w:rFonts w:ascii="Calibri" w:hAnsi="Calibri"/>
                <w:b w:val="0"/>
                <w:color w:val="000000"/>
                <w:sz w:val="21"/>
              </w:rPr>
              <w:t>fill-in</w:t>
            </w:r>
          </w:p>
        </w:tc>
        <w:tc>
          <w:tcPr>
            <w:tcW w:type="dxa" w:w="1872"/>
            <w:vAlign w:val="center"/>
          </w:tcPr>
          <w:p>
            <w:pPr>
              <w:spacing w:before="0" w:after="0" w:line="264" w:lineRule="auto"/>
              <w:jc w:val="left"/>
            </w:pPr>
            <w:r>
              <w:rPr>
                <w:rFonts w:ascii="Calibri" w:hAnsi="Calibri"/>
                <w:b w:val="0"/>
                <w:color w:val="000000"/>
                <w:sz w:val="21"/>
              </w:rPr>
              <w:t>Medium</w:t>
            </w:r>
          </w:p>
        </w:tc>
        <w:tc>
          <w:tcPr>
            <w:tcW w:type="dxa" w:w="1872"/>
            <w:vAlign w:val="center"/>
          </w:tcPr>
          <w:p>
            <w:pPr>
              <w:spacing w:before="0" w:after="0" w:line="264" w:lineRule="auto"/>
              <w:jc w:val="left"/>
            </w:pPr>
            <w:r>
              <w:rPr>
                <w:rFonts w:ascii="Calibri" w:hAnsi="Calibri"/>
                <w:b w:val="0"/>
                <w:color w:val="000000"/>
                <w:sz w:val="21"/>
              </w:rPr>
              <w:t>9</w:t>
            </w:r>
          </w:p>
        </w:tc>
      </w:tr>
      <w:tr>
        <w:tc>
          <w:tcPr>
            <w:tcW w:type="dxa" w:w="1872"/>
            <w:vAlign w:val="center"/>
          </w:tcPr>
          <w:p>
            <w:pPr>
              <w:spacing w:before="0" w:after="0" w:line="264" w:lineRule="auto"/>
              <w:jc w:val="center"/>
            </w:pPr>
            <w:r>
              <w:rPr>
                <w:rFonts w:ascii="Calibri" w:hAnsi="Calibri"/>
                <w:b w:val="0"/>
                <w:color w:val="000000"/>
                <w:sz w:val="21"/>
              </w:rPr>
              <w:t>K</w:t>
            </w:r>
          </w:p>
        </w:tc>
        <w:tc>
          <w:tcPr>
            <w:tcW w:type="dxa" w:w="1872"/>
            <w:vAlign w:val="center"/>
          </w:tcPr>
          <w:p>
            <w:pPr>
              <w:spacing w:before="0" w:after="0" w:line="264" w:lineRule="auto"/>
              <w:jc w:val="left"/>
            </w:pPr>
            <w:r>
              <w:rPr>
                <w:rFonts w:ascii="Calibri" w:hAnsi="Calibri"/>
                <w:b w:val="0"/>
                <w:color w:val="000000"/>
                <w:sz w:val="21"/>
              </w:rPr>
              <w:t>us-ca-math-k-k-cc-count-sequence</w:t>
            </w:r>
          </w:p>
        </w:tc>
        <w:tc>
          <w:tcPr>
            <w:tcW w:type="dxa" w:w="1872"/>
            <w:vAlign w:val="center"/>
          </w:tcPr>
          <w:p>
            <w:pPr>
              <w:spacing w:before="0" w:after="0" w:line="264" w:lineRule="auto"/>
              <w:jc w:val="left"/>
            </w:pPr>
            <w:r>
              <w:rPr>
                <w:rFonts w:ascii="Calibri" w:hAnsi="Calibri"/>
                <w:b w:val="0"/>
                <w:color w:val="000000"/>
                <w:sz w:val="21"/>
              </w:rPr>
              <w:t>multiple-choice</w:t>
            </w:r>
          </w:p>
        </w:tc>
        <w:tc>
          <w:tcPr>
            <w:tcW w:type="dxa" w:w="1872"/>
            <w:vAlign w:val="center"/>
          </w:tcPr>
          <w:p>
            <w:pPr>
              <w:spacing w:before="0" w:after="0" w:line="264" w:lineRule="auto"/>
              <w:jc w:val="left"/>
            </w:pPr>
            <w:r>
              <w:rPr>
                <w:rFonts w:ascii="Calibri" w:hAnsi="Calibri"/>
                <w:b w:val="0"/>
                <w:color w:val="000000"/>
                <w:sz w:val="21"/>
              </w:rPr>
              <w:t>Medium</w:t>
            </w:r>
          </w:p>
        </w:tc>
        <w:tc>
          <w:tcPr>
            <w:tcW w:type="dxa" w:w="1872"/>
            <w:vAlign w:val="center"/>
          </w:tcPr>
          <w:p>
            <w:pPr>
              <w:spacing w:before="0" w:after="0" w:line="264" w:lineRule="auto"/>
              <w:jc w:val="left"/>
            </w:pPr>
            <w:r>
              <w:rPr>
                <w:rFonts w:ascii="Calibri" w:hAnsi="Calibri"/>
                <w:b w:val="0"/>
                <w:color w:val="000000"/>
                <w:sz w:val="21"/>
              </w:rPr>
              <w:t>5</w:t>
            </w:r>
          </w:p>
        </w:tc>
      </w:tr>
      <w:tr>
        <w:tc>
          <w:tcPr>
            <w:tcW w:type="dxa" w:w="1872"/>
            <w:vAlign w:val="center"/>
          </w:tcPr>
          <w:p>
            <w:pPr>
              <w:spacing w:before="0" w:after="0" w:line="264" w:lineRule="auto"/>
              <w:jc w:val="center"/>
            </w:pPr>
            <w:r>
              <w:rPr>
                <w:rFonts w:ascii="Calibri" w:hAnsi="Calibri"/>
                <w:b w:val="0"/>
                <w:color w:val="000000"/>
                <w:sz w:val="21"/>
              </w:rPr>
              <w:t>K</w:t>
            </w:r>
          </w:p>
        </w:tc>
        <w:tc>
          <w:tcPr>
            <w:tcW w:type="dxa" w:w="1872"/>
            <w:vAlign w:val="center"/>
          </w:tcPr>
          <w:p>
            <w:pPr>
              <w:spacing w:before="0" w:after="0" w:line="264" w:lineRule="auto"/>
              <w:jc w:val="left"/>
            </w:pPr>
            <w:r>
              <w:rPr>
                <w:rFonts w:ascii="Calibri" w:hAnsi="Calibri"/>
                <w:b w:val="0"/>
                <w:color w:val="000000"/>
                <w:sz w:val="21"/>
              </w:rPr>
              <w:t>us-ca-math-k-k-cc-count-sequence</w:t>
            </w:r>
          </w:p>
        </w:tc>
        <w:tc>
          <w:tcPr>
            <w:tcW w:type="dxa" w:w="1872"/>
            <w:vAlign w:val="center"/>
          </w:tcPr>
          <w:p>
            <w:pPr>
              <w:spacing w:before="0" w:after="0" w:line="264" w:lineRule="auto"/>
              <w:jc w:val="left"/>
            </w:pPr>
            <w:r>
              <w:rPr>
                <w:rFonts w:ascii="Calibri" w:hAnsi="Calibri"/>
                <w:b w:val="0"/>
                <w:color w:val="000000"/>
                <w:sz w:val="21"/>
              </w:rPr>
              <w:t>short-answer</w:t>
            </w:r>
          </w:p>
        </w:tc>
        <w:tc>
          <w:tcPr>
            <w:tcW w:type="dxa" w:w="1872"/>
            <w:vAlign w:val="center"/>
          </w:tcPr>
          <w:p>
            <w:pPr>
              <w:spacing w:before="0" w:after="0" w:line="264" w:lineRule="auto"/>
              <w:jc w:val="left"/>
            </w:pPr>
            <w:r>
              <w:rPr>
                <w:rFonts w:ascii="Calibri" w:hAnsi="Calibri"/>
                <w:b w:val="0"/>
                <w:color w:val="000000"/>
                <w:sz w:val="21"/>
              </w:rPr>
              <w:t>High</w:t>
            </w:r>
          </w:p>
        </w:tc>
        <w:tc>
          <w:tcPr>
            <w:tcW w:type="dxa" w:w="1872"/>
            <w:vAlign w:val="center"/>
          </w:tcPr>
          <w:p>
            <w:pPr>
              <w:spacing w:before="0" w:after="0" w:line="264" w:lineRule="auto"/>
              <w:jc w:val="left"/>
            </w:pPr>
            <w:r>
              <w:rPr>
                <w:rFonts w:ascii="Calibri" w:hAnsi="Calibri"/>
                <w:b w:val="0"/>
                <w:color w:val="000000"/>
                <w:sz w:val="21"/>
              </w:rPr>
              <w:t>8</w:t>
            </w:r>
          </w:p>
        </w:tc>
      </w:tr>
    </w:tbl>
    <w:p>
      <w:pPr>
        <w:spacing w:after="80"/>
      </w:pPr>
    </w:p>
    <w:p>
      <w:r>
        <w:br w:type="page"/>
      </w:r>
    </w:p>
    <w:p>
      <w:pPr>
        <w:spacing w:before="320" w:after="160" w:line="264" w:lineRule="auto"/>
      </w:pPr>
      <w:r>
        <w:rPr>
          <w:rFonts w:ascii="Calibri" w:hAnsi="Calibri"/>
          <w:b/>
          <w:color w:val="2E74B5"/>
          <w:sz w:val="32"/>
        </w:rPr>
        <w:t>Release Boundary And Next Gates</w:t>
      </w:r>
    </w:p>
    <w:tbl>
      <w:tblPr>
        <w:tblStyle w:val="TableGrid"/>
        <w:tblW w:type="dxa" w:w="9360"/>
        <w:jc w:val="left"/>
        <w:tblLayout w:type="fixed"/>
        <w:tblLook w:firstColumn="1" w:firstRow="1" w:lastColumn="0" w:lastRow="0" w:noHBand="0" w:noVBand="1" w:val="04A0"/>
      </w:tblPr>
      <w:tblGrid>
        <w:gridCol w:w="4680"/>
        <w:gridCol w:w="4680"/>
      </w:tblGrid>
      <w:tr>
        <w:tc>
          <w:tcPr>
            <w:tcW w:type="dxa" w:w="2500"/>
            <w:tcMar>
              <w:top w:w="80" w:type="dxa"/>
              <w:bottom w:w="80" w:type="dxa"/>
              <w:start w:w="120" w:type="dxa"/>
              <w:end w:w="120" w:type="dxa"/>
            </w:tcMar>
            <w:vAlign w:val="center"/>
            <w:shd w:fill="F2F4F7"/>
          </w:tcPr>
          <w:p>
            <w:pPr>
              <w:spacing w:before="0" w:after="0" w:line="264" w:lineRule="auto"/>
              <w:jc w:val="center"/>
            </w:pPr>
            <w:r>
              <w:rPr>
                <w:rFonts w:ascii="Calibri" w:hAnsi="Calibri"/>
                <w:b/>
                <w:color w:val="000000"/>
                <w:sz w:val="21"/>
              </w:rPr>
              <w:t>Owner</w:t>
            </w:r>
          </w:p>
        </w:tc>
        <w:tc>
          <w:tcPr>
            <w:tcW w:type="dxa" w:w="6860"/>
            <w:tcMar>
              <w:top w:w="80" w:type="dxa"/>
              <w:bottom w:w="80" w:type="dxa"/>
              <w:start w:w="120" w:type="dxa"/>
              <w:end w:w="120" w:type="dxa"/>
            </w:tcMar>
            <w:vAlign w:val="center"/>
            <w:shd w:fill="F2F4F7"/>
          </w:tcPr>
          <w:p>
            <w:pPr>
              <w:spacing w:before="0" w:after="0" w:line="264" w:lineRule="auto"/>
              <w:jc w:val="center"/>
            </w:pPr>
            <w:r>
              <w:rPr>
                <w:rFonts w:ascii="Calibri" w:hAnsi="Calibri"/>
                <w:b/>
                <w:color w:val="000000"/>
                <w:sz w:val="21"/>
              </w:rPr>
              <w:t>Required Gate</w:t>
            </w:r>
          </w:p>
        </w:tc>
      </w:tr>
      <w:tr>
        <w:tc>
          <w:tcPr>
            <w:tcW w:type="dxa" w:w="4680"/>
            <w:vAlign w:val="center"/>
          </w:tcPr>
          <w:p>
            <w:pPr>
              <w:spacing w:before="0" w:after="0" w:line="264" w:lineRule="auto"/>
              <w:jc w:val="center"/>
            </w:pPr>
            <w:r>
              <w:rPr>
                <w:rFonts w:ascii="Calibri" w:hAnsi="Calibri"/>
                <w:b w:val="0"/>
                <w:color w:val="000000"/>
                <w:sz w:val="21"/>
              </w:rPr>
              <w:t>S23 integration and promotion</w:t>
            </w:r>
          </w:p>
        </w:tc>
        <w:tc>
          <w:tcPr>
            <w:tcW w:type="dxa" w:w="4680"/>
            <w:vAlign w:val="center"/>
          </w:tcPr>
          <w:p>
            <w:pPr>
              <w:spacing w:before="0" w:after="0" w:line="264" w:lineRule="auto"/>
              <w:jc w:val="left"/>
            </w:pPr>
            <w:r>
              <w:rPr>
                <w:rFonts w:ascii="Calibri" w:hAnsi="Calibri"/>
                <w:b w:val="0"/>
                <w:color w:val="000000"/>
                <w:sz w:val="21"/>
              </w:rPr>
              <w:t>Create a candidate-to-live mapping and scope plan if the owner later asks to integrate.</w:t>
            </w:r>
          </w:p>
        </w:tc>
      </w:tr>
      <w:tr>
        <w:tc>
          <w:tcPr>
            <w:tcW w:type="dxa" w:w="4680"/>
            <w:vAlign w:val="center"/>
          </w:tcPr>
          <w:p>
            <w:pPr>
              <w:spacing w:before="0" w:after="0" w:line="264" w:lineRule="auto"/>
              <w:jc w:val="center"/>
            </w:pPr>
            <w:r>
              <w:rPr>
                <w:rFonts w:ascii="Calibri" w:hAnsi="Calibri"/>
                <w:b w:val="0"/>
                <w:color w:val="000000"/>
                <w:sz w:val="21"/>
              </w:rPr>
              <w:t>S04 practice lead</w:t>
            </w:r>
          </w:p>
        </w:tc>
        <w:tc>
          <w:tcPr>
            <w:tcW w:type="dxa" w:w="4680"/>
            <w:vAlign w:val="center"/>
          </w:tcPr>
          <w:p>
            <w:pPr>
              <w:spacing w:before="0" w:after="0" w:line="264" w:lineRule="auto"/>
              <w:jc w:val="left"/>
            </w:pPr>
            <w:r>
              <w:rPr>
                <w:rFonts w:ascii="Calibri" w:hAnsi="Calibri"/>
                <w:b w:val="0"/>
                <w:color w:val="000000"/>
                <w:sz w:val="21"/>
              </w:rPr>
              <w:t>Receive explicit live practice data assignment before any app question-bank import.</w:t>
            </w:r>
          </w:p>
        </w:tc>
      </w:tr>
      <w:tr>
        <w:tc>
          <w:tcPr>
            <w:tcW w:type="dxa" w:w="4680"/>
            <w:vAlign w:val="center"/>
          </w:tcPr>
          <w:p>
            <w:pPr>
              <w:spacing w:before="0" w:after="0" w:line="264" w:lineRule="auto"/>
              <w:jc w:val="center"/>
            </w:pPr>
            <w:r>
              <w:rPr>
                <w:rFonts w:ascii="Calibri" w:hAnsi="Calibri"/>
                <w:b w:val="0"/>
                <w:color w:val="000000"/>
                <w:sz w:val="21"/>
              </w:rPr>
              <w:t>S05 lesson lead</w:t>
            </w:r>
          </w:p>
        </w:tc>
        <w:tc>
          <w:tcPr>
            <w:tcW w:type="dxa" w:w="4680"/>
            <w:vAlign w:val="center"/>
          </w:tcPr>
          <w:p>
            <w:pPr>
              <w:spacing w:before="0" w:after="0" w:line="264" w:lineRule="auto"/>
              <w:jc w:val="left"/>
            </w:pPr>
            <w:r>
              <w:rPr>
                <w:rFonts w:ascii="Calibri" w:hAnsi="Calibri"/>
                <w:b w:val="0"/>
                <w:color w:val="000000"/>
                <w:sz w:val="21"/>
              </w:rPr>
              <w:t>Receive explicit assignment before attaching practiceQuestionIds to live lessons.</w:t>
            </w:r>
          </w:p>
        </w:tc>
      </w:tr>
      <w:tr>
        <w:tc>
          <w:tcPr>
            <w:tcW w:type="dxa" w:w="4680"/>
            <w:vAlign w:val="center"/>
          </w:tcPr>
          <w:p>
            <w:pPr>
              <w:spacing w:before="0" w:after="0" w:line="264" w:lineRule="auto"/>
              <w:jc w:val="center"/>
            </w:pPr>
            <w:r>
              <w:rPr>
                <w:rFonts w:ascii="Calibri" w:hAnsi="Calibri"/>
                <w:b w:val="0"/>
                <w:color w:val="000000"/>
                <w:sz w:val="21"/>
              </w:rPr>
              <w:t>S11 QA</w:t>
            </w:r>
          </w:p>
        </w:tc>
        <w:tc>
          <w:tcPr>
            <w:tcW w:type="dxa" w:w="4680"/>
            <w:vAlign w:val="center"/>
          </w:tcPr>
          <w:p>
            <w:pPr>
              <w:spacing w:before="0" w:after="0" w:line="264" w:lineRule="auto"/>
              <w:jc w:val="left"/>
            </w:pPr>
            <w:r>
              <w:rPr>
                <w:rFonts w:ascii="Calibri" w:hAnsi="Calibri"/>
                <w:b w:val="0"/>
                <w:color w:val="000000"/>
                <w:sz w:val="21"/>
              </w:rPr>
              <w:t>Run route, practice filter, and regression evidence after any live integration.</w:t>
            </w:r>
          </w:p>
        </w:tc>
      </w:tr>
      <w:tr>
        <w:tc>
          <w:tcPr>
            <w:tcW w:type="dxa" w:w="4680"/>
            <w:vAlign w:val="center"/>
          </w:tcPr>
          <w:p>
            <w:pPr>
              <w:spacing w:before="0" w:after="0" w:line="264" w:lineRule="auto"/>
              <w:jc w:val="center"/>
            </w:pPr>
            <w:r>
              <w:rPr>
                <w:rFonts w:ascii="Calibri" w:hAnsi="Calibri"/>
                <w:b w:val="0"/>
                <w:color w:val="000000"/>
                <w:sz w:val="21"/>
              </w:rPr>
              <w:t>S22 release engineering</w:t>
            </w:r>
          </w:p>
        </w:tc>
        <w:tc>
          <w:tcPr>
            <w:tcW w:type="dxa" w:w="4680"/>
            <w:vAlign w:val="center"/>
          </w:tcPr>
          <w:p>
            <w:pPr>
              <w:spacing w:before="0" w:after="0" w:line="264" w:lineRule="auto"/>
              <w:jc w:val="left"/>
            </w:pPr>
            <w:r>
              <w:rPr>
                <w:rFonts w:ascii="Calibri" w:hAnsi="Calibri"/>
                <w:b w:val="0"/>
                <w:color w:val="000000"/>
                <w:sz w:val="21"/>
              </w:rPr>
              <w:t>Run build and release readiness gates before production deployment.</w:t>
            </w:r>
          </w:p>
        </w:tc>
      </w:tr>
    </w:tbl>
    <w:p>
      <w:pPr>
        <w:spacing w:after="80"/>
      </w:pPr>
    </w:p>
    <w:p>
      <w:pPr>
        <w:spacing w:before="320" w:after="160" w:line="264" w:lineRule="auto"/>
      </w:pPr>
      <w:r>
        <w:rPr>
          <w:rFonts w:ascii="Calibri" w:hAnsi="Calibri"/>
          <w:b/>
          <w:color w:val="2E74B5"/>
          <w:sz w:val="32"/>
        </w:rPr>
        <w:t>Risks</w:t>
      </w:r>
    </w:p>
    <w:p>
      <w:pPr>
        <w:spacing w:before="0" w:after="120" w:line="264" w:lineRule="auto"/>
      </w:pPr>
      <w:r>
        <w:rPr>
          <w:rFonts w:ascii="Calibri" w:hAnsi="Calibri"/>
          <w:b w:val="0"/>
          <w:i w:val="0"/>
          <w:color w:val="000000"/>
          <w:sz w:val="22"/>
        </w:rPr>
        <w:t>This is a topic-adapted seed bank, not a complete production bank.</w:t>
      </w:r>
    </w:p>
    <w:p>
      <w:pPr>
        <w:spacing w:before="0" w:after="120" w:line="264" w:lineRule="auto"/>
      </w:pPr>
      <w:r>
        <w:rPr>
          <w:rFonts w:ascii="Calibri" w:hAnsi="Calibri"/>
          <w:b w:val="0"/>
          <w:i w:val="0"/>
          <w:color w:val="000000"/>
          <w:sz w:val="22"/>
        </w:rPr>
        <w:t>Chinese fields are deterministic functional translations and should receive S09 language polish before public use.</w:t>
      </w:r>
    </w:p>
    <w:p>
      <w:pPr>
        <w:spacing w:before="0" w:after="120" w:line="264" w:lineRule="auto"/>
      </w:pPr>
      <w:r>
        <w:rPr>
          <w:rFonts w:ascii="Calibri" w:hAnsi="Calibri"/>
          <w:b w:val="0"/>
          <w:i w:val="0"/>
          <w:color w:val="000000"/>
          <w:sz w:val="22"/>
        </w:rPr>
        <w:t>No answer-critical visuals are included; future visual rows need deterministic SVG/exact-layer review.</w:t>
      </w:r>
    </w:p>
    <w:p>
      <w:pPr>
        <w:spacing w:before="0" w:after="120" w:line="264" w:lineRule="auto"/>
      </w:pPr>
      <w:r>
        <w:rPr>
          <w:rFonts w:ascii="Calibri" w:hAnsi="Calibri"/>
          <w:b w:val="0"/>
          <w:i w:val="0"/>
          <w:color w:val="000000"/>
          <w:sz w:val="22"/>
        </w:rPr>
        <w:t>Public copy must not claim a complete or official California curriculum from this candidate-only package.</w:t>
      </w:r>
    </w:p>
    <w:p>
      <w:pPr>
        <w:sectPr>
          <w:headerReference w:type="default" r:id="rId9"/>
          <w:footerReference w:type="default" r:id="rId10"/>
          <w:pgSz w:w="12240" w:h="15840"/>
          <w:pgMar w:top="1440" w:right="1440" w:bottom="1440" w:left="1440" w:header="708" w:footer="708" w:gutter="0"/>
          <w:cols w:space="720"/>
          <w:docGrid w:linePitch="360"/>
        </w:sectPr>
      </w:pPr>
    </w:p>
    <w:p>
      <w:pPr>
        <w:spacing w:before="320" w:after="160" w:line="264" w:lineRule="auto"/>
      </w:pPr>
      <w:r>
        <w:rPr>
          <w:rFonts w:ascii="Calibri" w:hAnsi="Calibri"/>
          <w:b/>
          <w:color w:val="2E74B5"/>
          <w:sz w:val="32"/>
        </w:rPr>
        <w:t>Evidence File Index</w:t>
      </w:r>
    </w:p>
    <w:tbl>
      <w:tblPr>
        <w:tblStyle w:val="TableGrid"/>
        <w:tblW w:type="dxa" w:w="9360"/>
        <w:jc w:val="left"/>
        <w:tblLayout w:type="fixed"/>
        <w:tblLook w:firstColumn="1" w:firstRow="1" w:lastColumn="0" w:lastRow="0" w:noHBand="0" w:noVBand="1" w:val="04A0"/>
      </w:tblPr>
      <w:tblGrid>
        <w:gridCol w:w="4680"/>
        <w:gridCol w:w="4680"/>
      </w:tblGrid>
      <w:tr>
        <w:tc>
          <w:tcPr>
            <w:tcW w:type="dxa" w:w="3200"/>
            <w:tcMar>
              <w:top w:w="80" w:type="dxa"/>
              <w:bottom w:w="80" w:type="dxa"/>
              <w:start w:w="120" w:type="dxa"/>
              <w:end w:w="120" w:type="dxa"/>
            </w:tcMar>
            <w:vAlign w:val="center"/>
            <w:shd w:fill="F2F4F7"/>
          </w:tcPr>
          <w:p>
            <w:pPr>
              <w:spacing w:before="0" w:after="0" w:line="264" w:lineRule="auto"/>
              <w:jc w:val="center"/>
            </w:pPr>
            <w:r>
              <w:rPr>
                <w:rFonts w:ascii="Calibri" w:hAnsi="Calibri"/>
                <w:b/>
                <w:color w:val="000000"/>
                <w:sz w:val="21"/>
              </w:rPr>
              <w:t>Artifact</w:t>
            </w:r>
          </w:p>
        </w:tc>
        <w:tc>
          <w:tcPr>
            <w:tcW w:type="dxa" w:w="6160"/>
            <w:tcMar>
              <w:top w:w="80" w:type="dxa"/>
              <w:bottom w:w="80" w:type="dxa"/>
              <w:start w:w="120" w:type="dxa"/>
              <w:end w:w="120" w:type="dxa"/>
            </w:tcMar>
            <w:vAlign w:val="center"/>
            <w:shd w:fill="F2F4F7"/>
          </w:tcPr>
          <w:p>
            <w:pPr>
              <w:spacing w:before="0" w:after="0" w:line="264" w:lineRule="auto"/>
              <w:jc w:val="center"/>
            </w:pPr>
            <w:r>
              <w:rPr>
                <w:rFonts w:ascii="Calibri" w:hAnsi="Calibri"/>
                <w:b/>
                <w:color w:val="000000"/>
                <w:sz w:val="21"/>
              </w:rPr>
              <w:t>Purpose</w:t>
            </w:r>
          </w:p>
        </w:tc>
      </w:tr>
      <w:tr>
        <w:tc>
          <w:tcPr>
            <w:tcW w:type="dxa" w:w="4680"/>
            <w:vAlign w:val="center"/>
          </w:tcPr>
          <w:p>
            <w:pPr>
              <w:spacing w:before="0" w:after="0" w:line="264" w:lineRule="auto"/>
              <w:jc w:val="center"/>
            </w:pPr>
            <w:r>
              <w:rPr>
                <w:rFonts w:ascii="Calibri" w:hAnsi="Calibri"/>
                <w:b w:val="0"/>
                <w:color w:val="000000"/>
                <w:sz w:val="21"/>
              </w:rPr>
              <w:t>question-pack.json</w:t>
            </w:r>
          </w:p>
        </w:tc>
        <w:tc>
          <w:tcPr>
            <w:tcW w:type="dxa" w:w="4680"/>
            <w:vAlign w:val="center"/>
          </w:tcPr>
          <w:p>
            <w:pPr>
              <w:spacing w:before="0" w:after="0" w:line="264" w:lineRule="auto"/>
              <w:jc w:val="left"/>
            </w:pPr>
            <w:r>
              <w:rPr>
                <w:rFonts w:ascii="Calibri" w:hAnsi="Calibri"/>
                <w:b w:val="0"/>
                <w:color w:val="000000"/>
                <w:sz w:val="21"/>
              </w:rPr>
              <w:t>492-row candidate package</w:t>
            </w:r>
          </w:p>
        </w:tc>
      </w:tr>
      <w:tr>
        <w:tc>
          <w:tcPr>
            <w:tcW w:type="dxa" w:w="4680"/>
            <w:vAlign w:val="center"/>
          </w:tcPr>
          <w:p>
            <w:pPr>
              <w:spacing w:before="0" w:after="0" w:line="264" w:lineRule="auto"/>
              <w:jc w:val="center"/>
            </w:pPr>
            <w:r>
              <w:rPr>
                <w:rFonts w:ascii="Calibri" w:hAnsi="Calibri"/>
                <w:b w:val="0"/>
                <w:color w:val="000000"/>
                <w:sz w:val="21"/>
              </w:rPr>
              <w:t>topic-coverage.json</w:t>
            </w:r>
          </w:p>
        </w:tc>
        <w:tc>
          <w:tcPr>
            <w:tcW w:type="dxa" w:w="4680"/>
            <w:vAlign w:val="center"/>
          </w:tcPr>
          <w:p>
            <w:pPr>
              <w:spacing w:before="0" w:after="0" w:line="264" w:lineRule="auto"/>
              <w:jc w:val="left"/>
            </w:pPr>
            <w:r>
              <w:rPr>
                <w:rFonts w:ascii="Calibri" w:hAnsi="Calibri"/>
                <w:b w:val="0"/>
                <w:color w:val="000000"/>
                <w:sz w:val="21"/>
              </w:rPr>
              <w:t>41 target knowledge-point mapping records</w:t>
            </w:r>
          </w:p>
        </w:tc>
      </w:tr>
      <w:tr>
        <w:tc>
          <w:tcPr>
            <w:tcW w:type="dxa" w:w="4680"/>
            <w:vAlign w:val="center"/>
          </w:tcPr>
          <w:p>
            <w:pPr>
              <w:spacing w:before="0" w:after="0" w:line="264" w:lineRule="auto"/>
              <w:jc w:val="center"/>
            </w:pPr>
            <w:r>
              <w:rPr>
                <w:rFonts w:ascii="Calibri" w:hAnsi="Calibri"/>
                <w:b w:val="0"/>
                <w:color w:val="000000"/>
                <w:sz w:val="21"/>
              </w:rPr>
              <w:t>qa-round-1.json</w:t>
            </w:r>
          </w:p>
        </w:tc>
        <w:tc>
          <w:tcPr>
            <w:tcW w:type="dxa" w:w="4680"/>
            <w:vAlign w:val="center"/>
          </w:tcPr>
          <w:p>
            <w:pPr>
              <w:spacing w:before="0" w:after="0" w:line="264" w:lineRule="auto"/>
              <w:jc w:val="left"/>
            </w:pPr>
            <w:r>
              <w:rPr>
                <w:rFonts w:ascii="Calibri" w:hAnsi="Calibri"/>
                <w:b w:val="0"/>
                <w:color w:val="000000"/>
                <w:sz w:val="21"/>
              </w:rPr>
              <w:t>Round 1 deterministic QA evidence</w:t>
            </w:r>
          </w:p>
        </w:tc>
      </w:tr>
      <w:tr>
        <w:tc>
          <w:tcPr>
            <w:tcW w:type="dxa" w:w="4680"/>
            <w:vAlign w:val="center"/>
          </w:tcPr>
          <w:p>
            <w:pPr>
              <w:spacing w:before="0" w:after="0" w:line="264" w:lineRule="auto"/>
              <w:jc w:val="center"/>
            </w:pPr>
            <w:r>
              <w:rPr>
                <w:rFonts w:ascii="Calibri" w:hAnsi="Calibri"/>
                <w:b w:val="0"/>
                <w:color w:val="000000"/>
                <w:sz w:val="21"/>
              </w:rPr>
              <w:t>qa-round-2.json</w:t>
            </w:r>
          </w:p>
        </w:tc>
        <w:tc>
          <w:tcPr>
            <w:tcW w:type="dxa" w:w="4680"/>
            <w:vAlign w:val="center"/>
          </w:tcPr>
          <w:p>
            <w:pPr>
              <w:spacing w:before="0" w:after="0" w:line="264" w:lineRule="auto"/>
              <w:jc w:val="left"/>
            </w:pPr>
            <w:r>
              <w:rPr>
                <w:rFonts w:ascii="Calibri" w:hAnsi="Calibri"/>
                <w:b w:val="0"/>
                <w:color w:val="000000"/>
                <w:sz w:val="21"/>
              </w:rPr>
              <w:t>Round 2 independent QA evidence</w:t>
            </w:r>
          </w:p>
        </w:tc>
      </w:tr>
      <w:tr>
        <w:tc>
          <w:tcPr>
            <w:tcW w:type="dxa" w:w="4680"/>
            <w:vAlign w:val="center"/>
          </w:tcPr>
          <w:p>
            <w:pPr>
              <w:spacing w:before="0" w:after="0" w:line="264" w:lineRule="auto"/>
              <w:jc w:val="center"/>
            </w:pPr>
            <w:r>
              <w:rPr>
                <w:rFonts w:ascii="Calibri" w:hAnsi="Calibri"/>
                <w:b w:val="0"/>
                <w:color w:val="000000"/>
                <w:sz w:val="21"/>
              </w:rPr>
              <w:t>solvability-audit.json/csv/md</w:t>
            </w:r>
          </w:p>
        </w:tc>
        <w:tc>
          <w:tcPr>
            <w:tcW w:type="dxa" w:w="4680"/>
            <w:vAlign w:val="center"/>
          </w:tcPr>
          <w:p>
            <w:pPr>
              <w:spacing w:before="0" w:after="0" w:line="264" w:lineRule="auto"/>
              <w:jc w:val="left"/>
            </w:pPr>
            <w:r>
              <w:rPr>
                <w:rFonts w:ascii="Calibri" w:hAnsi="Calibri"/>
                <w:b w:val="0"/>
                <w:color w:val="000000"/>
                <w:sz w:val="21"/>
              </w:rPr>
              <w:t>Answer consistency evidence</w:t>
            </w:r>
          </w:p>
        </w:tc>
      </w:tr>
      <w:tr>
        <w:tc>
          <w:tcPr>
            <w:tcW w:type="dxa" w:w="4680"/>
            <w:vAlign w:val="center"/>
          </w:tcPr>
          <w:p>
            <w:pPr>
              <w:spacing w:before="0" w:after="0" w:line="264" w:lineRule="auto"/>
              <w:jc w:val="center"/>
            </w:pPr>
            <w:r>
              <w:rPr>
                <w:rFonts w:ascii="Calibri" w:hAnsi="Calibri"/>
                <w:b w:val="0"/>
                <w:color w:val="000000"/>
                <w:sz w:val="21"/>
              </w:rPr>
              <w:t>manual-review-results.csv</w:t>
            </w:r>
          </w:p>
        </w:tc>
        <w:tc>
          <w:tcPr>
            <w:tcW w:type="dxa" w:w="4680"/>
            <w:vAlign w:val="center"/>
          </w:tcPr>
          <w:p>
            <w:pPr>
              <w:spacing w:before="0" w:after="0" w:line="264" w:lineRule="auto"/>
              <w:jc w:val="left"/>
            </w:pPr>
            <w:r>
              <w:rPr>
                <w:rFonts w:ascii="Calibri" w:hAnsi="Calibri"/>
                <w:b w:val="0"/>
                <w:color w:val="000000"/>
                <w:sz w:val="21"/>
              </w:rPr>
              <w:t>Row-level candidate-only acceptance ledger</w:t>
            </w:r>
          </w:p>
        </w:tc>
      </w:tr>
      <w:tr>
        <w:tc>
          <w:tcPr>
            <w:tcW w:type="dxa" w:w="4680"/>
            <w:vAlign w:val="center"/>
          </w:tcPr>
          <w:p>
            <w:pPr>
              <w:spacing w:before="0" w:after="0" w:line="264" w:lineRule="auto"/>
              <w:jc w:val="center"/>
            </w:pPr>
            <w:r>
              <w:rPr>
                <w:rFonts w:ascii="Calibri" w:hAnsi="Calibri"/>
                <w:b w:val="0"/>
                <w:color w:val="000000"/>
                <w:sz w:val="21"/>
              </w:rPr>
              <w:t>s18-two-round-qa-decision.md</w:t>
            </w:r>
          </w:p>
        </w:tc>
        <w:tc>
          <w:tcPr>
            <w:tcW w:type="dxa" w:w="4680"/>
            <w:vAlign w:val="center"/>
          </w:tcPr>
          <w:p>
            <w:pPr>
              <w:spacing w:before="0" w:after="0" w:line="264" w:lineRule="auto"/>
              <w:jc w:val="left"/>
            </w:pPr>
            <w:r>
              <w:rPr>
                <w:rFonts w:ascii="Calibri" w:hAnsi="Calibri"/>
                <w:b w:val="0"/>
                <w:color w:val="000000"/>
                <w:sz w:val="21"/>
              </w:rPr>
              <w:t>Candidate-only S18 decision note</w:t>
            </w:r>
          </w:p>
        </w:tc>
      </w:tr>
    </w:tbl>
    <w:p>
      <w:pPr>
        <w:spacing w:after="80"/>
      </w:pP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Pr>
    <w:r>
      <w:rPr>
        <w:rFonts w:ascii="Calibri" w:hAnsi="Calibri"/>
        <w:color w:val="595959"/>
        <w:sz w:val="18"/>
      </w:rPr>
      <w:t>MAIS-MVP California K-G5 Knowledge-Point Practice Candidate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right"/>
    </w:pPr>
    <w:r>
      <w:rPr>
        <w:rFonts w:ascii="Calibri" w:hAnsi="Calibri"/>
        <w:color w:val="595959"/>
        <w:sz w:val="18"/>
      </w:rPr>
      <w:t>S18 QA Report | Candidate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