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1F3A5F"/>
          <w:sz w:val="72"/>
          <w:szCs w:val="72"/>
        </w:rPr>
        <w:t xml:space="preserve">SENA</w:t>
      </w:r>
    </w:p>
    <w:p>
      <w:pPr>
        <w:spacing w:after="240"/>
        <w:jc w:val="center"/>
      </w:pPr>
      <w:r>
        <w:rPr>
          <w:color w:val="2E75B6"/>
          <w:sz w:val="26"/>
          <w:szCs w:val="26"/>
        </w:rPr>
        <w:t xml:space="preserve">Social-Epistemic Network Nexus Analytics</w:t>
      </w:r>
    </w:p>
    <w:p>
      <w:pPr>
        <w:spacing w:after="80"/>
        <w:jc w:val="center"/>
      </w:pPr>
      <w:r>
        <w:rPr>
          <w:b/>
          <w:bCs/>
          <w:sz w:val="40"/>
          <w:szCs w:val="40"/>
        </w:rPr>
        <w:t xml:space="preserve">Senior-Architect Advisory Report</w:t>
      </w:r>
    </w:p>
    <w:p>
      <w:pPr>
        <w:spacing w:after="480"/>
        <w:jc w:val="center"/>
      </w:pPr>
      <w:r>
        <w:rPr>
          <w:i/>
          <w:iCs/>
          <w:sz w:val="24"/>
          <w:szCs w:val="24"/>
        </w:rPr>
        <w:t xml:space="preserve">Architecture, Algorithmic Fidelity &amp; 3-Month Remediation Plan</w:t>
      </w:r>
    </w:p>
    <w:p>
      <w:pPr>
        <w:spacing w:after="40"/>
        <w:jc w:val="center"/>
      </w:pPr>
      <w:r>
        <w:rPr>
          <w:sz w:val="20"/>
          <w:szCs w:val="20"/>
        </w:rPr>
        <w:t xml:space="preserve">Prepared for: Dr. Peter — SENA founder / research lead, and the SENA engineering team</w:t>
      </w:r>
    </w:p>
    <w:p>
      <w:pPr>
        <w:spacing w:after="40"/>
        <w:jc w:val="center"/>
      </w:pPr>
      <w:r>
        <w:rPr>
          <w:sz w:val="20"/>
          <w:szCs w:val="20"/>
        </w:rPr>
        <w:t xml:space="preserve">Deployment under review: www.sena.hk (Next.js app, sena-hk-template)</w:t>
      </w:r>
    </w:p>
    <w:p>
      <w:pPr>
        <w:spacing w:after="40"/>
        <w:jc w:val="center"/>
      </w:pPr>
      <w:r>
        <w:rPr>
          <w:sz w:val="20"/>
          <w:szCs w:val="20"/>
        </w:rPr>
        <w:t xml:space="preserve">Normative basis: 20260705_SENA_clean version.docx (math spec) + SENA.HK Algorithm Development Plan</w:t>
      </w:r>
    </w:p>
    <w:p>
      <w:pPr>
        <w:spacing w:after="40"/>
        <w:jc w:val="center"/>
      </w:pPr>
      <w:r>
        <w:rPr>
          <w:sz w:val="20"/>
          <w:szCs w:val="20"/>
        </w:rPr>
        <w:t xml:space="preserve">Date: 6 July 2026</w:t>
      </w:r>
    </w:p>
    <w:p>
      <w:pPr>
        <w:spacing w:after="40"/>
        <w:jc w:val="center"/>
      </w:pPr>
      <w:r>
        <w:rPr>
          <w:i/>
          <w:iCs/>
          <w:sz w:val="20"/>
          <w:szCs w:val="20"/>
        </w:rPr>
        <w:t xml:space="preserve">Classification: Internal — engineering &amp; research leadership</w:t>
      </w:r>
    </w:p>
    <w:p>
      <w:r>
        <w:br w:type="page"/>
      </w:r>
    </w:p>
    <w:p>
      <w:pPr>
        <w:pStyle w:val="Heading1"/>
      </w:pPr>
      <w:r>
        <w:t xml:space="preserve">Scope, Method, and Evidence Basis</w:t>
      </w:r>
    </w:p>
    <w:p>
      <w:pPr>
        <w:spacing w:after="120" w:line="276"/>
      </w:pPr>
      <w:r>
        <w:rPr>
          <w:b/>
          <w:bCs/>
        </w:rPr>
        <w:t xml:space="preserve">What this report is. </w:t>
      </w:r>
      <w:r>
        <w:t xml:space="preserve">A senior-architect advisory that (a) treats the 5 July 2026 mathematical specification as normative, (b) audits the currently deployed SENA implementation against it, and (c) gives a realistic 12-week plan to make the system modifiable, mathematically faithful, and technically credible.</w:t>
      </w:r>
    </w:p>
    <w:p>
      <w:pPr>
        <w:spacing w:after="120" w:line="276"/>
      </w:pPr>
      <w:r>
        <w:rPr>
          <w:b/>
          <w:bCs/>
        </w:rPr>
        <w:t xml:space="preserve">Evidence basis. </w:t>
      </w:r>
      <w:r>
        <w:t xml:space="preserve">Unlike a black-box review of a live URL, this audit was performed against the actual source repository that builds www.sena.hk (the </w:t>
      </w:r>
      <w:r>
        <w:rPr>
          <w:rFonts w:ascii="Consolas" w:cs="Consolas" w:eastAsia="Consolas" w:hAnsi="Consolas"/>
          <w:sz w:val="20"/>
          <w:szCs w:val="20"/>
        </w:rPr>
        <w:t xml:space="preserve">sena-hk-template</w:t>
      </w:r>
      <w:r>
        <w:t xml:space="preserve"> Next.js project, deployed via Vercel). Findings tagged </w:t>
      </w:r>
      <w:r>
        <w:rPr>
          <w:b/>
          <w:bCs/>
          <w:color w:val="1F3A5F"/>
        </w:rPr>
        <w:t xml:space="preserve">[Confirmed]</w:t>
      </w:r>
      <w:r>
        <w:t xml:space="preserve"> are grounded in specific files and line numbers in that repository. Findings tagged </w:t>
      </w:r>
      <w:r>
        <w:rPr>
          <w:b/>
          <w:bCs/>
          <w:color w:val="E8A33D"/>
        </w:rPr>
        <w:t xml:space="preserve">[Risk]</w:t>
      </w:r>
      <w:r>
        <w:t xml:space="preserve"> are inferences the engineering team should verify. Source evidence is authoritative over screenshots, so live-UI browsing was not required.</w:t>
      </w:r>
    </w:p>
    <w:p>
      <w:pPr>
        <w:spacing w:after="120" w:line="276"/>
      </w:pPr>
      <w:r>
        <w:rPr>
          <w:b/>
          <w:bCs/>
        </w:rPr>
        <w:t xml:space="preserve">Tone. </w:t>
      </w:r>
      <w:r>
        <w:t xml:space="preserve">Direct and constructive. The implementation reflects real, competent engineering effort — the criticism targets the object, never the developer. Where the current build already does the right thing, this report says so explicitly, because those parts are the foundation the remediation builds on.</w:t>
      </w:r>
    </w:p>
    <w:p>
      <w:pPr>
        <w:spacing w:after="120" w:line="276"/>
      </w:pPr>
      <w:r>
        <w:rPr>
          <w:b/>
          <w:bCs/>
        </w:rPr>
        <w:t xml:space="preserve">One-line verdict. </w:t>
      </w:r>
      <w:r>
        <w:t xml:space="preserve">SENA is a well-scaffolded research demo with an impressive deployment/enterprise shell, but its analytical core is not yet faithful to the July 5 specification: the fusion matrix A_fusion is assembled correctly as a data object, then never used to compute anything the user sees. That single gap is the spine of this report.</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rPr>
          <w:b/>
          <w:bCs/>
        </w:rPr>
        <w:t xml:space="preserve">The current technical state, in plain language. </w:t>
      </w:r>
      <w:r>
        <w:t xml:space="preserve">SENA today is a research demo dressed as a product. The website renders a visually rich “fusion” picture — persons on a social ring, codes in an epistemic space, bridges between them — and wraps it in a genuinely large enterprise/operations layer (authentication, SSO, SCIM, Postgres adapters, backup, go-live gating, observability). But the analytic substance the platform claims — a unified social-epistemic graph analyzed through one fused adjacency matrix — is not what the code computes. The social ring is computed by a vendored SNA library, the epistemic space by a vendored ENA library, and the two are overlaid visually. The fused matrix A_fusion is correctly built in memory and then used only to print a checksum and pass a structural self-check. No distance, degree, layout, centrality, or embedding the user sees is derived from it.</w:t>
      </w:r>
    </w:p>
    <w:p>
      <w:pPr>
        <w:spacing w:after="120" w:line="276"/>
      </w:pPr>
      <w:r>
        <w:rPr>
          <w:b/>
          <w:bCs/>
        </w:rPr>
        <w:t xml:space="preserve">Prototype, research demo, or maintainable product? </w:t>
      </w:r>
      <w:r>
        <w:t xml:space="preserve">On the mathematics and analytics, it is a research demo: the object of study exists but is analytically inert, and the spec’s core guarantees (Laplacian PSD, joint embedding, metric-validity/stress, isolated-node retention, directed operators) are unimplemented. On the platform shell, it looks like an early product: hundreds of files of enterprise plumbing and ~90 route/ops tests. This inversion — heavy platform, thin and unfaithful math — is the central maintainability problem. For a proof-of-concept whose entire credibility rests on mathematical fidelity, effort has been spent in the wrong tier.</w:t>
      </w:r>
    </w:p>
    <w:p>
      <w:pPr>
        <w:pStyle w:val="Heading2"/>
      </w:pPr>
      <w:r>
        <w:t xml:space="preserve">Top 5 blockers to reliable modification in the next 3 months</w:t>
      </w:r>
    </w:p>
    <w:p>
      <w:pPr>
        <w:spacing w:after="120" w:line="276"/>
      </w:pPr>
      <w:r>
        <w:t xml:space="preserve">These are the issues that, left unaddressed, make every other change unsafe or meaningless.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360"/>
        <w:gridCol w:w="4500"/>
      </w:tblGrid>
      <w:tr>
        <w:trPr>
          <w:tblHeader/>
        </w:trPr>
        <w:tc>
          <w:tcPr>
            <w:tcW w:type="dxa" w:w="5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w:t>
            </w:r>
          </w:p>
        </w:tc>
        <w:tc>
          <w:tcPr>
            <w:tcW w:type="dxa" w:w="436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Blocker</w:t>
            </w:r>
          </w:p>
        </w:tc>
        <w:tc>
          <w:tcPr>
            <w:tcW w:type="dxa" w:w="45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Why it blocks everything else</w:t>
            </w:r>
          </w:p>
        </w:tc>
      </w:tr>
      <w:tr>
        <w:tc>
          <w:tcPr>
            <w:tcW w:type="dxa" w:w="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jc w:val="center"/>
            </w:pPr>
            <w:r>
              <w:rPr>
                <w:b/>
                <w:bCs/>
                <w:sz w:val="18"/>
                <w:szCs w:val="18"/>
              </w:rPr>
              <w:t xml:space="preserve">1</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rPr>
              <w:t xml:space="preserve">A_fusion is analytically inert.</w:t>
            </w:r>
            <w:r>
              <w:t xml:space="preserve"> It is assembled (model.ts:608–629) but displayed degree, components, betweenness and layout are computed from the S block via sna.js / from the ENA manifest via jena-js, never from A_fusion.</w:t>
            </w:r>
          </w:p>
        </w:tc>
        <w:tc>
          <w:tcPr>
            <w:tcW w:type="dxa" w:w="4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Until the analytics read from A_fusion, no amount of UI or math work changes what the user actually sees. This is the root cause behind most Section 2 findings.</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jc w:val="center"/>
            </w:pPr>
            <w:r>
              <w:rPr>
                <w:b/>
                <w:bCs/>
                <w:sz w:val="18"/>
                <w:szCs w:val="18"/>
              </w:rPr>
              <w:t xml:space="preserve">2</w:t>
            </w:r>
          </w:p>
        </w:tc>
        <w:tc>
          <w:tcPr>
            <w:tcW w:type="dxa" w:w="43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rPr>
              <w:t xml:space="preserve">The “fusion view” is a projection overlay, not a joint embedding.</w:t>
            </w:r>
            <w:r>
              <w:t xml:space="preserve"> layout.ts places person nodes into a pre-computed jena-js ENA space (source: “jena-js”), then reads cross-type distances off it.</w:t>
            </w:r>
          </w:p>
        </w:tc>
        <w:tc>
          <w:tcPr>
            <w:tcW w:type="dxa" w:w="4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This is the exact Failure Mode (Example 1, “Projection error”) the spec names as invalid. Person–code proximity on screen is currently not a modelled quantity.</w:t>
            </w:r>
          </w:p>
        </w:tc>
      </w:tr>
      <w:tr>
        <w:tc>
          <w:tcPr>
            <w:tcW w:type="dxa" w:w="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jc w:val="center"/>
            </w:pPr>
            <w:r>
              <w:rPr>
                <w:b/>
                <w:bCs/>
                <w:sz w:val="18"/>
                <w:szCs w:val="18"/>
              </w:rPr>
              <w:t xml:space="preserve">3</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rPr>
              <w:t xml:space="preserve">No graph-operator layer exists.</w:t>
            </w:r>
            <w:r>
              <w:t xml:space="preserve"> Zero Laplacian, eigendecomposition, commute-time, or Schoenberg code in the whole repo.</w:t>
            </w:r>
          </w:p>
        </w:tc>
        <w:tc>
          <w:tcPr>
            <w:tcW w:type="dxa" w:w="4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Propositions 4–5, Corollary 1, Remark 2, the metric/stress readout, and half the golden tests cannot be built on top of a codebase that has no spectral primitives at all.</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jc w:val="center"/>
            </w:pPr>
            <w:r>
              <w:rPr>
                <w:b/>
                <w:bCs/>
                <w:sz w:val="18"/>
                <w:szCs w:val="18"/>
              </w:rPr>
              <w:t xml:space="preserve">4</w:t>
            </w:r>
          </w:p>
        </w:tc>
        <w:tc>
          <w:tcPr>
            <w:tcW w:type="dxa" w:w="43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rPr>
              <w:t xml:space="preserve">No golden-test harness bound to the worked example.</w:t>
            </w:r>
            <w:r>
              <w:t xml:space="preserve"> The ~90 tests cover routes and enterprise ops; none assert A_fusion, d, or the Laplacian spectrum.</w:t>
            </w:r>
          </w:p>
        </w:tc>
        <w:tc>
          <w:tcPr>
            <w:tcW w:type="dxa" w:w="4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Without the worked-example fixture (T1–T15) green in CI, any refactor of the math is unverifiable and regressions are silent. This must exist before, not after, the math work.</w:t>
            </w:r>
          </w:p>
        </w:tc>
      </w:tr>
      <w:tr>
        <w:tc>
          <w:tcPr>
            <w:tcW w:type="dxa" w:w="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jc w:val="center"/>
            </w:pPr>
            <w:r>
              <w:rPr>
                <w:b/>
                <w:bCs/>
                <w:sz w:val="18"/>
                <w:szCs w:val="18"/>
              </w:rPr>
              <w:t xml:space="preserve">5</w:t>
            </w:r>
          </w:p>
        </w:tc>
        <w:tc>
          <w:tcPr>
            <w:tcW w:type="dxa" w:w="43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rPr>
              <w:t xml:space="preserve">Architecture inversion &amp; provenance gaps.</w:t>
            </w:r>
            <w:r>
              <w:t xml:space="preserve"> ~90 enterprise/ops modules vs. a handful of math modules; no model-card gate; math split across two vendor bundles + model.ts + report.ts.</w:t>
            </w:r>
          </w:p>
        </w:tc>
        <w:tc>
          <w:tcPr>
            <w:tcW w:type="dxa" w:w="4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The team’s time and the code’s center of gravity are in the wrong place; there is no single provenance object that can block an unfaithful render, so correctness cannot be enforced structurally.</w:t>
            </w:r>
          </w:p>
        </w:tc>
      </w:tr>
    </w:tbl>
    <w:p>
      <w:pPr>
        <w:spacing w:after="40"/>
      </w:pPr>
      <w:r>
        <w:t xml:space="preserve"/>
      </w:r>
    </w:p>
    <w:p>
      <w:pPr>
        <w:spacing w:after="120" w:line="276"/>
      </w:pPr>
      <w:r>
        <w:rPr>
          <w:b/>
          <w:bCs/>
        </w:rPr>
        <w:t xml:space="preserve">The good news. </w:t>
      </w:r>
      <w:r>
        <w:t xml:space="preserve">The remediation does not start from zero. A_fusion is already named consistently and assembled with the correct block structure and symmetry (model.ts, fusion-math.ts, method-protocol.ts). A real, seeded permutation + bootstrap + Holm-corrected inference engine already exists (inference.ts). The codebase has a strong disclosure culture — interpretation limits and guardrails are written throughout report.ts and method-protocol.ts, and G is already cautioned as “association” in at least one report path. These are exactly the right instincts; the work is to move them from the reporting layer into the computational core and make them enforceable.</w:t>
      </w:r>
    </w:p>
    <w:p>
      <w:r>
        <w:br w:type="page"/>
      </w:r>
    </w:p>
    <w:p>
      <w:pPr>
        <w:pStyle w:val="Heading1"/>
      </w:pPr>
      <w:r>
        <w:t xml:space="preserve">2. Mathematical Fidelity Risks</w:t>
      </w:r>
    </w:p>
    <w:p>
      <w:pPr>
        <w:spacing w:after="120" w:line="276"/>
      </w:pPr>
      <w:r>
        <w:t xml:space="preserve">Each risk below is scored Critical / High / Medium / Low and carries evidence, the user-facing feature it corrupts, the technical layer to change, a concrete fix, and a testable acceptance criterion. They are ordered by severity.</w:t>
      </w:r>
    </w:p>
    <w:p>
      <w:pPr>
        <w:pStyle w:val="Heading3"/>
      </w:pPr>
      <w:r>
        <w:t xml:space="preserve">2.1  A_fusion is computed but never used as the analytical substrate  [Confirmed]</w:t>
      </w:r>
    </w:p>
    <w:p>
      <w:pPr>
        <w:spacing w:after="60"/>
      </w:pPr>
      <w:r>
        <w:rPr>
          <w:b/>
          <w:bCs/>
          <w:color w:val="FFFFFF"/>
          <w:shd w:fill="C00000" w:val="clear"/>
        </w:rPr>
        <w:t xml:space="preserve"> CRITICAL </w:t>
      </w:r>
    </w:p>
    <w:p>
      <w:pPr>
        <w:spacing w:after="40" w:line="264"/>
      </w:pPr>
      <w:r>
        <w:rPr>
          <w:b/>
          <w:bCs/>
          <w:color w:val="1F3A5F"/>
        </w:rPr>
        <w:t xml:space="preserve">Evidence / reason: </w:t>
      </w:r>
      <w:r>
        <w:t xml:space="preserve">model.ts:1027 builds the (n+m)×(n+m) fusion matrix and stores it (model.ts:1103–1105); fusion-math.ts only fingerprints it and checks block placement/finiteness. Meanwhile displayed degree = degree(S,…) via sna.js (model.ts:179), components = components(S) (model.ts:162), betweenness runs “over the S block” (report.ts:176), and layout coordinates come from the jena-js ENA manifest (layout.ts). A_fusion feeds no metric the user sees.</w:t>
      </w:r>
    </w:p>
    <w:p>
      <w:pPr>
        <w:spacing w:after="40" w:line="264"/>
      </w:pPr>
      <w:r>
        <w:rPr>
          <w:b/>
          <w:bCs/>
          <w:color w:val="1F3A5F"/>
        </w:rPr>
        <w:t xml:space="preserve">Affected user-facing feature: </w:t>
      </w:r>
      <w:r>
        <w:t xml:space="preserve">Every analytic panel: node sizes/degrees, clustering, centrality ranking, the fusion canvas.</w:t>
      </w:r>
    </w:p>
    <w:p>
      <w:pPr>
        <w:spacing w:after="40" w:line="264"/>
      </w:pPr>
      <w:r>
        <w:rPr>
          <w:b/>
          <w:bCs/>
          <w:color w:val="1F3A5F"/>
        </w:rPr>
        <w:t xml:space="preserve">Affected technical layer: </w:t>
      </w:r>
      <w:r>
        <w:t xml:space="preserve">M4 fusion assembly → M5 operators; model.ts, report.ts, layout.ts.</w:t>
      </w:r>
    </w:p>
    <w:p>
      <w:pPr>
        <w:spacing w:after="40" w:line="264"/>
      </w:pPr>
      <w:r>
        <w:rPr>
          <w:b/>
          <w:bCs/>
          <w:color w:val="1F3A5F"/>
        </w:rPr>
        <w:t xml:space="preserve">Recommended fix: </w:t>
      </w:r>
      <w:r>
        <w:t xml:space="preserve">Route all displayed graph quantities through A_fusion (or A_fusion^dir). Compute typed degree, components, and any centrality from the fused matrix, not the S block. Delete the parallel S-only analytic path or clearly demote it to a within-type view.</w:t>
      </w:r>
    </w:p>
    <w:p>
      <w:pPr>
        <w:spacing w:after="40" w:line="264"/>
      </w:pPr>
      <w:r>
        <w:rPr>
          <w:b/>
          <w:bCs/>
          <w:color w:val="1F3A5F"/>
        </w:rPr>
        <w:t xml:space="preserve">Acceptance criterion: </w:t>
      </w:r>
      <w:r>
        <w:t xml:space="preserve">Golden test T2 passes: fused degree d = (2, 2.25, 1.25, 2, 2.667, 2.333) on the worked example, computed from A_fusion, appears in the API and UI. No displayed graph metric is sourced from the S block alone.</w:t>
      </w:r>
    </w:p>
    <w:p>
      <w:pPr>
        <w:spacing w:after="40"/>
      </w:pPr>
      <w:r>
        <w:t xml:space="preserve"/>
      </w:r>
    </w:p>
    <w:p>
      <w:pPr>
        <w:pStyle w:val="Heading3"/>
      </w:pPr>
      <w:r>
        <w:t xml:space="preserve">2.2  Visual layout confused with analytical embedding (projection error)  [Confirmed]</w:t>
      </w:r>
    </w:p>
    <w:p>
      <w:pPr>
        <w:spacing w:after="60"/>
      </w:pPr>
      <w:r>
        <w:rPr>
          <w:b/>
          <w:bCs/>
          <w:color w:val="FFFFFF"/>
          <w:shd w:fill="C00000" w:val="clear"/>
        </w:rPr>
        <w:t xml:space="preserve"> CRITICAL </w:t>
      </w:r>
    </w:p>
    <w:p>
      <w:pPr>
        <w:spacing w:after="40" w:line="264"/>
      </w:pPr>
      <w:r>
        <w:rPr>
          <w:b/>
          <w:bCs/>
          <w:color w:val="1F3A5F"/>
        </w:rPr>
        <w:t xml:space="preserve">Evidence / reason: </w:t>
      </w:r>
      <w:r>
        <w:t xml:space="preserve">layout.ts (buildSenaEnaSpaceCoordinateMap) sets source: “jena-js” and reads person coordinates from manifest.outputs.points and code coordinates from manifest.outputs.nodePositions of a pre-computed ENA projection. This is placing SNA persons into an existing ENA space — the spec’s Example 1 (“Projection error”), explicitly labelled invalid.</w:t>
      </w:r>
    </w:p>
    <w:p>
      <w:pPr>
        <w:spacing w:after="40" w:line="264"/>
      </w:pPr>
      <w:r>
        <w:rPr>
          <w:b/>
          <w:bCs/>
          <w:color w:val="1F3A5F"/>
        </w:rPr>
        <w:t xml:space="preserve">Affected user-facing feature: </w:t>
      </w:r>
      <w:r>
        <w:t xml:space="preserve">The main “Fusion” canvas; any read of person–code distance, angle, or cluster.</w:t>
      </w:r>
    </w:p>
    <w:p>
      <w:pPr>
        <w:spacing w:after="40" w:line="264"/>
      </w:pPr>
      <w:r>
        <w:rPr>
          <w:b/>
          <w:bCs/>
          <w:color w:val="1F3A5F"/>
        </w:rPr>
        <w:t xml:space="preserve">Affected technical layer: </w:t>
      </w:r>
      <w:r>
        <w:t xml:space="preserve">M6 embedding service; layout.ts, SenaFusionWorkspace.tsx.</w:t>
      </w:r>
    </w:p>
    <w:p>
      <w:pPr>
        <w:spacing w:after="40" w:line="264"/>
      </w:pPr>
      <w:r>
        <w:rPr>
          <w:b/>
          <w:bCs/>
          <w:color w:val="1F3A5F"/>
        </w:rPr>
        <w:t xml:space="preserve">Recommended fix: </w:t>
      </w:r>
      <w:r>
        <w:t xml:space="preserve">Introduce a joint embedding computed from A_fusion via a declared operator (Laplacian eigenmaps, classical MDS with the Schoenberg check, or commute-time). Keep the ring/overlay strictly as an exploratory layout that always carries a non-metric badge.</w:t>
      </w:r>
    </w:p>
    <w:p>
      <w:pPr>
        <w:spacing w:after="40" w:line="264"/>
      </w:pPr>
      <w:r>
        <w:rPr>
          <w:b/>
          <w:bCs/>
          <w:color w:val="1F3A5F"/>
        </w:rPr>
        <w:t xml:space="preserve">Acceptance criterion: </w:t>
      </w:r>
      <w:r>
        <w:t xml:space="preserve">Golden tests T10–T11 pass; the fusion view’s coordinates are produced by EMBED(A_fusion, …); a metric/stress badge is present whenever person–code distance is visible (§5).</w:t>
      </w:r>
    </w:p>
    <w:p>
      <w:pPr>
        <w:spacing w:after="40"/>
      </w:pPr>
      <w:r>
        <w:t xml:space="preserve"/>
      </w:r>
    </w:p>
    <w:p>
      <w:pPr>
        <w:pStyle w:val="Heading3"/>
      </w:pPr>
      <w:r>
        <w:t xml:space="preserve">2.3  No graph-operator layer: Laplacian / spectrum / PSD unimplemented  [Confirmed]</w:t>
      </w:r>
    </w:p>
    <w:p>
      <w:pPr>
        <w:spacing w:after="60"/>
      </w:pPr>
      <w:r>
        <w:rPr>
          <w:b/>
          <w:bCs/>
          <w:color w:val="FFFFFF"/>
          <w:shd w:fill="C00000" w:val="clear"/>
        </w:rPr>
        <w:t xml:space="preserve"> CRITICAL </w:t>
      </w:r>
    </w:p>
    <w:p>
      <w:pPr>
        <w:spacing w:after="40" w:line="264"/>
      </w:pPr>
      <w:r>
        <w:rPr>
          <w:b/>
          <w:bCs/>
          <w:color w:val="1F3A5F"/>
        </w:rPr>
        <w:t xml:space="preserve">Evidence / reason: </w:t>
      </w:r>
      <w:r>
        <w:t xml:space="preserve">Repository-wide search finds zero non-test files mentioning Laplacian, eigen, commute, or Schoenberg. Corollary 1 (Laplacian PSD) is therefore never computed, and the worked-example spectrum {0, 0.88, 1.88, 2.61, 3.31, 3.81} is never reproduced.</w:t>
      </w:r>
    </w:p>
    <w:p>
      <w:pPr>
        <w:spacing w:after="40" w:line="264"/>
      </w:pPr>
      <w:r>
        <w:rPr>
          <w:b/>
          <w:bCs/>
          <w:color w:val="1F3A5F"/>
        </w:rPr>
        <w:t xml:space="preserve">Affected user-facing feature: </w:t>
      </w:r>
      <w:r>
        <w:t xml:space="preserve">Any spectral or distance-based view; the claim that the object is a valid graph.</w:t>
      </w:r>
    </w:p>
    <w:p>
      <w:pPr>
        <w:spacing w:after="40" w:line="264"/>
      </w:pPr>
      <w:r>
        <w:rPr>
          <w:b/>
          <w:bCs/>
          <w:color w:val="1F3A5F"/>
        </w:rPr>
        <w:t xml:space="preserve">Affected technical layer: </w:t>
      </w:r>
      <w:r>
        <w:t xml:space="preserve">M5 graph operators (new module); depends on a linear-algebra dependency.</w:t>
      </w:r>
    </w:p>
    <w:p>
      <w:pPr>
        <w:spacing w:after="40" w:line="264"/>
      </w:pPr>
      <w:r>
        <w:rPr>
          <w:b/>
          <w:bCs/>
          <w:color w:val="1F3A5F"/>
        </w:rPr>
        <w:t xml:space="preserve">Recommended fix: </w:t>
      </w:r>
      <w:r>
        <w:t xml:space="preserve">Build a typed operators module: unnormalized L = D−A, normalized L_sym and random-walk P with the three declared zero-degree conventions (restrict V₊, zero-inverse, ε-regularization). Add an eigensolver (e.g., ml-matrix / eig).</w:t>
      </w:r>
    </w:p>
    <w:p>
      <w:pPr>
        <w:spacing w:after="40" w:line="264"/>
      </w:pPr>
      <w:r>
        <w:rPr>
          <w:b/>
          <w:bCs/>
          <w:color w:val="1F3A5F"/>
        </w:rPr>
        <w:t xml:space="preserve">Acceptance criterion: </w:t>
      </w:r>
      <w:r>
        <w:t xml:space="preserve">T3, T5, T6, T7 pass: L is PSD with exactly one zero eigenvalue on the connected worked example; adding an unused code yields exactly two zero eigenvalues; L_sym spectrum ⊆ [0,2].</w:t>
      </w:r>
    </w:p>
    <w:p>
      <w:pPr>
        <w:spacing w:after="40"/>
      </w:pPr>
      <w:r>
        <w:t xml:space="preserve"/>
      </w:r>
    </w:p>
    <w:p>
      <w:pPr>
        <w:pStyle w:val="Heading3"/>
      </w:pPr>
      <w:r>
        <w:t xml:space="preserve">2.4  No metric-validity / stress reporting on cross-type distances  [Confirmed]</w:t>
      </w:r>
    </w:p>
    <w:p>
      <w:pPr>
        <w:spacing w:after="60"/>
      </w:pPr>
      <w:r>
        <w:rPr>
          <w:b/>
          <w:bCs/>
          <w:color w:val="FFFFFF"/>
          <w:shd w:fill="C00000" w:val="clear"/>
        </w:rPr>
        <w:t xml:space="preserve"> CRITICAL </w:t>
      </w:r>
    </w:p>
    <w:p>
      <w:pPr>
        <w:spacing w:after="40" w:line="264"/>
      </w:pPr>
      <w:r>
        <w:rPr>
          <w:b/>
          <w:bCs/>
          <w:color w:val="1F3A5F"/>
        </w:rPr>
        <w:t xml:space="preserve">Evidence / reason: </w:t>
      </w:r>
      <w:r>
        <w:t xml:space="preserve">No Schoenberg check, classical-MDS strain, or commute-time exactness anywhere (the apparent “stress/strain” hits in the codebase are substring matches inside “usageConstraints”, not distortion metrics). Person–code distances are shown with no exactness or stress qualifier.</w:t>
      </w:r>
    </w:p>
    <w:p>
      <w:pPr>
        <w:spacing w:after="40" w:line="264"/>
      </w:pPr>
      <w:r>
        <w:rPr>
          <w:b/>
          <w:bCs/>
          <w:color w:val="1F3A5F"/>
        </w:rPr>
        <w:t xml:space="preserve">Affected user-facing feature: </w:t>
      </w:r>
      <w:r>
        <w:t xml:space="preserve">Fusion canvas distance reading; exported figures.</w:t>
      </w:r>
    </w:p>
    <w:p>
      <w:pPr>
        <w:spacing w:after="40" w:line="264"/>
      </w:pPr>
      <w:r>
        <w:rPr>
          <w:b/>
          <w:bCs/>
          <w:color w:val="1F3A5F"/>
        </w:rPr>
        <w:t xml:space="preserve">Affected technical layer: </w:t>
      </w:r>
      <w:r>
        <w:t xml:space="preserve">M6 embedding service; report.ts, visual-encoding.ts.</w:t>
      </w:r>
    </w:p>
    <w:p>
      <w:pPr>
        <w:spacing w:after="40" w:line="264"/>
      </w:pPr>
      <w:r>
        <w:rPr>
          <w:b/>
          <w:bCs/>
          <w:color w:val="1F3A5F"/>
        </w:rPr>
        <w:t xml:space="preserve">Recommended fix: </w:t>
      </w:r>
      <w:r>
        <w:t xml:space="preserve">Implement SCHOENBERG_MDS (K = −½JΔ²J, count positive eigenvalues, exact iff euclidean and rank ≤ d) and COMMUTE_TIME_EMBED (always exact at full rank). Always compute and surface distortion / stress / strain.</w:t>
      </w:r>
    </w:p>
    <w:p>
      <w:pPr>
        <w:spacing w:after="40" w:line="264"/>
      </w:pPr>
      <w:r>
        <w:rPr>
          <w:b/>
          <w:bCs/>
          <w:color w:val="1F3A5F"/>
        </w:rPr>
        <w:t xml:space="preserve">Acceptance criterion: </w:t>
      </w:r>
      <w:r>
        <w:t xml:space="preserve">T10 reproduces min eig(K) = −1.637 and rank-2 MDS max distortion 0.718; T11 commute-time error &lt; 1e-9 on all 9 person–code pairs; UI shows “exact” or a numeric stress.</w:t>
      </w:r>
    </w:p>
    <w:p>
      <w:pPr>
        <w:spacing w:after="40"/>
      </w:pPr>
      <w:r>
        <w:t xml:space="preserve"/>
      </w:r>
    </w:p>
    <w:p>
      <w:pPr>
        <w:pStyle w:val="Heading3"/>
      </w:pPr>
      <w:r>
        <w:t xml:space="preserve">2.5  Silent symmetrization of directed social data  [Confirmed]</w:t>
      </w:r>
    </w:p>
    <w:p>
      <w:pPr>
        <w:spacing w:after="60"/>
      </w:pPr>
      <w:r>
        <w:rPr>
          <w:b/>
          <w:bCs/>
          <w:color w:val="000000"/>
          <w:shd w:fill="E8A33D" w:val="clear"/>
        </w:rPr>
        <w:t xml:space="preserve"> HIGH </w:t>
      </w:r>
    </w:p>
    <w:p>
      <w:pPr>
        <w:spacing w:after="40" w:line="264"/>
      </w:pPr>
      <w:r>
        <w:rPr>
          <w:b/>
          <w:bCs/>
          <w:color w:val="1F3A5F"/>
        </w:rPr>
        <w:t xml:space="preserve">Evidence / reason: </w:t>
      </w:r>
      <w:r>
        <w:t xml:space="preserve">report.ts:133: “Undirected mode counts collapsed person-person ties after SENA symmetrization.” The default undirectedSocial path symmetrizes R with no badge, and report.ts:187 notes reciprocity still reads directed raw data — so direction is silently dropped for the displayed S while retained elsewhere. The fusion assembly hard-codes a symmetric bridge (model.ts:618–619: fusion[i][n+a] = fusion[n+a][i] = gamma*B), so A_fusion^dir with independent B^PC, B^CP cannot be represented.</w:t>
      </w:r>
    </w:p>
    <w:p>
      <w:pPr>
        <w:spacing w:after="40" w:line="264"/>
      </w:pPr>
      <w:r>
        <w:rPr>
          <w:b/>
          <w:bCs/>
          <w:color w:val="1F3A5F"/>
        </w:rPr>
        <w:t xml:space="preserve">Affected user-facing feature: </w:t>
      </w:r>
      <w:r>
        <w:t xml:space="preserve">Every social-layer metric and the fusion view under “undirected” mode.</w:t>
      </w:r>
    </w:p>
    <w:p>
      <w:pPr>
        <w:spacing w:after="40" w:line="264"/>
      </w:pPr>
      <w:r>
        <w:rPr>
          <w:b/>
          <w:bCs/>
          <w:color w:val="1F3A5F"/>
        </w:rPr>
        <w:t xml:space="preserve">Affected technical layer: </w:t>
      </w:r>
      <w:r>
        <w:t xml:space="preserve">M1 ingest, M2 layer builders, M5 operators; model.ts, report.ts, ingest.</w:t>
      </w:r>
    </w:p>
    <w:p>
      <w:pPr>
        <w:spacing w:after="40" w:line="264"/>
      </w:pPr>
      <w:r>
        <w:rPr>
          <w:b/>
          <w:bCs/>
          <w:color w:val="1F3A5F"/>
        </w:rPr>
        <w:t xml:space="preserve">Recommended fix: </w:t>
      </w:r>
      <w:r>
        <w:t xml:space="preserve">Preserve R as directed on ingest. Make symmetrization an explicit, badged choice. Add A_fusion^dir assembly with independent B^PC / B^CP and out/in-degree random-walk operators. Forbid undirected-only theorems (Corollary 1) on directed objects in code.</w:t>
      </w:r>
    </w:p>
    <w:p>
      <w:pPr>
        <w:spacing w:after="40" w:line="264"/>
      </w:pPr>
      <w:r>
        <w:rPr>
          <w:b/>
          <w:bCs/>
          <w:color w:val="1F3A5F"/>
        </w:rPr>
        <w:t xml:space="preserve">Acceptance criterion: </w:t>
      </w:r>
      <w:r>
        <w:t xml:space="preserve">T8–T9 pass: min eig of sym(D_out − A_dir) &lt; 0 is detected and flagged; P = D_out⁻¹A is row-stochastic on V₊ with |eig| ≤ 1; choosing symmetrized mode permanently badges the view “direction collapsed”.</w:t>
      </w:r>
    </w:p>
    <w:p>
      <w:pPr>
        <w:spacing w:after="40"/>
      </w:pPr>
      <w:r>
        <w:t xml:space="preserve"/>
      </w:r>
    </w:p>
    <w:p>
      <w:pPr>
        <w:pStyle w:val="Heading3"/>
      </w:pPr>
      <w:r>
        <w:t xml:space="preserve">2.6  Normalization lacks admissibility checks and divisor provenance  [Confirmed]</w:t>
      </w:r>
    </w:p>
    <w:p>
      <w:pPr>
        <w:spacing w:after="60"/>
      </w:pPr>
      <w:r>
        <w:rPr>
          <w:b/>
          <w:bCs/>
          <w:color w:val="000000"/>
          <w:shd w:fill="E8A33D" w:val="clear"/>
        </w:rPr>
        <w:t xml:space="preserve"> HIGH </w:t>
      </w:r>
    </w:p>
    <w:p>
      <w:pPr>
        <w:spacing w:after="40" w:line="264"/>
      </w:pPr>
      <w:r>
        <w:rPr>
          <w:b/>
          <w:bCs/>
          <w:color w:val="1F3A5F"/>
        </w:rPr>
        <w:t xml:space="preserve">Evidence / reason: </w:t>
      </w:r>
      <w:r>
        <w:t xml:space="preserve">model.ts:65–73 implements only max, log-max (log1p then max), and none. No Frobenius option; no assertions for N(0)=0, dimension preservation, nonnegativity, symmetry preservation, or strictly-positive divisor; the divisor and its scale-invariance status are not recorded. α, β, γ are applied (model.ts:612–625) without tying their interpretation to the declared rule in the UI.</w:t>
      </w:r>
    </w:p>
    <w:p>
      <w:pPr>
        <w:spacing w:after="40" w:line="264"/>
      </w:pPr>
      <w:r>
        <w:rPr>
          <w:b/>
          <w:bCs/>
          <w:color w:val="1F3A5F"/>
        </w:rPr>
        <w:t xml:space="preserve">Affected user-facing feature: </w:t>
      </w:r>
      <w:r>
        <w:t xml:space="preserve">Layer weighting sliders; every downstream metric; sensitivity claims.</w:t>
      </w:r>
    </w:p>
    <w:p>
      <w:pPr>
        <w:spacing w:after="40" w:line="264"/>
      </w:pPr>
      <w:r>
        <w:rPr>
          <w:b/>
          <w:bCs/>
          <w:color w:val="1F3A5F"/>
        </w:rPr>
        <w:t xml:space="preserve">Affected technical layer: </w:t>
      </w:r>
      <w:r>
        <w:t xml:space="preserve">M3 normalization engine; model.ts, types.ts, workspace UI.</w:t>
      </w:r>
    </w:p>
    <w:p>
      <w:pPr>
        <w:spacing w:after="40" w:line="264"/>
      </w:pPr>
      <w:r>
        <w:rPr>
          <w:b/>
          <w:bCs/>
          <w:color w:val="1F3A5F"/>
        </w:rPr>
        <w:t xml:space="preserve">Recommended fix: </w:t>
      </w:r>
      <w:r>
        <w:t xml:space="preserve">Implement ADMISSIBLE_NORMALIZE with the axiom asserts and a provenance record {rule, divisor, scale_invariant}. Add Frobenius. Surface the rule next to α/β/γ and state that weights are interpretable only relative to it (Corollary 2).</w:t>
      </w:r>
    </w:p>
    <w:p>
      <w:pPr>
        <w:spacing w:after="40" w:line="264"/>
      </w:pPr>
      <w:r>
        <w:rPr>
          <w:b/>
          <w:bCs/>
          <w:color w:val="1F3A5F"/>
        </w:rPr>
        <w:t xml:space="preserve">Acceptance criterion: </w:t>
      </w:r>
      <w:r>
        <w:t xml:space="preserve">T14 (axioms) and T15 (scale invariance for max/frob; log flagged variant) pass; the UI cannot show α/β/γ without the active normalization rule.</w:t>
      </w:r>
    </w:p>
    <w:p>
      <w:pPr>
        <w:spacing w:after="40"/>
      </w:pPr>
      <w:r>
        <w:t xml:space="preserve"/>
      </w:r>
    </w:p>
    <w:p>
      <w:pPr>
        <w:pStyle w:val="Heading3"/>
      </w:pPr>
      <w:r>
        <w:t xml:space="preserve">2.7  Isolated / zero-degree vertices judged on the S block, not A_fusion  [Confirmed]</w:t>
      </w:r>
    </w:p>
    <w:p>
      <w:pPr>
        <w:spacing w:after="60"/>
      </w:pPr>
      <w:r>
        <w:rPr>
          <w:b/>
          <w:bCs/>
          <w:color w:val="000000"/>
          <w:shd w:fill="E8A33D" w:val="clear"/>
        </w:rPr>
        <w:t xml:space="preserve"> HIGH </w:t>
      </w:r>
    </w:p>
    <w:p>
      <w:pPr>
        <w:spacing w:after="40" w:line="264"/>
      </w:pPr>
      <w:r>
        <w:rPr>
          <w:b/>
          <w:bCs/>
          <w:color w:val="1F3A5F"/>
        </w:rPr>
        <w:t xml:space="preserve">Evidence / reason: </w:t>
      </w:r>
      <w:r>
        <w:t xml:space="preserve">Components and isolation are computed with components(S) (model.ts:162) and surfaced as socialComponent (model.ts:473). There is no I₀ registry on the fused graph and no V₊ / zero-inverse / ε convention. The spec’s P3 case is precisely the counterexample: socially peripheral but connected through the bridge — the current code would mis-mark such nodes.</w:t>
      </w:r>
    </w:p>
    <w:p>
      <w:pPr>
        <w:spacing w:after="40" w:line="264"/>
      </w:pPr>
      <w:r>
        <w:rPr>
          <w:b/>
          <w:bCs/>
          <w:color w:val="1F3A5F"/>
        </w:rPr>
        <w:t xml:space="preserve">Affected user-facing feature: </w:t>
      </w:r>
      <w:r>
        <w:t xml:space="preserve">Isolated-node handling; who appears “alone” in the network.</w:t>
      </w:r>
    </w:p>
    <w:p>
      <w:pPr>
        <w:spacing w:after="40" w:line="264"/>
      </w:pPr>
      <w:r>
        <w:rPr>
          <w:b/>
          <w:bCs/>
          <w:color w:val="1F3A5F"/>
        </w:rPr>
        <w:t xml:space="preserve">Affected technical layer: </w:t>
      </w:r>
      <w:r>
        <w:t xml:space="preserve">M5 operators + UI panel; model.ts, workspace.</w:t>
      </w:r>
    </w:p>
    <w:p>
      <w:pPr>
        <w:spacing w:after="40" w:line="264"/>
      </w:pPr>
      <w:r>
        <w:rPr>
          <w:b/>
          <w:bCs/>
          <w:color w:val="1F3A5F"/>
        </w:rPr>
        <w:t xml:space="preserve">Recommended fix: </w:t>
      </w:r>
      <w:r>
        <w:t xml:space="preserve">Compute I₀ = {u : d_u = 0} on A_fusion, retain and report isolated nodes (drawn dimmed, never dropped), and distinguish fusion-isolation from social-only isolation.</w:t>
      </w:r>
    </w:p>
    <w:p>
      <w:pPr>
        <w:spacing w:after="40" w:line="264"/>
      </w:pPr>
      <w:r>
        <w:rPr>
          <w:b/>
          <w:bCs/>
          <w:color w:val="1F3A5F"/>
        </w:rPr>
        <w:t xml:space="preserve">Acceptance criterion: </w:t>
      </w:r>
      <w:r>
        <w:t xml:space="preserve">T4 passes: P3 has social degree 1 but fused degree 1.25 and is NOT in I₀; an isolated-node panel lists I₀ with the reason and the D⁻¹ convention in force.</w:t>
      </w:r>
    </w:p>
    <w:p>
      <w:pPr>
        <w:spacing w:after="40"/>
      </w:pPr>
      <w:r>
        <w:t xml:space="preserve"/>
      </w:r>
    </w:p>
    <w:p>
      <w:pPr>
        <w:pStyle w:val="Heading3"/>
      </w:pPr>
      <w:r>
        <w:t xml:space="preserve">2.8  Attribution overstated: G labelled “contribution”, no normalized Đ  [Confirmed]</w:t>
      </w:r>
    </w:p>
    <w:p>
      <w:pPr>
        <w:spacing w:after="60"/>
      </w:pPr>
      <w:r>
        <w:rPr>
          <w:b/>
          <w:bCs/>
          <w:color w:val="000000"/>
          <w:shd w:fill="E8A33D" w:val="clear"/>
        </w:rPr>
        <w:t xml:space="preserve"> HIGH </w:t>
      </w:r>
    </w:p>
    <w:p>
      <w:pPr>
        <w:spacing w:after="40" w:line="264"/>
      </w:pPr>
      <w:r>
        <w:rPr>
          <w:b/>
          <w:bCs/>
          <w:color w:val="1F3A5F"/>
        </w:rPr>
        <w:t xml:space="preserve">Evidence / reason: </w:t>
      </w:r>
      <w:r>
        <w:t xml:space="preserve">CONTEXT.md defines G as “the person-code-pair contribution layer … who contributed” and the visual grammar renders “pink contribution arcs.” There is no Đ (normalized tensor): no Ghat / normalizedContribution in the code. The slice identity G_i = Xᵀ diag(Y_i) X and the invariant Σ_i G_i = Xᵀ diag(P) X are not implemented or tested. (Mitigating: report.ts:223 already cautions “association … unless person-specific evidence” — the right wording exists but is not enforced everywhere.)</w:t>
      </w:r>
    </w:p>
    <w:p>
      <w:pPr>
        <w:spacing w:after="40" w:line="264"/>
      </w:pPr>
      <w:r>
        <w:rPr>
          <w:b/>
          <w:bCs/>
          <w:color w:val="1F3A5F"/>
        </w:rPr>
        <w:t xml:space="preserve">Affected user-facing feature: </w:t>
      </w:r>
      <w:r>
        <w:t xml:space="preserve">Attribution heatmaps; any “who contributed” claim; exports.</w:t>
      </w:r>
    </w:p>
    <w:p>
      <w:pPr>
        <w:spacing w:after="40" w:line="264"/>
      </w:pPr>
      <w:r>
        <w:rPr>
          <w:b/>
          <w:bCs/>
          <w:color w:val="1F3A5F"/>
        </w:rPr>
        <w:t xml:space="preserve">Affected technical layer: </w:t>
      </w:r>
      <w:r>
        <w:t xml:space="preserve">M7 attribution service; inference/model, visual-grammar.ts, report.ts.</w:t>
      </w:r>
    </w:p>
    <w:p>
      <w:pPr>
        <w:spacing w:after="40" w:line="264"/>
      </w:pPr>
      <w:r>
        <w:rPr>
          <w:b/>
          <w:bCs/>
          <w:color w:val="1F3A5F"/>
        </w:rPr>
        <w:t xml:space="preserve">Recommended fix: </w:t>
      </w:r>
      <w:r>
        <w:t xml:space="preserve">Rename the default semantics to “association / exposure”; compute per-person PSD slices G_i and normalized Đ_i (0/0→0); enable “contribution” wording only when person-specific evidence X_ita or a declared attribution rule is registered.</w:t>
      </w:r>
    </w:p>
    <w:p>
      <w:pPr>
        <w:spacing w:after="40" w:line="264"/>
      </w:pPr>
      <w:r>
        <w:rPr>
          <w:b/>
          <w:bCs/>
          <w:color w:val="1F3A5F"/>
        </w:rPr>
        <w:t xml:space="preserve">Acceptance criterion: </w:t>
      </w:r>
      <w:r>
        <w:t xml:space="preserve">T12–T13 pass: G_i are PSD and sum to Xᵀ diag(P) X; Đ is bounded (binary X ∈ [0,1]); UI shows “contribution” only when evidence is present, else “association.”</w:t>
      </w:r>
    </w:p>
    <w:p>
      <w:pPr>
        <w:spacing w:after="40"/>
      </w:pPr>
      <w:r>
        <w:t xml:space="preserve"/>
      </w:r>
    </w:p>
    <w:p>
      <w:pPr>
        <w:pStyle w:val="Heading3"/>
      </w:pPr>
      <w:r>
        <w:t xml:space="preserve">2.9  Typed centrality not implemented as four separated families  [Confirmed]</w:t>
      </w:r>
    </w:p>
    <w:p>
      <w:pPr>
        <w:spacing w:after="60"/>
      </w:pPr>
      <w:r>
        <w:rPr>
          <w:b/>
          <w:bCs/>
          <w:color w:val="000000"/>
          <w:shd w:fill="F2D06B" w:val="clear"/>
        </w:rPr>
        <w:t xml:space="preserve"> MEDIUM </w:t>
      </w:r>
    </w:p>
    <w:p>
      <w:pPr>
        <w:spacing w:after="40" w:line="264"/>
      </w:pPr>
      <w:r>
        <w:rPr>
          <w:b/>
          <w:bCs/>
          <w:color w:val="1F3A5F"/>
        </w:rPr>
        <w:t xml:space="preserve">Evidence / reason: </w:t>
      </w:r>
      <w:r>
        <w:t xml:space="preserve">Centrality is sna.js betweenness over the S block plus a bridge “ranking helper” (report.ts:214). The spec’s four typed families (within-person on S, within-code on W, cross-type on B, whole-graph on A_fusion — each with its own scale disclosure) are not computed, and there is no explicit guard against ranking persons and codes on one list.</w:t>
      </w:r>
    </w:p>
    <w:p>
      <w:pPr>
        <w:spacing w:after="40" w:line="264"/>
      </w:pPr>
      <w:r>
        <w:rPr>
          <w:b/>
          <w:bCs/>
          <w:color w:val="1F3A5F"/>
        </w:rPr>
        <w:t xml:space="preserve">Affected user-facing feature: </w:t>
      </w:r>
      <w:r>
        <w:t xml:space="preserve">Centrality rankings and “most important node” framing.</w:t>
      </w:r>
    </w:p>
    <w:p>
      <w:pPr>
        <w:spacing w:after="40" w:line="264"/>
      </w:pPr>
      <w:r>
        <w:rPr>
          <w:b/>
          <w:bCs/>
          <w:color w:val="1F3A5F"/>
        </w:rPr>
        <w:t xml:space="preserve">Affected technical layer: </w:t>
      </w:r>
      <w:r>
        <w:t xml:space="preserve">M8 typed centrality; report.ts, workspace.</w:t>
      </w:r>
    </w:p>
    <w:p>
      <w:pPr>
        <w:spacing w:after="40" w:line="264"/>
      </w:pPr>
      <w:r>
        <w:rPr>
          <w:b/>
          <w:bCs/>
          <w:color w:val="1F3A5F"/>
        </w:rPr>
        <w:t xml:space="preserve">Recommended fix: </w:t>
      </w:r>
      <w:r>
        <w:t xml:space="preserve">Compute the four families from the correct blocks of A_fusion; tag whole-graph centrality as “position in the typed graph, not type-free importance”; make a mixed person+code ranking impossible in the UI without a type label.</w:t>
      </w:r>
    </w:p>
    <w:p>
      <w:pPr>
        <w:spacing w:after="40" w:line="264"/>
      </w:pPr>
      <w:r>
        <w:rPr>
          <w:b/>
          <w:bCs/>
          <w:color w:val="1F3A5F"/>
        </w:rPr>
        <w:t xml:space="preserve">Acceptance criterion: </w:t>
      </w:r>
      <w:r>
        <w:t xml:space="preserve">No ranked list mixes persons and codes without a type column; each family declares its own scale/normalization.</w:t>
      </w:r>
    </w:p>
    <w:p>
      <w:pPr>
        <w:spacing w:after="40"/>
      </w:pPr>
      <w:r>
        <w:t xml:space="preserve"/>
      </w:r>
    </w:p>
    <w:p>
      <w:pPr>
        <w:pStyle w:val="Heading3"/>
      </w:pPr>
      <w:r>
        <w:t xml:space="preserve">2.10  Temporal comparison uses per-time normalization without a declared policy  [Confirmed]</w:t>
      </w:r>
    </w:p>
    <w:p>
      <w:pPr>
        <w:spacing w:after="60"/>
      </w:pPr>
      <w:r>
        <w:rPr>
          <w:b/>
          <w:bCs/>
          <w:color w:val="000000"/>
          <w:shd w:fill="F2D06B" w:val="clear"/>
        </w:rPr>
        <w:t xml:space="preserve"> MEDIUM </w:t>
      </w:r>
    </w:p>
    <w:p>
      <w:pPr>
        <w:spacing w:after="40" w:line="264"/>
      </w:pPr>
      <w:r>
        <w:rPr>
          <w:b/>
          <w:bCs/>
          <w:color w:val="1F3A5F"/>
        </w:rPr>
        <w:t xml:space="preserve">Evidence / reason: </w:t>
      </w:r>
      <w:r>
        <w:t xml:space="preserve">temporal-runtime / model.ts:754–764 normalize each window by its own per-metric max (normalizeTemporalWindows), i.e. within-time normalization that hides magnitude change, with no global-vs-per-time policy surfaced. Frobenius / spectral / edit distances and significance are not the basis of the displayed temporal delta.</w:t>
      </w:r>
    </w:p>
    <w:p>
      <w:pPr>
        <w:spacing w:after="40" w:line="264"/>
      </w:pPr>
      <w:r>
        <w:rPr>
          <w:b/>
          <w:bCs/>
          <w:color w:val="1F3A5F"/>
        </w:rPr>
        <w:t xml:space="preserve">Affected user-facing feature: </w:t>
      </w:r>
      <w:r>
        <w:t xml:space="preserve">Temporal Fusion Arc (Plan→Teach→Reflect) comparisons.</w:t>
      </w:r>
    </w:p>
    <w:p>
      <w:pPr>
        <w:spacing w:after="40" w:line="264"/>
      </w:pPr>
      <w:r>
        <w:rPr>
          <w:b/>
          <w:bCs/>
          <w:color w:val="1F3A5F"/>
        </w:rPr>
        <w:t xml:space="preserve">Affected technical layer: </w:t>
      </w:r>
      <w:r>
        <w:t xml:space="preserve">M9 temporal; temporal-runtime.ts.</w:t>
      </w:r>
    </w:p>
    <w:p>
      <w:pPr>
        <w:spacing w:after="40" w:line="264"/>
      </w:pPr>
      <w:r>
        <w:rPr>
          <w:b/>
          <w:bCs/>
          <w:color w:val="1F3A5F"/>
        </w:rPr>
        <w:t xml:space="preserve">Recommended fix: </w:t>
      </w:r>
      <w:r>
        <w:t xml:space="preserve">Assemble A(t) under a declared norm policy (global_denominator vs per_time), compute ΔA and Frobenius/spectral/edit distances, and route significance through the validation suite; disclose which policy is active.</w:t>
      </w:r>
    </w:p>
    <w:p>
      <w:pPr>
        <w:spacing w:after="40" w:line="264"/>
      </w:pPr>
      <w:r>
        <w:rPr>
          <w:b/>
          <w:bCs/>
          <w:color w:val="1F3A5F"/>
        </w:rPr>
        <w:t xml:space="preserve">Acceptance criterion: </w:t>
      </w:r>
      <w:r>
        <w:t xml:space="preserve">Temporal deltas are computed from A(t) matrices with the norm policy shown; no raw distance is reported without a significance test (§6).</w:t>
      </w:r>
    </w:p>
    <w:p>
      <w:pPr>
        <w:spacing w:after="40"/>
      </w:pPr>
      <w:r>
        <w:t xml:space="preserve"/>
      </w:r>
    </w:p>
    <w:p>
      <w:r>
        <w:br w:type="page"/>
      </w:r>
    </w:p>
    <w:p>
      <w:pPr>
        <w:pStyle w:val="Heading1"/>
      </w:pPr>
      <w:r>
        <w:t xml:space="preserve">3. Architecture and Codebase Risks</w:t>
      </w:r>
    </w:p>
    <w:p>
      <w:pPr>
        <w:pStyle w:val="Heading2"/>
      </w:pPr>
      <w:r>
        <w:t xml:space="preserve">3.1  Is there a clean separation across the 11 pipeline stages?</w:t>
      </w:r>
    </w:p>
    <w:p>
      <w:pPr>
        <w:spacing w:after="120" w:line="276"/>
      </w:pPr>
      <w:r>
        <w:t xml:space="preserve">The Development Plan’s target is eleven modules behind one typed data contract, each returning a provenance record. The current code has a partial, uneven realization of this. The table maps each target stage to what exists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5060"/>
        <w:gridCol w:w="1700"/>
      </w:tblGrid>
      <w:tr>
        <w:trPr>
          <w:tblHeader/>
        </w:trPr>
        <w:tc>
          <w:tcPr>
            <w:tcW w:type="dxa" w:w="26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Pipeline stage</w:t>
            </w:r>
          </w:p>
        </w:tc>
        <w:tc>
          <w:tcPr>
            <w:tcW w:type="dxa" w:w="506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State today</w:t>
            </w:r>
          </w:p>
        </w:tc>
        <w:tc>
          <w:tcPr>
            <w:tcW w:type="dxa" w:w="17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Assessment</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Data ingest (M1)</w:t>
            </w:r>
          </w:p>
        </w:tc>
        <w:tc>
          <w:tcPr>
            <w:tcW w:type="dxa" w:w="5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import.ts / import-adapters.ts exist; direction collapsed on ingest.</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color w:val="E8A33D"/>
              </w:rPr>
              <w:t xml:space="preserve">Partial</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Layer construction (M2)</w:t>
            </w:r>
          </w:p>
        </w:tc>
        <w:tc>
          <w:tcPr>
            <w:tcW w:type="dxa" w:w="50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model.ts builds S, W, B; G present. Bridge hard-coded symmetric.</w:t>
            </w:r>
          </w:p>
        </w:tc>
        <w:tc>
          <w:tcPr>
            <w:tcW w:type="dxa" w:w="1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color w:val="E8A33D"/>
              </w:rPr>
              <w:t xml:space="preserve">Partial</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Normalization (M3)</w:t>
            </w:r>
          </w:p>
        </w:tc>
        <w:tc>
          <w:tcPr>
            <w:tcW w:type="dxa" w:w="5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Inline in model.ts (max/log-max/none); no admissibility engine.</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color w:val="C00000"/>
              </w:rPr>
              <w:t xml:space="preserve">Weak</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Fusion assembly (M4)</w:t>
            </w:r>
          </w:p>
        </w:tc>
        <w:tc>
          <w:tcPr>
            <w:tcW w:type="dxa" w:w="50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Correct block build (model.ts:608–629); consistent A_fusion naming.</w:t>
            </w:r>
          </w:p>
        </w:tc>
        <w:tc>
          <w:tcPr>
            <w:tcW w:type="dxa" w:w="1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color w:val="2E7D32"/>
              </w:rPr>
              <w:t xml:space="preserve">Good</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Graph operators (M5)</w:t>
            </w:r>
          </w:p>
        </w:tc>
        <w:tc>
          <w:tcPr>
            <w:tcW w:type="dxa" w:w="5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Absent. No Laplacian/degree-on-fusion/normalized operators.</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color w:val="C00000"/>
              </w:rPr>
              <w:t xml:space="preserve">Missing</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Embedding (M6)</w:t>
            </w:r>
          </w:p>
        </w:tc>
        <w:tc>
          <w:tcPr>
            <w:tcW w:type="dxa" w:w="50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Absent as joint embedding; layout reads jena-js ENA projection.</w:t>
            </w:r>
          </w:p>
        </w:tc>
        <w:tc>
          <w:tcPr>
            <w:tcW w:type="dxa" w:w="1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color w:val="C00000"/>
              </w:rPr>
              <w:t xml:space="preserve">Missing</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Attribution (M7)</w:t>
            </w:r>
          </w:p>
        </w:tc>
        <w:tc>
          <w:tcPr>
            <w:tcW w:type="dxa" w:w="5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G present as “contribution”; no Đ, no slice identities.</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color w:val="C00000"/>
              </w:rPr>
              <w:t xml:space="preserve">Weak</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Typed centrality (M8)</w:t>
            </w:r>
          </w:p>
        </w:tc>
        <w:tc>
          <w:tcPr>
            <w:tcW w:type="dxa" w:w="50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sna.js betweenness on S + bridge ranking; not four families.</w:t>
            </w:r>
          </w:p>
        </w:tc>
        <w:tc>
          <w:tcPr>
            <w:tcW w:type="dxa" w:w="1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color w:val="E8A33D"/>
              </w:rPr>
              <w:t xml:space="preserve">Partial</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Temporal (M9)</w:t>
            </w:r>
          </w:p>
        </w:tc>
        <w:tc>
          <w:tcPr>
            <w:tcW w:type="dxa" w:w="5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temporal-runtime.ts with per-time normalization only.</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color w:val="E8A33D"/>
              </w:rPr>
              <w:t xml:space="preserve">Partial</w:t>
            </w:r>
          </w:p>
        </w:tc>
      </w:tr>
      <w:tr>
        <w:tc>
          <w:tcPr>
            <w:tcW w:type="dxa" w:w="2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Validation (M10)</w:t>
            </w:r>
          </w:p>
        </w:tc>
        <w:tc>
          <w:tcPr>
            <w:tcW w:type="dxa" w:w="50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inference.ts: seeded permutation + bootstrap + Holm; generic null only.</w:t>
            </w:r>
          </w:p>
        </w:tc>
        <w:tc>
          <w:tcPr>
            <w:tcW w:type="dxa" w:w="1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color w:val="E8A33D"/>
              </w:rPr>
              <w:t xml:space="preserve">Partial — strong base</w:t>
            </w:r>
          </w:p>
        </w:tc>
      </w:tr>
      <w:tr>
        <w:tc>
          <w:tcPr>
            <w:tcW w:type="dxa" w:w="2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Reporting / UI (M11)</w:t>
            </w:r>
          </w:p>
        </w:tc>
        <w:tc>
          <w:tcPr>
            <w:tcW w:type="dxa" w:w="5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Rich report.ts + workspace; no render-blocking model card.</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color w:val="E8A33D"/>
              </w:rPr>
              <w:t xml:space="preserve">Partial</w:t>
            </w:r>
          </w:p>
        </w:tc>
      </w:tr>
    </w:tbl>
    <w:p>
      <w:pPr>
        <w:spacing w:after="40"/>
      </w:pPr>
      <w:r>
        <w:t xml:space="preserve"/>
      </w:r>
    </w:p>
    <w:p>
      <w:pPr>
        <w:spacing w:after="120" w:line="276"/>
      </w:pPr>
      <w:r>
        <w:rPr>
          <w:b/>
          <w:bCs/>
        </w:rPr>
        <w:t xml:space="preserve">Verdict. </w:t>
      </w:r>
      <w:r>
        <w:t xml:space="preserve">The seams the plan wants (typed contract, provenance per module, one assembly point) partially exist, but the middle of the pipeline — normalization, operators, embedding, attribution — is either inline, missing, or unfaithful. Correctness cannot be localized because there is no operators module to own it and no provenance object to enforce it.</w:t>
      </w:r>
    </w:p>
    <w:p>
      <w:pPr>
        <w:pStyle w:val="Heading2"/>
      </w:pPr>
      <w:r>
        <w:t xml:space="preserve">3.2  Signs of prototype / vibe-coded architecture</w:t>
      </w:r>
    </w:p>
    <w:p>
      <w:pPr>
        <w:spacing w:after="120" w:line="276"/>
      </w:pPr>
      <w:r>
        <w:t xml:space="preserve">Concrete, code-grounded observations (not stylistic nitpicks):</w:t>
      </w:r>
    </w:p>
    <w:p>
      <w:pPr>
        <w:pStyle w:val="ListParagraph"/>
        <w:numPr>
          <w:ilvl w:val="0"/>
          <w:numId w:val="2"/>
        </w:numPr>
        <w:spacing w:after="60" w:line="264"/>
      </w:pPr>
      <w:r>
        <w:rPr>
          <w:b/>
          <w:bCs/>
        </w:rPr>
        <w:t xml:space="preserve">Architecture inversion. </w:t>
      </w:r>
      <w:r>
        <w:t xml:space="preserve">~90 modules under lib/sena/enterprise/* and ops-* (auth, SSO, SCIM, Postgres, backup, go-live, observability) versus a handful of math modules. For a proof-of-concept whose value is mathematical fidelity, the code’s center of gravity is in the wrong tier.</w:t>
      </w:r>
    </w:p>
    <w:p>
      <w:pPr>
        <w:pStyle w:val="ListParagraph"/>
        <w:numPr>
          <w:ilvl w:val="0"/>
          <w:numId w:val="2"/>
        </w:numPr>
        <w:spacing w:after="60" w:line="264"/>
      </w:pPr>
      <w:r>
        <w:rPr>
          <w:b/>
          <w:bCs/>
        </w:rPr>
        <w:t xml:space="preserve">Calculations split across vendor bundles and UI-adjacent code. </w:t>
      </w:r>
      <w:r>
        <w:t xml:space="preserve">Analytics come from vendored jena-js (ENA) and sna.js (SNA), while fusion lives in model.ts and much interpretation lives in report.ts. There is no single source of truth for “what SENA computes.”</w:t>
      </w:r>
    </w:p>
    <w:p>
      <w:pPr>
        <w:pStyle w:val="ListParagraph"/>
        <w:numPr>
          <w:ilvl w:val="0"/>
          <w:numId w:val="2"/>
        </w:numPr>
        <w:spacing w:after="60" w:line="264"/>
      </w:pPr>
      <w:r>
        <w:rPr>
          <w:b/>
          <w:bCs/>
        </w:rPr>
        <w:t xml:space="preserve">Computed-but-unused objects. </w:t>
      </w:r>
      <w:r>
        <w:t xml:space="preserve">A_fusion is assembled and then only fingerprinted — a classic prototype smell where the headline object is decorative.</w:t>
      </w:r>
    </w:p>
    <w:p>
      <w:pPr>
        <w:pStyle w:val="ListParagraph"/>
        <w:numPr>
          <w:ilvl w:val="0"/>
          <w:numId w:val="2"/>
        </w:numPr>
        <w:spacing w:after="60" w:line="264"/>
      </w:pPr>
      <w:r>
        <w:rPr>
          <w:b/>
          <w:bCs/>
        </w:rPr>
        <w:t xml:space="preserve">Inline, non-configurable normalization. </w:t>
      </w:r>
      <w:r>
        <w:t xml:space="preserve">Normalization is a private function with a fixed rule set and no schema; adding Frobenius or admissibility asserts touches model internals rather than a config.</w:t>
      </w:r>
    </w:p>
    <w:p>
      <w:pPr>
        <w:pStyle w:val="ListParagraph"/>
        <w:numPr>
          <w:ilvl w:val="0"/>
          <w:numId w:val="2"/>
        </w:numPr>
        <w:spacing w:after="60" w:line="264"/>
      </w:pPr>
      <w:r>
        <w:rPr>
          <w:b/>
          <w:bCs/>
        </w:rPr>
        <w:t xml:space="preserve">No math test fixtures. </w:t>
      </w:r>
      <w:r>
        <w:t xml:space="preserve">The worked example is not encoded as a fixture; the large test suite asserts routes and enterprise ops, so the math can regress silently.</w:t>
      </w:r>
    </w:p>
    <w:p>
      <w:pPr>
        <w:pStyle w:val="ListParagraph"/>
        <w:numPr>
          <w:ilvl w:val="0"/>
          <w:numId w:val="2"/>
        </w:numPr>
        <w:spacing w:after="60" w:line="264"/>
      </w:pPr>
      <w:r>
        <w:rPr>
          <w:b/>
          <w:bCs/>
        </w:rPr>
        <w:t xml:space="preserve">Provenance without enforcement. </w:t>
      </w:r>
      <w:r>
        <w:t xml:space="preserve">Matrix fingerprints and interpretation limits exist, but nothing blocks a render when provenance is incomplete — the plan’s “block_render_if_missing” contract is absent.</w:t>
      </w:r>
    </w:p>
    <w:p>
      <w:pPr>
        <w:pStyle w:val="ListParagraph"/>
        <w:numPr>
          <w:ilvl w:val="0"/>
          <w:numId w:val="2"/>
        </w:numPr>
        <w:spacing w:after="60" w:line="264"/>
      </w:pPr>
      <w:r>
        <w:rPr>
          <w:b/>
          <w:bCs/>
        </w:rPr>
        <w:t xml:space="preserve">Hard-coded structural assumptions. </w:t>
      </w:r>
      <w:r>
        <w:t xml:space="preserve">The symmetric bridge in the assembly encodes “undirected” into the data model, so directed mode is not just unimplemented — it is structurally precluded.</w:t>
      </w:r>
    </w:p>
    <w:p>
      <w:pPr>
        <w:spacing w:after="120" w:line="276"/>
      </w:pPr>
      <w:r>
        <w:rPr>
          <w:b/>
          <w:bCs/>
        </w:rPr>
        <w:t xml:space="preserve">Positive signals worth preserving. </w:t>
      </w:r>
      <w:r>
        <w:t xml:space="preserve">Consistent A_fusion naming; a documented ubiquitous language (CONTEXT.md); explicit guardrails (“do not silently change S, W, B, G, A_fusion, normalization…”); schema-registry versioning; and a real, seeded statistical engine. The refactor should harden these, not discard them.</w:t>
      </w:r>
    </w:p>
    <w:p>
      <w:r>
        <w:br w:type="page"/>
      </w:r>
    </w:p>
    <w:p>
      <w:pPr>
        <w:pStyle w:val="Heading1"/>
      </w:pPr>
      <w:r>
        <w:t xml:space="preserve">4. Data Model and API Issues</w:t>
      </w:r>
    </w:p>
    <w:p>
      <w:pPr>
        <w:pStyle w:val="Heading2"/>
      </w:pPr>
      <w:r>
        <w:t xml:space="preserve">4.1  Minimum data contract to enforce</w:t>
      </w:r>
    </w:p>
    <w:p>
      <w:pPr>
        <w:spacing w:after="120" w:line="276"/>
      </w:pPr>
      <w:r>
        <w:t xml:space="preserve">Encode this as typed schemas (the plan’s Core Data Contract) with runtime validation at ingest, versioned, and disclosed in the model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700"/>
      </w:tblGrid>
      <w:tr>
        <w:trPr>
          <w:tblHeader/>
        </w:trPr>
        <w:tc>
          <w:tcPr>
            <w:tcW w:type="dxa" w:w="20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Entity</w:t>
            </w:r>
          </w:p>
        </w:tc>
        <w:tc>
          <w:tcPr>
            <w:tcW w:type="dxa" w:w="366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Shape / key fields</w:t>
            </w:r>
          </w:p>
        </w:tc>
        <w:tc>
          <w:tcPr>
            <w:tcW w:type="dxa" w:w="37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Rules to enforce</w:t>
            </w:r>
          </w:p>
        </w:tc>
      </w:tr>
      <w:tr>
        <w:tc>
          <w:tcPr>
            <w:tcW w:type="dxa" w:w="2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Person p₁..pₙ</w:t>
            </w:r>
          </w:p>
        </w:tc>
        <w:tc>
          <w:tcPr>
            <w:tcW w:type="dxa" w:w="3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stable personId, displayName, group/cohort, consent flag</w:t>
            </w:r>
          </w:p>
        </w:tc>
        <w:tc>
          <w:tcPr>
            <w:tcW w:type="dxa" w:w="3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IDs globally unique and stable across imports; never reuse.</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Code c₁..cₘ</w:t>
            </w:r>
          </w:p>
        </w:tc>
        <w:tc>
          <w:tcPr>
            <w:tcW w:type="dxa" w:w="36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codeId, label, codebookVersion</w:t>
            </w:r>
          </w:p>
        </w:tc>
        <w:tc>
          <w:tcPr>
            <w:tcW w:type="dxa" w:w="3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Every code carries its codebook version; mixed versions rejected or migrated.</w:t>
            </w:r>
          </w:p>
        </w:tc>
      </w:tr>
      <w:tr>
        <w:tc>
          <w:tcPr>
            <w:tcW w:type="dxa" w:w="2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Discourse window t₁..t_q</w:t>
            </w:r>
          </w:p>
        </w:tc>
        <w:tc>
          <w:tcPr>
            <w:tcW w:type="dxa" w:w="3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windowId, unit/stanza def, ordering, span</w:t>
            </w:r>
          </w:p>
        </w:tc>
        <w:tc>
          <w:tcPr>
            <w:tcW w:type="dxa" w:w="3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One declared windowing rule per dataset (fixed unit, moving stanza radius, etc.).</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Interaction</w:t>
            </w:r>
          </w:p>
        </w:tc>
        <w:tc>
          <w:tcPr>
            <w:tcW w:type="dxa" w:w="36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fromPerson, toPerson, weight ≥ 0, direction, timestamp</w:t>
            </w:r>
          </w:p>
        </w:tc>
        <w:tc>
          <w:tcPr>
            <w:tcW w:type="dxa" w:w="3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Directed by default; symmetrization is a downstream, badged choice.</w:t>
            </w:r>
          </w:p>
        </w:tc>
      </w:tr>
      <w:tr>
        <w:tc>
          <w:tcPr>
            <w:tcW w:type="dxa" w:w="2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Coded segment</w:t>
            </w:r>
          </w:p>
        </w:tc>
        <w:tc>
          <w:tcPr>
            <w:tcW w:type="dxa" w:w="3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windowId, codeId, personId?, sourceRef</w:t>
            </w:r>
          </w:p>
        </w:tc>
        <w:tc>
          <w:tcPr>
            <w:tcW w:type="dxa" w:w="3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Each segment links to a source record (evidence traceability).</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Participation Y[n×q]</w:t>
            </w:r>
          </w:p>
        </w:tc>
        <w:tc>
          <w:tcPr>
            <w:tcW w:type="dxa" w:w="36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person×window, ≥ 0</w:t>
            </w:r>
          </w:p>
        </w:tc>
        <w:tc>
          <w:tcPr>
            <w:tcW w:type="dxa" w:w="3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Row/col dims match persons/windows; raw counts kept separate from normalized.</w:t>
            </w:r>
          </w:p>
        </w:tc>
      </w:tr>
      <w:tr>
        <w:tc>
          <w:tcPr>
            <w:tcW w:type="dxa" w:w="2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Code activation X[q×m]</w:t>
            </w:r>
          </w:p>
        </w:tc>
        <w:tc>
          <w:tcPr>
            <w:tcW w:type="dxa" w:w="3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window×code, ≥ 0 (binary or weighted)</w:t>
            </w:r>
          </w:p>
        </w:tc>
        <w:tc>
          <w:tcPr>
            <w:tcW w:type="dxa" w:w="3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Declared binary vs weighted; used to build W = XᵀX and B = YX.</w:t>
            </w:r>
          </w:p>
        </w:tc>
      </w:tr>
      <w:tr>
        <w:tc>
          <w:tcPr>
            <w:tcW w:type="dxa" w:w="20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Social R[n×n]</w:t>
            </w:r>
          </w:p>
        </w:tc>
        <w:tc>
          <w:tcPr>
            <w:tcW w:type="dxa" w:w="36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person×person, ≥ 0, directed</w:t>
            </w:r>
          </w:p>
        </w:tc>
        <w:tc>
          <w:tcPr>
            <w:tcW w:type="dxa" w:w="3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Zero diagonal by default; self-ties only under declared self-loop convention.</w:t>
            </w:r>
          </w:p>
        </w:tc>
      </w:tr>
      <w:tr>
        <w:tc>
          <w:tcPr>
            <w:tcW w:type="dxa" w:w="20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X_ita (optional)</w:t>
            </w:r>
          </w:p>
        </w:tc>
        <w:tc>
          <w:tcPr>
            <w:tcW w:type="dxa" w:w="36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person-specific coding evidence</w:t>
            </w:r>
          </w:p>
        </w:tc>
        <w:tc>
          <w:tcPr>
            <w:tcW w:type="dxa" w:w="3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Presence is the switch that unlocks “contribution” wording.</w:t>
            </w:r>
          </w:p>
        </w:tc>
      </w:tr>
    </w:tbl>
    <w:p>
      <w:pPr>
        <w:pStyle w:val="Heading2"/>
      </w:pPr>
      <w:r>
        <w:t xml:space="preserve">4.2  Risks to flag</w:t>
      </w:r>
    </w:p>
    <w:p>
      <w:pPr>
        <w:pStyle w:val="ListParagraph"/>
        <w:numPr>
          <w:ilvl w:val="0"/>
          <w:numId w:val="2"/>
        </w:numPr>
        <w:spacing w:after="60" w:line="264"/>
      </w:pPr>
      <w:r>
        <w:rPr>
          <w:b/>
          <w:bCs/>
        </w:rPr>
        <w:t xml:space="preserve">Ambiguous person IDs. </w:t>
      </w:r>
      <w:r>
        <w:t xml:space="preserve">layout.ts already probes multiple id fields (personId/person/unit/unitId/id) — a sign IDs are not canonical. Enforce one canonical key.</w:t>
      </w:r>
    </w:p>
    <w:p>
      <w:pPr>
        <w:pStyle w:val="ListParagraph"/>
        <w:numPr>
          <w:ilvl w:val="0"/>
          <w:numId w:val="2"/>
        </w:numPr>
        <w:spacing w:after="60" w:line="264"/>
      </w:pPr>
      <w:r>
        <w:rPr>
          <w:b/>
          <w:bCs/>
        </w:rPr>
        <w:t xml:space="preserve">Codebook versioning. </w:t>
      </w:r>
      <w:r>
        <w:t xml:space="preserve">No evidence codes carry a codebook version; mixing versions silently corrupts W and B.</w:t>
      </w:r>
    </w:p>
    <w:p>
      <w:pPr>
        <w:pStyle w:val="ListParagraph"/>
        <w:numPr>
          <w:ilvl w:val="0"/>
          <w:numId w:val="2"/>
        </w:numPr>
        <w:spacing w:after="60" w:line="264"/>
      </w:pPr>
      <w:r>
        <w:rPr>
          <w:b/>
          <w:bCs/>
        </w:rPr>
        <w:t xml:space="preserve">Window definition drift. </w:t>
      </w:r>
      <w:r>
        <w:t xml:space="preserve">Multiple windowing modes exist (fixed / moving / radius); the active definition must be recorded per dataset and shown.</w:t>
      </w:r>
    </w:p>
    <w:p>
      <w:pPr>
        <w:pStyle w:val="ListParagraph"/>
        <w:numPr>
          <w:ilvl w:val="0"/>
          <w:numId w:val="2"/>
        </w:numPr>
        <w:spacing w:after="60" w:line="264"/>
      </w:pPr>
      <w:r>
        <w:rPr>
          <w:b/>
          <w:bCs/>
        </w:rPr>
        <w:t xml:space="preserve">Raw vs normalized mixing. </w:t>
      </w:r>
      <w:r>
        <w:t xml:space="preserve">Keep raw and normalized matrices as distinct, labelled fields (the fingerprint layer already separates raw/normalized — extend this discipline everywhere).</w:t>
      </w:r>
    </w:p>
    <w:p>
      <w:pPr>
        <w:pStyle w:val="ListParagraph"/>
        <w:numPr>
          <w:ilvl w:val="0"/>
          <w:numId w:val="2"/>
        </w:numPr>
        <w:spacing w:after="60" w:line="264"/>
      </w:pPr>
      <w:r>
        <w:rPr>
          <w:b/>
          <w:bCs/>
        </w:rPr>
        <w:t xml:space="preserve">Missing edge→source audit trail. </w:t>
      </w:r>
      <w:r>
        <w:t xml:space="preserve">Every fused edge should be traceable to the coded segments / interactions that produced it; this does not exist yet.</w:t>
      </w:r>
    </w:p>
    <w:p>
      <w:pPr>
        <w:pStyle w:val="ListParagraph"/>
        <w:numPr>
          <w:ilvl w:val="0"/>
          <w:numId w:val="2"/>
        </w:numPr>
        <w:spacing w:after="60" w:line="264"/>
      </w:pPr>
      <w:r>
        <w:rPr>
          <w:b/>
          <w:bCs/>
        </w:rPr>
        <w:t xml:space="preserve">Dataset versioning &amp; import/export schema. </w:t>
      </w:r>
      <w:r>
        <w:t xml:space="preserve">Runtime bundles exist, but a first-class, versioned dataset artifact with an import/export JSON schema should be the unit of reproducibility.</w:t>
      </w:r>
    </w:p>
    <w:p>
      <w:pPr>
        <w:pStyle w:val="Heading2"/>
      </w:pPr>
      <w:r>
        <w:t xml:space="preserve">4.3  Recommended API / service boundaries for the rebuild</w:t>
      </w:r>
    </w:p>
    <w:p>
      <w:pPr>
        <w:spacing w:after="120" w:line="276"/>
      </w:pPr>
      <w:r>
        <w:t xml:space="preserve">Keep the current Next.js route surface, but re-express the analytics as pure, testable services behind stable endpoints. Suggested boundaries: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160"/>
        <w:gridCol w:w="2700"/>
      </w:tblGrid>
      <w:tr>
        <w:trPr>
          <w:tblHeader/>
        </w:trPr>
        <w:tc>
          <w:tcPr>
            <w:tcW w:type="dxa" w:w="25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Endpoint / service</w:t>
            </w:r>
          </w:p>
        </w:tc>
        <w:tc>
          <w:tcPr>
            <w:tcW w:type="dxa" w:w="416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Responsibility</w:t>
            </w:r>
          </w:p>
        </w:tc>
        <w:tc>
          <w:tcPr>
            <w:tcW w:type="dxa" w:w="27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Returns</w:t>
            </w:r>
          </w:p>
        </w:tc>
      </w:tr>
      <w:tr>
        <w:tc>
          <w:tcPr>
            <w:tcW w:type="dxa" w:w="2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POST /api/dataset</w:t>
            </w:r>
          </w:p>
        </w:tc>
        <w:tc>
          <w:tcPr>
            <w:tcW w:type="dxa" w:w="41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Validate + version an ingested dataset against the data contract.</w:t>
            </w:r>
          </w:p>
        </w:tc>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datasetId, schemaVersion, validation report</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POST /api/layers</w:t>
            </w:r>
          </w:p>
        </w:tc>
        <w:tc>
          <w:tcPr>
            <w:tcW w:type="dxa" w:w="41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Build S, W, B (and directed variants) from R, X, Y.</w:t>
            </w:r>
          </w:p>
        </w:tc>
        <w:tc>
          <w:tcPr>
            <w:tcW w:type="dxa" w:w="2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raw + provenance</w:t>
            </w:r>
          </w:p>
        </w:tc>
      </w:tr>
      <w:tr>
        <w:tc>
          <w:tcPr>
            <w:tcW w:type="dxa" w:w="2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POST /api/normalize</w:t>
            </w:r>
          </w:p>
        </w:tc>
        <w:tc>
          <w:tcPr>
            <w:tcW w:type="dxa" w:w="41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Admissible normalization with axiom checks.</w:t>
            </w:r>
          </w:p>
        </w:tc>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normalized layers + {rule, divisor, scale_invariant}</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POST /api/fusion</w:t>
            </w:r>
          </w:p>
        </w:tc>
        <w:tc>
          <w:tcPr>
            <w:tcW w:type="dxa" w:w="41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Assemble A_fusion / A_fusion^dir / A_fusion(t).</w:t>
            </w:r>
          </w:p>
        </w:tc>
        <w:tc>
          <w:tcPr>
            <w:tcW w:type="dxa" w:w="2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block matrix + labels + tag</w:t>
            </w:r>
          </w:p>
        </w:tc>
      </w:tr>
      <w:tr>
        <w:tc>
          <w:tcPr>
            <w:tcW w:type="dxa" w:w="2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POST /api/operators</w:t>
            </w:r>
          </w:p>
        </w:tc>
        <w:tc>
          <w:tcPr>
            <w:tcW w:type="dxa" w:w="41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Degrees, I₀, L, L_sym, L_rw under declared conventions.</w:t>
            </w:r>
          </w:p>
        </w:tc>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operators + spectrum + convention</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POST /api/embedding</w:t>
            </w:r>
          </w:p>
        </w:tc>
        <w:tc>
          <w:tcPr>
            <w:tcW w:type="dxa" w:w="41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EMBED via eigenmaps / MDS+Schoenberg / commute-time.</w:t>
            </w:r>
          </w:p>
        </w:tc>
        <w:tc>
          <w:tcPr>
            <w:tcW w:type="dxa" w:w="2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Z + {Φ,δ,d,seed,exact,stress}</w:t>
            </w:r>
          </w:p>
        </w:tc>
      </w:tr>
      <w:tr>
        <w:tc>
          <w:tcPr>
            <w:tcW w:type="dxa" w:w="2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POST /api/attribution</w:t>
            </w:r>
          </w:p>
        </w:tc>
        <w:tc>
          <w:tcPr>
            <w:tcW w:type="dxa" w:w="41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G and Đ slices with wording rules.</w:t>
            </w:r>
          </w:p>
        </w:tc>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tensors + variant + bounds</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POST /api/centrality</w:t>
            </w:r>
          </w:p>
        </w:tc>
        <w:tc>
          <w:tcPr>
            <w:tcW w:type="dxa" w:w="41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Four typed families.</w:t>
            </w:r>
          </w:p>
        </w:tc>
        <w:tc>
          <w:tcPr>
            <w:tcW w:type="dxa" w:w="2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per-family scores + scale disclosure</w:t>
            </w:r>
          </w:p>
        </w:tc>
      </w:tr>
      <w:tr>
        <w:tc>
          <w:tcPr>
            <w:tcW w:type="dxa" w:w="2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POST /api/temporal</w:t>
            </w:r>
          </w:p>
        </w:tc>
        <w:tc>
          <w:tcPr>
            <w:tcW w:type="dxa" w:w="41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A(t) deltas under a norm policy.</w:t>
            </w:r>
          </w:p>
        </w:tc>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distances + policy + significance</w:t>
            </w:r>
          </w:p>
        </w:tc>
      </w:tr>
      <w:tr>
        <w:tc>
          <w:tcPr>
            <w:tcW w:type="dxa" w:w="2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POST /api/validate</w:t>
            </w:r>
          </w:p>
        </w:tc>
        <w:tc>
          <w:tcPr>
            <w:tcW w:type="dxa" w:w="41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Null models, permutation, bootstrap, sensitivity.</w:t>
            </w:r>
          </w:p>
        </w:tc>
        <w:tc>
          <w:tcPr>
            <w:tcW w:type="dxa" w:w="2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obs, p, n_perm, seed, null_model</w:t>
            </w:r>
          </w:p>
        </w:tc>
      </w:tr>
      <w:tr>
        <w:tc>
          <w:tcPr>
            <w:tcW w:type="dxa" w:w="2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GET /api/model-card/:viewId</w:t>
            </w:r>
          </w:p>
        </w:tc>
        <w:tc>
          <w:tcPr>
            <w:tcW w:type="dxa" w:w="41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Assemble items 1–10; gate rendering.</w:t>
            </w:r>
          </w:p>
        </w:tc>
        <w:tc>
          <w:tcPr>
            <w:tcW w:type="dxa" w:w="2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model card or 409 if incomplete</w:t>
            </w:r>
          </w:p>
        </w:tc>
      </w:tr>
    </w:tbl>
    <w:p>
      <w:r>
        <w:br w:type="page"/>
      </w:r>
    </w:p>
    <w:p>
      <w:pPr>
        <w:pStyle w:val="Heading1"/>
      </w:pPr>
      <w:r>
        <w:t xml:space="preserve">5. Visualization and UX Issues</w:t>
      </w:r>
    </w:p>
    <w:p>
      <w:pPr>
        <w:spacing w:after="120" w:line="276"/>
      </w:pPr>
      <w:r>
        <w:t xml:space="preserve">Reviewed as a learning-analytics product: where can a well-intentioned user read something the math does not support? The overarching risk is that the interface currently invites metric readings of a non-metric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060"/>
        <w:gridCol w:w="3400"/>
      </w:tblGrid>
      <w:tr>
        <w:trPr>
          <w:tblHeader/>
        </w:trPr>
        <w:tc>
          <w:tcPr>
            <w:tcW w:type="dxa" w:w="19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UI element</w:t>
            </w:r>
          </w:p>
        </w:tc>
        <w:tc>
          <w:tcPr>
            <w:tcW w:type="dxa" w:w="406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How it can mislead today</w:t>
            </w:r>
          </w:p>
        </w:tc>
        <w:tc>
          <w:tcPr>
            <w:tcW w:type="dxa" w:w="34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Fix</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Ring / overlay layout</w:t>
            </w:r>
          </w:p>
        </w:tc>
        <w:tc>
          <w:tcPr>
            <w:tcW w:type="dxa" w:w="4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Outer social ring + inner ENA space invite reading person–code distance and angle as meaning.</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Demote to “exploratory layout” with a permanent non-metric badge; make the joint embedding the default analytical view.</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Graph distance</w:t>
            </w:r>
          </w:p>
        </w:tc>
        <w:tc>
          <w:tcPr>
            <w:tcW w:type="dxa" w:w="40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Distances come from the ENA projection, not a joint model; no exactness/stress shown.</w:t>
            </w:r>
          </w:p>
        </w:tc>
        <w:tc>
          <w:tcPr>
            <w:tcW w:type="dxa" w:w="34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Show operator, δ, d, seed and “exact” or numeric stress next to any person–code distance.</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Person–code proximity</w:t>
            </w:r>
          </w:p>
        </w:tc>
        <w:tc>
          <w:tcPr>
            <w:tcW w:type="dxa" w:w="4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Proximity currently reflects ENA placement, not A_fusion.</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Recompute from EMBED(A_fusion); label the operator.</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Centrality rankings</w:t>
            </w:r>
          </w:p>
        </w:tc>
        <w:tc>
          <w:tcPr>
            <w:tcW w:type="dxa" w:w="40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Betweenness on S block framed as importance; risk of mixing types.</w:t>
            </w:r>
          </w:p>
        </w:tc>
        <w:tc>
          <w:tcPr>
            <w:tcW w:type="dxa" w:w="34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Four typed families; whole-graph tagged “position, not type-free importance.”</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Group comparisons</w:t>
            </w:r>
          </w:p>
        </w:tc>
        <w:tc>
          <w:tcPr>
            <w:tcW w:type="dxa" w:w="4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Differences shown without always foregrounding the null model / p-value.</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Attach p, n_perm, seed, null-model name to every group claim.</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Temporal comparisons</w:t>
            </w:r>
          </w:p>
        </w:tc>
        <w:tc>
          <w:tcPr>
            <w:tcW w:type="dxa" w:w="40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Per-time normalization hides magnitude changes.</w:t>
            </w:r>
          </w:p>
        </w:tc>
        <w:tc>
          <w:tcPr>
            <w:tcW w:type="dxa" w:w="34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Show the norm policy; label “structural change only” when per-time.</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Attribution heatmaps</w:t>
            </w:r>
          </w:p>
        </w:tc>
        <w:tc>
          <w:tcPr>
            <w:tcW w:type="dxa" w:w="4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“Contribution” wording overstates person-level evidence.</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Default “association/exposure”; unlock “contribution” only with X_ita.</w:t>
            </w:r>
          </w:p>
        </w:tc>
      </w:tr>
      <w:tr>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Isolated nodes</w:t>
            </w:r>
          </w:p>
        </w:tc>
        <w:tc>
          <w:tcPr>
            <w:tcW w:type="dxa" w:w="40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Judged on S block; bridge-connected persons can be mis-shown as alone.</w:t>
            </w:r>
          </w:p>
        </w:tc>
        <w:tc>
          <w:tcPr>
            <w:tcW w:type="dxa" w:w="34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I₀ panel from A_fusion; draw isolated nodes dimmed, never drop.</w:t>
            </w:r>
          </w:p>
        </w:tc>
      </w:tr>
      <w:tr>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Export figures / share links</w:t>
            </w:r>
          </w:p>
        </w:tc>
        <w:tc>
          <w:tcPr>
            <w:tcW w:type="dxa" w:w="40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Can travel without their assumptions.</w:t>
            </w:r>
          </w:p>
        </w:tc>
        <w:tc>
          <w:tcPr>
            <w:tcW w:type="dxa" w:w="34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Embed the model card in every export/share; block if incomplete.</w:t>
            </w:r>
          </w:p>
        </w:tc>
      </w:tr>
    </w:tbl>
    <w:p>
      <w:pPr>
        <w:pStyle w:val="Heading2"/>
      </w:pPr>
      <w:r>
        <w:t xml:space="preserve">5.1  Exact badge text to implement</w:t>
      </w:r>
    </w:p>
    <w:p>
      <w:pPr>
        <w:spacing w:after="120" w:line="276"/>
      </w:pPr>
      <w:r>
        <w:t xml:space="preserve">Short, declarative, and placed adjacent to the object they qualify:</w:t>
      </w:r>
    </w:p>
    <w:p>
      <w:pPr>
        <w:pStyle w:val="ListParagraph"/>
        <w:numPr>
          <w:ilvl w:val="0"/>
          <w:numId w:val="2"/>
        </w:numPr>
        <w:spacing w:after="60" w:line="264"/>
      </w:pPr>
      <w:r>
        <w:rPr>
          <w:i/>
          <w:iCs/>
        </w:rPr>
        <w:t xml:space="preserve">“Exploratory layout — distances are not metric.”</w:t>
      </w:r>
      <w:r>
        <w:t xml:space="preserve">  (on the ring/overlay view)</w:t>
      </w:r>
    </w:p>
    <w:p>
      <w:pPr>
        <w:pStyle w:val="ListParagraph"/>
        <w:numPr>
          <w:ilvl w:val="0"/>
          <w:numId w:val="2"/>
        </w:numPr>
        <w:spacing w:after="60" w:line="264"/>
      </w:pPr>
      <w:r>
        <w:rPr>
          <w:i/>
          <w:iCs/>
        </w:rPr>
        <w:t xml:space="preserve">“Joint embedding computed from A_fusion.”</w:t>
      </w:r>
      <w:r>
        <w:t xml:space="preserve">  (on the analytical embedding; add operator + d + seed)</w:t>
      </w:r>
    </w:p>
    <w:p>
      <w:pPr>
        <w:pStyle w:val="ListParagraph"/>
        <w:numPr>
          <w:ilvl w:val="0"/>
          <w:numId w:val="2"/>
        </w:numPr>
        <w:spacing w:after="60" w:line="264"/>
      </w:pPr>
      <w:r>
        <w:rPr>
          <w:i/>
          <w:iCs/>
        </w:rPr>
        <w:t xml:space="preserve">“Direction collapsed by symmetrization.”</w:t>
      </w:r>
      <w:r>
        <w:t xml:space="preserve">  (permanent, whenever symmetrized mode is active)</w:t>
      </w:r>
    </w:p>
    <w:p>
      <w:pPr>
        <w:pStyle w:val="ListParagraph"/>
        <w:numPr>
          <w:ilvl w:val="0"/>
          <w:numId w:val="2"/>
        </w:numPr>
        <w:spacing w:after="60" w:line="264"/>
      </w:pPr>
      <w:r>
        <w:rPr>
          <w:i/>
          <w:iCs/>
        </w:rPr>
        <w:t xml:space="preserve">“Association/exposure only; contribution requires person-specific evidence.”</w:t>
      </w:r>
      <w:r>
        <w:t xml:space="preserve">  (on attribution unless X_ita present)</w:t>
      </w:r>
    </w:p>
    <w:p>
      <w:pPr>
        <w:pStyle w:val="ListParagraph"/>
        <w:numPr>
          <w:ilvl w:val="0"/>
          <w:numId w:val="2"/>
        </w:numPr>
        <w:spacing w:after="60" w:line="264"/>
      </w:pPr>
      <w:r>
        <w:rPr>
          <w:i/>
          <w:iCs/>
        </w:rPr>
        <w:t xml:space="preserve">“Approximate embedding; stress = 0.xx.”</w:t>
      </w:r>
      <w:r>
        <w:t xml:space="preserve">  (on any truncated/inexact embedding; show the number)</w:t>
      </w:r>
    </w:p>
    <w:p>
      <w:pPr>
        <w:pStyle w:val="ListParagraph"/>
        <w:numPr>
          <w:ilvl w:val="0"/>
          <w:numId w:val="2"/>
        </w:numPr>
        <w:spacing w:after="60" w:line="264"/>
      </w:pPr>
      <w:r>
        <w:rPr>
          <w:i/>
          <w:iCs/>
        </w:rPr>
        <w:t xml:space="preserve">“Exact metric (commute-time, full rank).”</w:t>
      </w:r>
      <w:r>
        <w:t xml:space="preserve">  (when Proposition 5 is satisfied)</w:t>
      </w:r>
    </w:p>
    <w:p>
      <w:pPr>
        <w:spacing w:after="120" w:line="276"/>
      </w:pPr>
      <w:r>
        <w:rPr>
          <w:b/>
          <w:bCs/>
        </w:rPr>
        <w:t xml:space="preserve">Design principle. </w:t>
      </w:r>
      <w:r>
        <w:t xml:space="preserve">Make conventions visible without overwhelming: one badge per object, plus a single expandable “Model card” affordance per view. Users who don’t care see a clean picture with a small badge; reviewers who do care get the full disclosure in one click.</w:t>
      </w:r>
    </w:p>
    <w:p>
      <w:r>
        <w:br w:type="page"/>
      </w:r>
    </w:p>
    <w:p>
      <w:pPr>
        <w:pStyle w:val="Heading1"/>
      </w:pPr>
      <w:r>
        <w:t xml:space="preserve">6. Testing and Verification Gaps</w:t>
      </w:r>
    </w:p>
    <w:p>
      <w:pPr>
        <w:spacing w:after="120" w:line="276"/>
      </w:pPr>
      <w:r>
        <w:rPr>
          <w:b/>
          <w:bCs/>
        </w:rPr>
        <w:t xml:space="preserve">Today’s gap. </w:t>
      </w:r>
      <w:r>
        <w:t xml:space="preserve">The suite is large but aimed at routes, auth, and enterprise ops. The analytics have essentially no regression protection, and the normative worked example is not encoded. The single highest-leverage testing action is to build the golden-test harness first (Week 1–2), so all later math work is verified against fixed numbers.</w:t>
      </w:r>
    </w:p>
    <w:p>
      <w:pPr>
        <w:pStyle w:val="Heading2"/>
      </w:pPr>
      <w:r>
        <w:t xml:space="preserve">6.1  Golden regression fixture (the worked example)</w:t>
      </w:r>
    </w:p>
    <w:p>
      <w:pPr>
        <w:spacing w:after="120" w:line="276"/>
      </w:pPr>
      <w:r>
        <w:t xml:space="preserve">Encode S = [[0,4,0],[4,0,1],[0,1,0]], W = [[0,3,1],[3,0,2],[1,2,0]], B = [[2,1,0],[0,2,1],[0,0,3]], norm = max, α=β=γ=1 once, and assert against it everywhere. Target numbers are fixed by the spec.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5560"/>
        <w:gridCol w:w="1700"/>
      </w:tblGrid>
      <w:tr>
        <w:trPr>
          <w:tblHeader/>
        </w:trPr>
        <w:tc>
          <w:tcPr>
            <w:tcW w:type="dxa" w:w="21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Test</w:t>
            </w:r>
          </w:p>
        </w:tc>
        <w:tc>
          <w:tcPr>
            <w:tcW w:type="dxa" w:w="556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Asserts</w:t>
            </w:r>
          </w:p>
        </w:tc>
        <w:tc>
          <w:tcPr>
            <w:tcW w:type="dxa" w:w="17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Layer</w:t>
            </w:r>
          </w:p>
        </w:tc>
      </w:tr>
      <w:tr>
        <w:tc>
          <w:tcPr>
            <w:tcW w:type="dxa" w:w="2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T1 A_fusion</w:t>
            </w:r>
          </w:p>
        </w:tc>
        <w:tc>
          <w:tcPr>
            <w:tcW w:type="dxa" w:w="5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Exact 6×6 fused matrix (fractions in the spec).</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M4</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T2 Degrees</w:t>
            </w:r>
          </w:p>
        </w:tc>
        <w:tc>
          <w:tcPr>
            <w:tcW w:type="dxa" w:w="5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d = (2, 2.25, 1.25, 2, 2.667, 2.333) from A_fusion.</w:t>
            </w:r>
          </w:p>
        </w:tc>
        <w:tc>
          <w:tcPr>
            <w:tcW w:type="dxa" w:w="1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M5</w:t>
            </w:r>
          </w:p>
        </w:tc>
      </w:tr>
      <w:tr>
        <w:tc>
          <w:tcPr>
            <w:tcW w:type="dxa" w:w="2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T3 Laplacian spectrum</w:t>
            </w:r>
          </w:p>
        </w:tc>
        <w:tc>
          <w:tcPr>
            <w:tcW w:type="dxa" w:w="5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eig(L) = {0,0.88,1.88,2.61,3.31,3.81}; PSD; one zero.</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M5</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T4 Bridge keeps P3</w:t>
            </w:r>
          </w:p>
        </w:tc>
        <w:tc>
          <w:tcPr>
            <w:tcW w:type="dxa" w:w="5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social deg 1 but fused deg 1.25; P3 ∉ I₀.</w:t>
            </w:r>
          </w:p>
        </w:tc>
        <w:tc>
          <w:tcPr>
            <w:tcW w:type="dxa" w:w="1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M5</w:t>
            </w:r>
          </w:p>
        </w:tc>
      </w:tr>
      <w:tr>
        <w:tc>
          <w:tcPr>
            <w:tcW w:type="dxa" w:w="2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T5 Unused code</w:t>
            </w:r>
          </w:p>
        </w:tc>
        <w:tc>
          <w:tcPr>
            <w:tcW w:type="dxa" w:w="5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add c4: d(c4)=0; L PSD; exactly two zero eigenvalues.</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M5</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T6 zero-inverse</w:t>
            </w:r>
          </w:p>
        </w:tc>
        <w:tc>
          <w:tcPr>
            <w:tcW w:type="dxa" w:w="5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eig(L_sym) ⊆ [0,2].</w:t>
            </w:r>
          </w:p>
        </w:tc>
        <w:tc>
          <w:tcPr>
            <w:tcW w:type="dxa" w:w="1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M5</w:t>
            </w:r>
          </w:p>
        </w:tc>
      </w:tr>
      <w:tr>
        <w:tc>
          <w:tcPr>
            <w:tcW w:type="dxa" w:w="2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T7 ε-convention</w:t>
            </w:r>
          </w:p>
        </w:tc>
        <w:tc>
          <w:tcPr>
            <w:tcW w:type="dxa" w:w="5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row of I − D_ε⁻¹A at c4 → identity as ε→0⁺.</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M5</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T8 directed indefinite</w:t>
            </w:r>
          </w:p>
        </w:tc>
        <w:tc>
          <w:tcPr>
            <w:tcW w:type="dxa" w:w="5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min eig sym(D_out − A_dir) = −0.218 &lt; 0.</w:t>
            </w:r>
          </w:p>
        </w:tc>
        <w:tc>
          <w:tcPr>
            <w:tcW w:type="dxa" w:w="1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M5</w:t>
            </w:r>
          </w:p>
        </w:tc>
      </w:tr>
      <w:tr>
        <w:tc>
          <w:tcPr>
            <w:tcW w:type="dxa" w:w="2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T9 row-stochastic</w:t>
            </w:r>
          </w:p>
        </w:tc>
        <w:tc>
          <w:tcPr>
            <w:tcW w:type="dxa" w:w="5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 = D_out⁻¹A row-stochastic on V₊; |eig(P)| ≤ 1.</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M5</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T10 Schoenberg/MDS</w:t>
            </w:r>
          </w:p>
        </w:tc>
        <w:tc>
          <w:tcPr>
            <w:tcW w:type="dxa" w:w="5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min eig(K) = −1.637 ⇒ exact=false; rank-2 max distortion 0.718; stress reported.</w:t>
            </w:r>
          </w:p>
        </w:tc>
        <w:tc>
          <w:tcPr>
            <w:tcW w:type="dxa" w:w="1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M6</w:t>
            </w:r>
          </w:p>
        </w:tc>
      </w:tr>
      <w:tr>
        <w:tc>
          <w:tcPr>
            <w:tcW w:type="dxa" w:w="2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T11 commute-time</w:t>
            </w:r>
          </w:p>
        </w:tc>
        <w:tc>
          <w:tcPr>
            <w:tcW w:type="dxa" w:w="5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max | ‖Z_u−Z_v‖² − C(u,v) | &lt; 1e-9 on all 9 pairs.</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M6</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T12 G slices</w:t>
            </w:r>
          </w:p>
        </w:tc>
        <w:tc>
          <w:tcPr>
            <w:tcW w:type="dxa" w:w="5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G_i PSD; Σ_i G_i = Xᵀ diag(P) X; window-normalized Y ⇒ offdiag = W.</w:t>
            </w:r>
          </w:p>
        </w:tc>
        <w:tc>
          <w:tcPr>
            <w:tcW w:type="dxa" w:w="1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M7</w:t>
            </w:r>
          </w:p>
        </w:tc>
      </w:tr>
      <w:tr>
        <w:tc>
          <w:tcPr>
            <w:tcW w:type="dxa" w:w="2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T13 Đ bounds</w:t>
            </w:r>
          </w:p>
        </w:tc>
        <w:tc>
          <w:tcPr>
            <w:tcW w:type="dxa" w:w="5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Đ ≤ max_t X_ta X_tb; binary X ∈ [0,1]; zero-participation row → 0.</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M7</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T14 normalization axioms</w:t>
            </w:r>
          </w:p>
        </w:tc>
        <w:tc>
          <w:tcPr>
            <w:tcW w:type="dxa" w:w="5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N(0)=0; dims; nonneg; symmetry; divisor &gt; 0.</w:t>
            </w:r>
          </w:p>
        </w:tc>
        <w:tc>
          <w:tcPr>
            <w:tcW w:type="dxa" w:w="17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M3</w:t>
            </w:r>
          </w:p>
        </w:tc>
      </w:tr>
      <w:tr>
        <w:tc>
          <w:tcPr>
            <w:tcW w:type="dxa" w:w="2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T15 scale invariance</w:t>
            </w:r>
          </w:p>
        </w:tc>
        <w:tc>
          <w:tcPr>
            <w:tcW w:type="dxa" w:w="5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max/frob invariant to rescale; log flagged as variant.</w:t>
            </w:r>
          </w:p>
        </w:tc>
        <w:tc>
          <w:tcPr>
            <w:tcW w:type="dxa" w:w="17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M3</w:t>
            </w:r>
          </w:p>
        </w:tc>
      </w:tr>
    </w:tbl>
    <w:p>
      <w:pPr>
        <w:pStyle w:val="Heading2"/>
      </w:pPr>
      <w:r>
        <w:t xml:space="preserve">6.2  Test strategy by layer</w:t>
      </w:r>
    </w:p>
    <w:p>
      <w:pPr>
        <w:pStyle w:val="ListParagraph"/>
        <w:numPr>
          <w:ilvl w:val="0"/>
          <w:numId w:val="2"/>
        </w:numPr>
        <w:spacing w:after="60" w:line="264"/>
      </w:pPr>
      <w:r>
        <w:rPr>
          <w:b/>
          <w:bCs/>
        </w:rPr>
        <w:t xml:space="preserve">Unit — layer construction (M2): </w:t>
      </w:r>
      <w:r>
        <w:t xml:space="preserve">W = XᵀX symmetric PSD before the zero-diagonal step; B = YX nonnegative with correct dims; directed builder keeps asymmetry.</w:t>
      </w:r>
    </w:p>
    <w:p>
      <w:pPr>
        <w:pStyle w:val="ListParagraph"/>
        <w:numPr>
          <w:ilvl w:val="0"/>
          <w:numId w:val="2"/>
        </w:numPr>
        <w:spacing w:after="60" w:line="264"/>
      </w:pPr>
      <w:r>
        <w:rPr>
          <w:b/>
          <w:bCs/>
        </w:rPr>
        <w:t xml:space="preserve">Property — normalization (M3): </w:t>
      </w:r>
      <w:r>
        <w:t xml:space="preserve">the five admissibility axioms as property tests over random nonnegative matrices, plus scale-invariance.</w:t>
      </w:r>
    </w:p>
    <w:p>
      <w:pPr>
        <w:pStyle w:val="ListParagraph"/>
        <w:numPr>
          <w:ilvl w:val="0"/>
          <w:numId w:val="2"/>
        </w:numPr>
        <w:spacing w:after="60" w:line="264"/>
      </w:pPr>
      <w:r>
        <w:rPr>
          <w:b/>
          <w:bCs/>
        </w:rPr>
        <w:t xml:space="preserve">Unit — fusion (M4): </w:t>
      </w:r>
      <w:r>
        <w:t xml:space="preserve">block placement, symmetry in undirected mode, A ≠ Aᵀ allowed and tagged in directed mode.</w:t>
      </w:r>
    </w:p>
    <w:p>
      <w:pPr>
        <w:pStyle w:val="ListParagraph"/>
        <w:numPr>
          <w:ilvl w:val="0"/>
          <w:numId w:val="2"/>
        </w:numPr>
        <w:spacing w:after="60" w:line="264"/>
      </w:pPr>
      <w:r>
        <w:rPr>
          <w:b/>
          <w:bCs/>
        </w:rPr>
        <w:t xml:space="preserve">Unit — operators (M5): </w:t>
      </w:r>
      <w:r>
        <w:t xml:space="preserve">PSD Laplacian, spectra ranges, all three zero-degree conventions, isolated-node retention.</w:t>
      </w:r>
    </w:p>
    <w:p>
      <w:pPr>
        <w:pStyle w:val="ListParagraph"/>
        <w:numPr>
          <w:ilvl w:val="0"/>
          <w:numId w:val="2"/>
        </w:numPr>
        <w:spacing w:after="60" w:line="264"/>
      </w:pPr>
      <w:r>
        <w:rPr>
          <w:b/>
          <w:bCs/>
        </w:rPr>
        <w:t xml:space="preserve">Unit — embedding (M6): </w:t>
      </w:r>
      <w:r>
        <w:t xml:space="preserve">Schoenberg exactness iff-condition; commute-time exactness at full rank; stress computed whenever truncated.</w:t>
      </w:r>
    </w:p>
    <w:p>
      <w:pPr>
        <w:pStyle w:val="ListParagraph"/>
        <w:numPr>
          <w:ilvl w:val="0"/>
          <w:numId w:val="2"/>
        </w:numPr>
        <w:spacing w:after="60" w:line="264"/>
      </w:pPr>
      <w:r>
        <w:rPr>
          <w:b/>
          <w:bCs/>
        </w:rPr>
        <w:t xml:space="preserve">Unit — attribution (M7): </w:t>
      </w:r>
      <w:r>
        <w:t xml:space="preserve">G/Đ identities and bounds; wording gate keyed to X_ita presence.</w:t>
      </w:r>
    </w:p>
    <w:p>
      <w:pPr>
        <w:pStyle w:val="ListParagraph"/>
        <w:numPr>
          <w:ilvl w:val="0"/>
          <w:numId w:val="2"/>
        </w:numPr>
        <w:spacing w:after="60" w:line="264"/>
      </w:pPr>
      <w:r>
        <w:rPr>
          <w:b/>
          <w:bCs/>
        </w:rPr>
        <w:t xml:space="preserve">Contract — UI / model card: </w:t>
      </w:r>
      <w:r>
        <w:t xml:space="preserve">a view with an incomplete provenance record fails to render (returns 409 / blocked state).</w:t>
      </w:r>
    </w:p>
    <w:p>
      <w:pPr>
        <w:pStyle w:val="ListParagraph"/>
        <w:numPr>
          <w:ilvl w:val="0"/>
          <w:numId w:val="2"/>
        </w:numPr>
        <w:spacing w:after="60" w:line="264"/>
      </w:pPr>
      <w:r>
        <w:rPr>
          <w:b/>
          <w:bCs/>
        </w:rPr>
        <w:t xml:space="preserve">End-to-end golden: </w:t>
      </w:r>
      <w:r>
        <w:t xml:space="preserve">dataset → fusion → operators → embedding → model card reproduces every worked-example number.</w:t>
      </w:r>
    </w:p>
    <w:p>
      <w:pPr>
        <w:pStyle w:val="Heading2"/>
      </w:pPr>
      <w:r>
        <w:t xml:space="preserve">6.3  What must run in CI before every deploy</w:t>
      </w:r>
    </w:p>
    <w:p>
      <w:pPr>
        <w:spacing w:after="120" w:line="276"/>
      </w:pPr>
      <w:r>
        <w:t xml:space="preserve">Block deployment on: T1–T15 golden tests; the M3 admissibility property tests; the directed-vs-undirected guard tests; the model-card render-gate contract test; and the existing route/enterprise suite. Seeds are fixed and recorded so permutation/bootstrap p-values are reproducible. Fail-closed: a red golden test blocks release.</w:t>
      </w:r>
    </w:p>
    <w:p>
      <w:r>
        <w:br w:type="page"/>
      </w:r>
    </w:p>
    <w:p>
      <w:pPr>
        <w:pStyle w:val="Heading1"/>
      </w:pPr>
      <w:r>
        <w:t xml:space="preserve">7. Security, Privacy, and Research-Ethics Risks</w:t>
      </w:r>
    </w:p>
    <w:p>
      <w:pPr>
        <w:spacing w:after="120" w:line="276"/>
      </w:pPr>
      <w:r>
        <w:t xml:space="preserve">SENA ingests collaborative-learning discourse — frequently from students, i.e. potentially minors. Even as a proof-of-concept the following should be in place; several are cheap and high-value.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3560"/>
        <w:gridCol w:w="4050"/>
      </w:tblGrid>
      <w:tr>
        <w:trPr>
          <w:tblHeader/>
        </w:trPr>
        <w:tc>
          <w:tcPr>
            <w:tcW w:type="dxa" w:w="175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Area</w:t>
            </w:r>
          </w:p>
        </w:tc>
        <w:tc>
          <w:tcPr>
            <w:tcW w:type="dxa" w:w="356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Risk</w:t>
            </w:r>
          </w:p>
        </w:tc>
        <w:tc>
          <w:tcPr>
            <w:tcW w:type="dxa" w:w="405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Concrete recommendation (PoC-appropriate)</w:t>
            </w:r>
          </w:p>
        </w:tc>
      </w:tr>
      <w:tr>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Student data / minors</w:t>
            </w:r>
          </w:p>
        </w:tc>
        <w:tc>
          <w:tcPr>
            <w:tcW w:type="dxa" w:w="3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Discourse may involve minors; heightened duty of care.</w:t>
            </w:r>
          </w:p>
        </w:tc>
        <w:tc>
          <w:tcPr>
            <w:tcW w:type="dxa" w:w="40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Default to de-identified imports; never require real names; document a minors policy before any real classroom data.</w:t>
            </w:r>
          </w:p>
        </w:tc>
      </w:tr>
      <w:tr>
        <w:tc>
          <w:tcPr>
            <w:tcW w:type="dxa" w:w="17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PII in transcripts</w:t>
            </w:r>
          </w:p>
        </w:tc>
        <w:tc>
          <w:tcPr>
            <w:tcW w:type="dxa" w:w="3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Names, emails, identifying content inside discourse text.</w:t>
            </w:r>
          </w:p>
        </w:tc>
        <w:tc>
          <w:tcPr>
            <w:tcW w:type="dxa" w:w="40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PII scan + redaction at ingest; store pseudonymous personId; keep a separate, access-controlled re-identification map.</w:t>
            </w:r>
          </w:p>
        </w:tc>
      </w:tr>
      <w:tr>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Transcript storage</w:t>
            </w:r>
          </w:p>
        </w:tc>
        <w:tc>
          <w:tcPr>
            <w:tcW w:type="dxa" w:w="3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Raw discourse is sensitive; default file-backed store (.sena-enterprise) is a local adapter, not managed infra (per CONTEXT.md).</w:t>
            </w:r>
          </w:p>
        </w:tc>
        <w:tc>
          <w:tcPr>
            <w:tcW w:type="dxa" w:w="40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Encrypt at rest; document retention; do not treat the file store as production-grade for real data.</w:t>
            </w:r>
          </w:p>
        </w:tc>
      </w:tr>
      <w:tr>
        <w:tc>
          <w:tcPr>
            <w:tcW w:type="dxa" w:w="17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Consent</w:t>
            </w:r>
          </w:p>
        </w:tc>
        <w:tc>
          <w:tcPr>
            <w:tcW w:type="dxa" w:w="3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No visible consent artifact tied to datasets.</w:t>
            </w:r>
          </w:p>
        </w:tc>
        <w:tc>
          <w:tcPr>
            <w:tcW w:type="dxa" w:w="40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Attach a consent/approval record to each dataset; surface it in the model card (“data contract”).</w:t>
            </w:r>
          </w:p>
        </w:tc>
      </w:tr>
      <w:tr>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Anonymization</w:t>
            </w:r>
          </w:p>
        </w:tc>
        <w:tc>
          <w:tcPr>
            <w:tcW w:type="dxa" w:w="3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Pseudonymization not enforced by the data model.</w:t>
            </w:r>
          </w:p>
        </w:tc>
        <w:tc>
          <w:tcPr>
            <w:tcW w:type="dxa" w:w="40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Make pseudonymous IDs the only IDs the analytics see.</w:t>
            </w:r>
          </w:p>
        </w:tc>
      </w:tr>
      <w:tr>
        <w:tc>
          <w:tcPr>
            <w:tcW w:type="dxa" w:w="17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Audit logs</w:t>
            </w:r>
          </w:p>
        </w:tc>
        <w:tc>
          <w:tcPr>
            <w:tcW w:type="dxa" w:w="3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ops-audit.ts exists — good; ensure it covers data access, export, and re-identification.</w:t>
            </w:r>
          </w:p>
        </w:tc>
        <w:tc>
          <w:tcPr>
            <w:tcW w:type="dxa" w:w="40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Log who viewed/exported which dataset and when; make logs tamper-evident.</w:t>
            </w:r>
          </w:p>
        </w:tc>
      </w:tr>
      <w:tr>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Access control</w:t>
            </w:r>
          </w:p>
        </w:tc>
        <w:tc>
          <w:tcPr>
            <w:tcW w:type="dxa" w:w="3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RBAC exists in enterprise/access-control.ts.</w:t>
            </w:r>
          </w:p>
        </w:tc>
        <w:tc>
          <w:tcPr>
            <w:tcW w:type="dxa" w:w="40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Enforce least privilege on datasets and exports; verify roles gate re-identification.</w:t>
            </w:r>
          </w:p>
        </w:tc>
      </w:tr>
      <w:tr>
        <w:tc>
          <w:tcPr>
            <w:tcW w:type="dxa" w:w="17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Sharing / export links</w:t>
            </w:r>
          </w:p>
        </w:tc>
        <w:tc>
          <w:tcPr>
            <w:tcW w:type="dxa" w:w="3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Figures/exports can travel without assumptions or scope.</w:t>
            </w:r>
          </w:p>
        </w:tc>
        <w:tc>
          <w:tcPr>
            <w:tcW w:type="dxa" w:w="40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Embed the model card; scope/expire share links; record exports in the audit log.</w:t>
            </w:r>
          </w:p>
        </w:tc>
      </w:tr>
      <w:tr>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AI-coding reliability</w:t>
            </w:r>
          </w:p>
        </w:tc>
        <w:tc>
          <w:tcPr>
            <w:tcW w:type="dxa" w:w="3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If codes are AI-generated, unreliable coding propagates into S/W/B (spec Example 3).</w:t>
            </w:r>
          </w:p>
        </w:tc>
        <w:tc>
          <w:tcPr>
            <w:tcW w:type="dxa" w:w="40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Record coder (human/AI/model+version); require a human-review step and report reliability (e.g. κ).</w:t>
            </w:r>
          </w:p>
        </w:tc>
      </w:tr>
      <w:tr>
        <w:tc>
          <w:tcPr>
            <w:tcW w:type="dxa" w:w="17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Human review workflow</w:t>
            </w:r>
          </w:p>
        </w:tc>
        <w:tc>
          <w:tcPr>
            <w:tcW w:type="dxa" w:w="3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No explicit coding-review gate before analysis.</w:t>
            </w:r>
          </w:p>
        </w:tc>
        <w:tc>
          <w:tcPr>
            <w:tcW w:type="dxa" w:w="40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Block “publication-grade” claims until coding reliability + human review pass.</w:t>
            </w:r>
          </w:p>
        </w:tc>
      </w:tr>
      <w:tr>
        <w:tc>
          <w:tcPr>
            <w:tcW w:type="dxa" w:w="17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Data deletion</w:t>
            </w:r>
          </w:p>
        </w:tc>
        <w:tc>
          <w:tcPr>
            <w:tcW w:type="dxa" w:w="3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No visible per-subject deletion path.</w:t>
            </w:r>
          </w:p>
        </w:tc>
        <w:tc>
          <w:tcPr>
            <w:tcW w:type="dxa" w:w="40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Provide dataset and per-subject delete; propagate to derived artifacts and backups.</w:t>
            </w:r>
          </w:p>
        </w:tc>
      </w:tr>
      <w:tr>
        <w:tc>
          <w:tcPr>
            <w:tcW w:type="dxa" w:w="17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Compliance posture</w:t>
            </w:r>
          </w:p>
        </w:tc>
        <w:tc>
          <w:tcPr>
            <w:tcW w:type="dxa" w:w="3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Education-research expectations (FERPA/GDPR-style, IRB/ethics).</w:t>
            </w:r>
          </w:p>
        </w:tc>
        <w:tc>
          <w:tcPr>
            <w:tcW w:type="dxa" w:w="40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Keep an ethics/IRB reference and data-governance metadata on each dataset (report.ts already models governance — extend and enforce it).</w:t>
            </w:r>
          </w:p>
        </w:tc>
      </w:tr>
    </w:tbl>
    <w:p>
      <w:pPr>
        <w:spacing w:after="120" w:line="276"/>
      </w:pPr>
      <w:r>
        <w:rPr>
          <w:b/>
          <w:bCs/>
        </w:rPr>
        <w:t xml:space="preserve">Bottom line. </w:t>
      </w:r>
      <w:r>
        <w:t xml:space="preserve">The platform already has audit, RBAC, and governance metadata primitives — the work is to bind them to the dataset lifecycle and to the model card so that privacy posture travels with every figure, and to make de-identification the default rather than an option.</w:t>
      </w:r>
    </w:p>
    <w:p>
      <w:r>
        <w:br w:type="page"/>
      </w:r>
    </w:p>
    <w:p>
      <w:pPr>
        <w:pStyle w:val="Heading1"/>
      </w:pPr>
      <w:r>
        <w:t xml:space="preserve">8. Performance and Scalability Risks</w:t>
      </w:r>
    </w:p>
    <w:p>
      <w:pPr>
        <w:spacing w:after="120" w:line="276"/>
      </w:pPr>
      <w:r>
        <w:t xml:space="preserve">The new operators/embedding layer introduces the first real compute cost. Plan for it deliberately so correctness work does not create a latency regression.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3610"/>
        <w:gridCol w:w="3300"/>
      </w:tblGrid>
      <w:tr>
        <w:trPr>
          <w:tblHeader/>
        </w:trPr>
        <w:tc>
          <w:tcPr>
            <w:tcW w:type="dxa" w:w="245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Operation</w:t>
            </w:r>
          </w:p>
        </w:tc>
        <w:tc>
          <w:tcPr>
            <w:tcW w:type="dxa" w:w="361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Cost / bottleneck</w:t>
            </w:r>
          </w:p>
        </w:tc>
        <w:tc>
          <w:tcPr>
            <w:tcW w:type="dxa" w:w="33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Strategy</w:t>
            </w:r>
          </w:p>
        </w:tc>
      </w:tr>
      <w:tr>
        <w:tc>
          <w:tcPr>
            <w:tcW w:type="dxa" w:w="2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Dense A_fusion &amp; layers</w:t>
            </w:r>
          </w:p>
        </w:tc>
        <w:tc>
          <w:tcPr>
            <w:tcW w:type="dxa" w:w="36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(n+m)² memory; most blocks sparse in practice.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Sparse (CSR) representation; dense only for small n+m or final display.</w:t>
            </w:r>
          </w:p>
        </w:tc>
      </w:tr>
      <w:tr>
        <w:tc>
          <w:tcPr>
            <w:tcW w:type="dxa" w:w="24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Eigendecomposition (L, L_sym)</w:t>
            </w:r>
          </w:p>
        </w:tc>
        <w:tc>
          <w:tcPr>
            <w:tcW w:type="dxa" w:w="361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O(N³) dense.</w:t>
            </w:r>
          </w:p>
        </w:tc>
        <w:tc>
          <w:tcPr>
            <w:tcW w:type="dxa" w:w="3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Dense up to ~1–2k nodes; switch to sparse/partial eigensolvers (Lanczos, k smallest) beyond.</w:t>
            </w:r>
          </w:p>
        </w:tc>
      </w:tr>
      <w:tr>
        <w:tc>
          <w:tcPr>
            <w:tcW w:type="dxa" w:w="2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Commute-time pseudoinverse</w:t>
            </w:r>
          </w:p>
        </w:tc>
        <w:tc>
          <w:tcPr>
            <w:tcW w:type="dxa" w:w="36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L⁺ is O(N³) and dense (plan flags N &gt; ~3000).</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Restrict to connected V₊; use sparse / Nyström / low-rank approximation at scale; cache L⁺.</w:t>
            </w:r>
          </w:p>
        </w:tc>
      </w:tr>
      <w:tr>
        <w:tc>
          <w:tcPr>
            <w:tcW w:type="dxa" w:w="24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Graph distances (Dijkstra for MDS Δ)</w:t>
            </w:r>
          </w:p>
        </w:tc>
        <w:tc>
          <w:tcPr>
            <w:tcW w:type="dxa" w:w="361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All-pairs shortest path is O(N² log N)+.</w:t>
            </w:r>
          </w:p>
        </w:tc>
        <w:tc>
          <w:tcPr>
            <w:tcW w:type="dxa" w:w="3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Compute on demand for the active view; cache; prefer commute-time (exact) over repeated APSP.</w:t>
            </w:r>
          </w:p>
        </w:tc>
      </w:tr>
      <w:tr>
        <w:tc>
          <w:tcPr>
            <w:tcW w:type="dxa" w:w="2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Permutation / bootstrap</w:t>
            </w:r>
          </w:p>
        </w:tc>
        <w:tc>
          <w:tcPr>
            <w:tcW w:type="dxa" w:w="36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n_perm × statistic; already seeded in inference.ts.</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Background jobs (server-job-queue.ts exists); stream progress; cache by (data, seed, n_perm).</w:t>
            </w:r>
          </w:p>
        </w:tc>
      </w:tr>
      <w:tr>
        <w:tc>
          <w:tcPr>
            <w:tcW w:type="dxa" w:w="24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Temporal snapshots</w:t>
            </w:r>
          </w:p>
        </w:tc>
        <w:tc>
          <w:tcPr>
            <w:tcW w:type="dxa" w:w="361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One assembly + operators per window.</w:t>
            </w:r>
          </w:p>
        </w:tc>
        <w:tc>
          <w:tcPr>
            <w:tcW w:type="dxa" w:w="33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Precompute A(t) and spectra as artifacts; diff incrementally.</w:t>
            </w:r>
          </w:p>
        </w:tc>
      </w:tr>
      <w:tr>
        <w:tc>
          <w:tcPr>
            <w:tcW w:type="dxa" w:w="24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Large discourse datasets</w:t>
            </w:r>
          </w:p>
        </w:tc>
        <w:tc>
          <w:tcPr>
            <w:tcW w:type="dxa" w:w="361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Ingest + coding scale with transcript size.</w:t>
            </w:r>
          </w:p>
        </w:tc>
        <w:tc>
          <w:tcPr>
            <w:tcW w:type="dxa" w:w="33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Stream ingest; precompute layer matrices as versioned artifacts; paginate UI.</w:t>
            </w:r>
          </w:p>
        </w:tc>
      </w:tr>
    </w:tbl>
    <w:p>
      <w:pPr>
        <w:spacing w:after="120" w:line="276"/>
      </w:pPr>
      <w:r>
        <w:rPr>
          <w:b/>
          <w:bCs/>
        </w:rPr>
        <w:t xml:space="preserve">Rules of thumb. </w:t>
      </w:r>
      <w:r>
        <w:t xml:space="preserve">Dense + exact for the worked example and small pilots (correctness first); sparse + approximate only past a measured threshold, and always behind the same tested interface so results stay comparable. Precompute embeddings/spectra as cached artifacts keyed by (dataset version, config, seed); never recompute an eigendecomposition inside a UI render path.</w:t>
      </w:r>
    </w:p>
    <w:p>
      <w:r>
        <w:br w:type="page"/>
      </w:r>
    </w:p>
    <w:p>
      <w:pPr>
        <w:pStyle w:val="Heading1"/>
      </w:pPr>
      <w:r>
        <w:t xml:space="preserve">9. Three-Month Remediation Roadmap</w:t>
      </w:r>
    </w:p>
    <w:p>
      <w:pPr>
        <w:spacing w:after="120" w:line="276"/>
      </w:pPr>
      <w:r>
        <w:t xml:space="preserve">Twelve weeks, five phases, sequenced so that verification exists before the math it verifies, and faithfulness is built bottom-up (operators before embedding before attribution before UI). Phase numbering compresses the Development Plan’s P0–P4 into a 12-week window; the plan’s P5 beta/perf hardening is folded into Weeks 11–12 and flagged as the main schedule risk.</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3260"/>
        <w:gridCol w:w="1500"/>
        <w:gridCol w:w="2800"/>
      </w:tblGrid>
      <w:tr>
        <w:trPr>
          <w:tblHeader/>
        </w:trPr>
        <w:tc>
          <w:tcPr>
            <w:tcW w:type="dxa" w:w="15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Phase</w:t>
            </w:r>
          </w:p>
        </w:tc>
        <w:tc>
          <w:tcPr>
            <w:tcW w:type="dxa" w:w="19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Goal</w:t>
            </w:r>
          </w:p>
        </w:tc>
        <w:tc>
          <w:tcPr>
            <w:tcW w:type="dxa" w:w="326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Key tasks</w:t>
            </w:r>
          </w:p>
        </w:tc>
        <w:tc>
          <w:tcPr>
            <w:tcW w:type="dxa" w:w="15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Owner role</w:t>
            </w:r>
          </w:p>
        </w:tc>
        <w:tc>
          <w:tcPr>
            <w:tcW w:type="dxa" w:w="28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Exit criteria</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rPr>
              <w:t xml:space="preserve">Wk 1–2
Foundation</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Make the math testable and named consistently.</w:t>
            </w:r>
          </w:p>
        </w:tc>
        <w:tc>
          <w:tcPr>
            <w:tcW w:type="dxa" w:w="32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Golden-test harness (T1–T15 scaffolded); worked-example fixture; typed data contract; finish A_SENA→A_fusion naming sweep; CI wired to fail-closed.</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Senior/full-stack + math-literate reviewer</w:t>
            </w:r>
          </w:p>
        </w:tc>
        <w:tc>
          <w:tcPr>
            <w:tcW w:type="dxa" w:w="28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T1–T4 green (or precisely ticketed against the current engine); data-contract schema merged; CI blocks on golden tests.</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rPr>
              <w:t xml:space="preserve">Wk 3–5
Core engine</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Faithful layers, normalization, fusion, operators, direction.</w:t>
            </w:r>
          </w:p>
        </w:tc>
        <w:tc>
          <w:tcPr>
            <w:tcW w:type="dxa" w:w="32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M2 layer builders (directed variants); M3 admissible-normalization engine (+Frobenius, axiom asserts, provenance); M4 A_fusion / A_fusion^dir; M5 degrees/Laplacian/normalized operators with zero-degree conventions; isolated-node retention.</w:t>
            </w:r>
          </w:p>
        </w:tc>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Backend engineer + numerics reviewer</w:t>
            </w:r>
          </w:p>
        </w:tc>
        <w:tc>
          <w:tcPr>
            <w:tcW w:type="dxa" w:w="28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T1–T9, T14–T15 green; all displayed degrees/components computed from A_fusion; no silent symmetrization.</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rPr>
              <w:t xml:space="preserve">Wk 6–8
Embedding</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Real joint geometry with honesty about distortion.</w:t>
            </w:r>
          </w:p>
        </w:tc>
        <w:tc>
          <w:tcPr>
            <w:tcW w:type="dxa" w:w="32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M6 embedding service: Laplacian eigenmaps, classical MDS + Schoenberg check, commute-time; stress/strain readout; replace the ring-overlay analytical reading with EMBED(A_fusion).</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Numerics-focused engineer + frontend</w:t>
            </w:r>
          </w:p>
        </w:tc>
        <w:tc>
          <w:tcPr>
            <w:tcW w:type="dxa" w:w="28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T10–T11 green; fusion view runs off A_fusion; every visible person–code distance carries exact/stress metadata.</w:t>
            </w:r>
          </w:p>
        </w:tc>
      </w:tr>
      <w:tr>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rPr>
              <w:t xml:space="preserve">Wk 9–10
Attribution/typed</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Correct attribution, typed centrality, temporal, model-card prototype.</w:t>
            </w:r>
          </w:p>
        </w:tc>
        <w:tc>
          <w:tcPr>
            <w:tcW w:type="dxa" w:w="32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M7 G/Đ with wording gate; M8 four typed-centrality families; M9 temporal deltas under declared policy; first model-card generator assembling items 1–10.</w:t>
            </w:r>
          </w:p>
        </w:tc>
        <w:tc>
          <w:tcPr>
            <w:tcW w:type="dxa" w:w="1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Backend + product/UX</w:t>
            </w:r>
          </w:p>
        </w:tc>
        <w:tc>
          <w:tcPr>
            <w:tcW w:type="dxa" w:w="28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T12–T13 green; “contribution” wording gated on X_ita; model card renders for one end-to-end view.</w:t>
            </w:r>
          </w:p>
        </w:tc>
      </w:tr>
      <w:tr>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rPr>
              <w:t xml:space="preserve">Wk 11–12
Validation/UX/harden</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Enforce disclosure, validate claims, beta on real data.</w:t>
            </w:r>
          </w:p>
        </w:tc>
        <w:tc>
          <w:tcPr>
            <w:tcW w:type="dxa" w:w="32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M10 structure-preserving null models + sensitivity; UI badges + isolated-node/direction toggles; model-card render-gate; docs; beta with a real CSCL dataset; performance pass (sparse L⁺ path).</w:t>
            </w:r>
          </w:p>
        </w:tc>
        <w:tc>
          <w:tcPr>
            <w:tcW w:type="dxa" w:w="1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Full team + a pilot researcher</w:t>
            </w:r>
          </w:p>
        </w:tc>
        <w:tc>
          <w:tcPr>
            <w:tcW w:type="dxa" w:w="28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Model card blocks incomplete renders; p-values reproducible by seed; all 15 golden tests green in CI; sign-off against the July 5 spec.</w:t>
            </w:r>
          </w:p>
        </w:tc>
      </w:tr>
    </w:tbl>
    <w:p>
      <w:pPr>
        <w:pStyle w:val="Heading2"/>
      </w:pPr>
      <w:r>
        <w:t xml:space="preserve">9.1  Dependencies and sequencing risks</w:t>
      </w:r>
    </w:p>
    <w:p>
      <w:pPr>
        <w:pStyle w:val="ListParagraph"/>
        <w:numPr>
          <w:ilvl w:val="0"/>
          <w:numId w:val="2"/>
        </w:numPr>
        <w:spacing w:after="60" w:line="264"/>
      </w:pPr>
      <w:r>
        <w:rPr>
          <w:b/>
          <w:bCs/>
        </w:rPr>
        <w:t xml:space="preserve">Hard dependency chain: </w:t>
      </w:r>
      <w:r>
        <w:t xml:space="preserve">operators (Wk3–5) block embedding (Wk6–8) block the model-card metric fields (Wk9–10). Do not parallelize these; slipping the engine slips everything.</w:t>
      </w:r>
    </w:p>
    <w:p>
      <w:pPr>
        <w:pStyle w:val="ListParagraph"/>
        <w:numPr>
          <w:ilvl w:val="0"/>
          <w:numId w:val="2"/>
        </w:numPr>
        <w:spacing w:after="60" w:line="264"/>
      </w:pPr>
      <w:r>
        <w:rPr>
          <w:b/>
          <w:bCs/>
        </w:rPr>
        <w:t xml:space="preserve">Numerics skill is the scarce resource. </w:t>
      </w:r>
      <w:r>
        <w:t xml:space="preserve">Eigensolvers, pseudoinverse, and the Schoenberg iff are the highest-risk tasks; secure a math-literate reviewer for Weeks 3–8 or the golden numbers will not reconcile.</w:t>
      </w:r>
    </w:p>
    <w:p>
      <w:pPr>
        <w:pStyle w:val="ListParagraph"/>
        <w:numPr>
          <w:ilvl w:val="0"/>
          <w:numId w:val="2"/>
        </w:numPr>
        <w:spacing w:after="60" w:line="264"/>
      </w:pPr>
      <w:r>
        <w:rPr>
          <w:b/>
          <w:bCs/>
        </w:rPr>
        <w:t xml:space="preserve">Beta + hardening is the schedule pressure point. </w:t>
      </w:r>
      <w:r>
        <w:t xml:space="preserve">Weeks 11–12 carry validation, UI, docs, and a real-data beta. If time compresses, protect the model-card gate and golden CI; defer sparse-scale performance to a fast-follow.</w:t>
      </w:r>
    </w:p>
    <w:p>
      <w:pPr>
        <w:pStyle w:val="ListParagraph"/>
        <w:numPr>
          <w:ilvl w:val="0"/>
          <w:numId w:val="2"/>
        </w:numPr>
        <w:spacing w:after="60" w:line="264"/>
      </w:pPr>
      <w:r>
        <w:rPr>
          <w:b/>
          <w:bCs/>
        </w:rPr>
        <w:t xml:space="preserve">Don’t expand the enterprise shell during these 12 weeks. </w:t>
      </w:r>
      <w:r>
        <w:t xml:space="preserve">Freeze new ops/enterprise features; redirect that capacity to the math core.</w:t>
      </w:r>
    </w:p>
    <w:p>
      <w:r>
        <w:br w:type="page"/>
      </w:r>
    </w:p>
    <w:p>
      <w:pPr>
        <w:sectPr>
          <w:footerReference w:type="default" r:id="rId7"/>
          <w:pgSz w:w="12240" w:h="15840" w:orient="portrait"/>
          <w:pgMar w:top="1440" w:right="1440" w:bottom="1440" w:left="1440" w:header="708" w:footer="708" w:gutter="0"/>
          <w:pgNumType/>
          <w:docGrid w:linePitch="360"/>
        </w:sectPr>
      </w:pPr>
    </w:p>
    <w:p>
      <w:pPr>
        <w:pStyle w:val="Heading1"/>
      </w:pPr>
      <w:r>
        <w:t xml:space="preserve">10. Prioritized Issue Register</w:t>
      </w:r>
    </w:p>
    <w:p>
      <w:pPr>
        <w:spacing w:after="120" w:line="276"/>
      </w:pPr>
      <w:r>
        <w:t xml:space="preserve">Twenty concrete issues, severity-ranked, each with evidence, impact, module, fix, effort (S/M/L), and whether it must land within the 3-month window. The same register is delivered as a filterable Excel workbook (SENA_Issue_Register.xlsx) with golden-test and roadmap tabs.</w:t>
      </w:r>
    </w:p>
    <w:tbl>
      <w:tblPr>
        <w:tblW w:type="dxa" w:w="11960"/>
        <w:tblBorders>
          <w:top w:val="single" w:color="auto" w:sz="4"/>
          <w:left w:val="single" w:color="auto" w:sz="4"/>
          <w:bottom w:val="single" w:color="auto" w:sz="4"/>
          <w:right w:val="single" w:color="auto" w:sz="4"/>
          <w:insideH w:val="single" w:color="auto" w:sz="4"/>
          <w:insideV w:val="single" w:color="auto" w:sz="4"/>
        </w:tblBorders>
      </w:tblPr>
      <w:tblGrid>
        <w:gridCol w:w="560"/>
        <w:gridCol w:w="1900"/>
        <w:gridCol w:w="780"/>
        <w:gridCol w:w="1950"/>
        <w:gridCol w:w="1900"/>
        <w:gridCol w:w="1150"/>
        <w:gridCol w:w="2560"/>
        <w:gridCol w:w="560"/>
        <w:gridCol w:w="600"/>
      </w:tblGrid>
      <w:tr>
        <w:trPr>
          <w:tblHeader/>
        </w:trPr>
        <w:tc>
          <w:tcPr>
            <w:tcW w:type="dxa" w:w="56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ID</w:t>
            </w:r>
          </w:p>
        </w:tc>
        <w:tc>
          <w:tcPr>
            <w:tcW w:type="dxa" w:w="19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Issue</w:t>
            </w:r>
          </w:p>
        </w:tc>
        <w:tc>
          <w:tcPr>
            <w:tcW w:type="dxa" w:w="78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Sev</w:t>
            </w:r>
          </w:p>
        </w:tc>
        <w:tc>
          <w:tcPr>
            <w:tcW w:type="dxa" w:w="195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Evidence / source</w:t>
            </w:r>
          </w:p>
        </w:tc>
        <w:tc>
          <w:tcPr>
            <w:tcW w:type="dxa" w:w="19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Why it matters</w:t>
            </w:r>
          </w:p>
        </w:tc>
        <w:tc>
          <w:tcPr>
            <w:tcW w:type="dxa" w:w="115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Module</w:t>
            </w:r>
          </w:p>
        </w:tc>
        <w:tc>
          <w:tcPr>
            <w:tcW w:type="dxa" w:w="256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Recommended fix</w:t>
            </w:r>
          </w:p>
        </w:tc>
        <w:tc>
          <w:tcPr>
            <w:tcW w:type="dxa" w:w="56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Eff</w:t>
            </w:r>
          </w:p>
        </w:tc>
        <w:tc>
          <w:tcPr>
            <w:tcW w:type="dxa" w:w="6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≤3mo</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sz w:val="16"/>
                <w:szCs w:val="16"/>
              </w:rPr>
              <w:t xml:space="preserve">S-01</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A_fusion assembled but never used for analytics</w:t>
            </w:r>
          </w:p>
        </w:tc>
        <w:tc>
          <w:tcPr>
            <w:tcW w:type="dxa" w:w="780"/>
            <w:tcBorders>
              <w:top w:val="single" w:color="BFBFBF" w:sz="1"/>
              <w:left w:val="single" w:color="BFBFBF" w:sz="1"/>
              <w:bottom w:val="single" w:color="BFBFBF" w:sz="1"/>
              <w:right w:val="single" w:color="BFBFBF" w:sz="1"/>
            </w:tcBorders>
            <w:shd w:fill="C00000" w:val="clear"/>
            <w:tcMar>
              <w:top w:type="dxa" w:w="60"/>
              <w:left w:type="dxa" w:w="90"/>
              <w:bottom w:type="dxa" w:w="60"/>
              <w:right w:type="dxa" w:w="90"/>
            </w:tcMar>
          </w:tcPr>
          <w:p>
            <w:pPr>
              <w:spacing w:after="0" w:line="252"/>
              <w:jc w:val="center"/>
            </w:pPr>
            <w:r>
              <w:rPr>
                <w:b/>
                <w:bCs/>
                <w:color w:val="FFFFFF"/>
                <w:sz w:val="18"/>
                <w:szCs w:val="18"/>
              </w:rPr>
              <w:t xml:space="preserve">Critical</w:t>
            </w:r>
          </w:p>
        </w:tc>
        <w:tc>
          <w:tcPr>
            <w:tcW w:type="dxa" w:w="1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model.ts:608–629, :1027; degree(S) :179; components(S) :162; report.ts:176</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The headline object is decorative; nothing users see is fused.</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M4/M5</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Route all displayed quantities through A_fusion; delete S-only path.</w:t>
            </w:r>
          </w:p>
        </w:tc>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L</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sz w:val="16"/>
                <w:szCs w:val="16"/>
              </w:rPr>
              <w:t xml:space="preserve">S-02</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Fusion view is an ENA-projection overlay, not a joint embedding</w:t>
            </w:r>
          </w:p>
        </w:tc>
        <w:tc>
          <w:tcPr>
            <w:tcW w:type="dxa" w:w="780"/>
            <w:tcBorders>
              <w:top w:val="single" w:color="BFBFBF" w:sz="1"/>
              <w:left w:val="single" w:color="BFBFBF" w:sz="1"/>
              <w:bottom w:val="single" w:color="BFBFBF" w:sz="1"/>
              <w:right w:val="single" w:color="BFBFBF" w:sz="1"/>
            </w:tcBorders>
            <w:shd w:fill="C00000" w:val="clear"/>
            <w:tcMar>
              <w:top w:type="dxa" w:w="60"/>
              <w:left w:type="dxa" w:w="90"/>
              <w:bottom w:type="dxa" w:w="60"/>
              <w:right w:type="dxa" w:w="90"/>
            </w:tcMar>
          </w:tcPr>
          <w:p>
            <w:pPr>
              <w:spacing w:after="0" w:line="252"/>
              <w:jc w:val="center"/>
            </w:pPr>
            <w:r>
              <w:rPr>
                <w:b/>
                <w:bCs/>
                <w:color w:val="FFFFFF"/>
                <w:sz w:val="18"/>
                <w:szCs w:val="18"/>
              </w:rPr>
              <w:t xml:space="preserve">Critical</w:t>
            </w:r>
          </w:p>
        </w:tc>
        <w:tc>
          <w:tcPr>
            <w:tcW w:type="dxa" w:w="19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layout.ts (source:“jena-js”, points/nodePositions)</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Person–code distance is not a modelled quantity (Example 1).</w:t>
            </w:r>
          </w:p>
        </w:tc>
        <w:tc>
          <w:tcPr>
            <w:tcW w:type="dxa" w:w="11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M6</w:t>
            </w:r>
          </w:p>
        </w:tc>
        <w:tc>
          <w:tcPr>
            <w:tcW w:type="dxa" w:w="2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EMBED(A_fusion) via declared operator; overlay = exploratory only.</w:t>
            </w:r>
          </w:p>
        </w:tc>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L</w:t>
            </w:r>
          </w:p>
        </w:tc>
        <w:tc>
          <w:tcPr>
            <w:tcW w:type="dxa" w:w="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sz w:val="16"/>
                <w:szCs w:val="16"/>
              </w:rPr>
              <w:t xml:space="preserve">S-03</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No graph-operator layer (Laplacian/eigen)</w:t>
            </w:r>
          </w:p>
        </w:tc>
        <w:tc>
          <w:tcPr>
            <w:tcW w:type="dxa" w:w="780"/>
            <w:tcBorders>
              <w:top w:val="single" w:color="BFBFBF" w:sz="1"/>
              <w:left w:val="single" w:color="BFBFBF" w:sz="1"/>
              <w:bottom w:val="single" w:color="BFBFBF" w:sz="1"/>
              <w:right w:val="single" w:color="BFBFBF" w:sz="1"/>
            </w:tcBorders>
            <w:shd w:fill="C00000" w:val="clear"/>
            <w:tcMar>
              <w:top w:type="dxa" w:w="60"/>
              <w:left w:type="dxa" w:w="90"/>
              <w:bottom w:type="dxa" w:w="60"/>
              <w:right w:type="dxa" w:w="90"/>
            </w:tcMar>
          </w:tcPr>
          <w:p>
            <w:pPr>
              <w:spacing w:after="0" w:line="252"/>
              <w:jc w:val="center"/>
            </w:pPr>
            <w:r>
              <w:rPr>
                <w:b/>
                <w:bCs/>
                <w:color w:val="FFFFFF"/>
                <w:sz w:val="18"/>
                <w:szCs w:val="18"/>
              </w:rPr>
              <w:t xml:space="preserve">Critical</w:t>
            </w:r>
          </w:p>
        </w:tc>
        <w:tc>
          <w:tcPr>
            <w:tcW w:type="dxa" w:w="1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repo-wide: 0 non-test files for Laplacian/eigen/commute/Schoenberg</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Corollary 1, Props 4–5, half the golden tests impossible.</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M5</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Build operators module + eigensolver.</w:t>
            </w:r>
          </w:p>
        </w:tc>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L</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sz w:val="16"/>
                <w:szCs w:val="16"/>
              </w:rPr>
              <w:t xml:space="preserve">S-04</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No metric-validity / stress reporting</w:t>
            </w:r>
          </w:p>
        </w:tc>
        <w:tc>
          <w:tcPr>
            <w:tcW w:type="dxa" w:w="780"/>
            <w:tcBorders>
              <w:top w:val="single" w:color="BFBFBF" w:sz="1"/>
              <w:left w:val="single" w:color="BFBFBF" w:sz="1"/>
              <w:bottom w:val="single" w:color="BFBFBF" w:sz="1"/>
              <w:right w:val="single" w:color="BFBFBF" w:sz="1"/>
            </w:tcBorders>
            <w:shd w:fill="C00000" w:val="clear"/>
            <w:tcMar>
              <w:top w:type="dxa" w:w="60"/>
              <w:left w:type="dxa" w:w="90"/>
              <w:bottom w:type="dxa" w:w="60"/>
              <w:right w:type="dxa" w:w="90"/>
            </w:tcMar>
          </w:tcPr>
          <w:p>
            <w:pPr>
              <w:spacing w:after="0" w:line="252"/>
              <w:jc w:val="center"/>
            </w:pPr>
            <w:r>
              <w:rPr>
                <w:b/>
                <w:bCs/>
                <w:color w:val="FFFFFF"/>
                <w:sz w:val="18"/>
                <w:szCs w:val="18"/>
              </w:rPr>
              <w:t xml:space="preserve">Critical</w:t>
            </w:r>
          </w:p>
        </w:tc>
        <w:tc>
          <w:tcPr>
            <w:tcW w:type="dxa" w:w="19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no Schoenberg/MDS/commute; “strain” hits are “constraints” substrings</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Cross-type distances shown with no exactness/stress.</w:t>
            </w:r>
          </w:p>
        </w:tc>
        <w:tc>
          <w:tcPr>
            <w:tcW w:type="dxa" w:w="11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M6</w:t>
            </w:r>
          </w:p>
        </w:tc>
        <w:tc>
          <w:tcPr>
            <w:tcW w:type="dxa" w:w="2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SCHOENBERG_MDS + COMMUTE_TIME_EMBED + stress readout.</w:t>
            </w:r>
          </w:p>
        </w:tc>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w:t>
            </w:r>
          </w:p>
        </w:tc>
        <w:tc>
          <w:tcPr>
            <w:tcW w:type="dxa" w:w="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sz w:val="16"/>
                <w:szCs w:val="16"/>
              </w:rPr>
              <w:t xml:space="preserve">S-05</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No golden-test harness for worked example</w:t>
            </w:r>
          </w:p>
        </w:tc>
        <w:tc>
          <w:tcPr>
            <w:tcW w:type="dxa" w:w="780"/>
            <w:tcBorders>
              <w:top w:val="single" w:color="BFBFBF" w:sz="1"/>
              <w:left w:val="single" w:color="BFBFBF" w:sz="1"/>
              <w:bottom w:val="single" w:color="BFBFBF" w:sz="1"/>
              <w:right w:val="single" w:color="BFBFBF" w:sz="1"/>
            </w:tcBorders>
            <w:shd w:fill="C00000" w:val="clear"/>
            <w:tcMar>
              <w:top w:type="dxa" w:w="60"/>
              <w:left w:type="dxa" w:w="90"/>
              <w:bottom w:type="dxa" w:w="60"/>
              <w:right w:type="dxa" w:w="90"/>
            </w:tcMar>
          </w:tcPr>
          <w:p>
            <w:pPr>
              <w:spacing w:after="0" w:line="252"/>
              <w:jc w:val="center"/>
            </w:pPr>
            <w:r>
              <w:rPr>
                <w:b/>
                <w:bCs/>
                <w:color w:val="FFFFFF"/>
                <w:sz w:val="18"/>
                <w:szCs w:val="18"/>
              </w:rPr>
              <w:t xml:space="preserve">Critical</w:t>
            </w:r>
          </w:p>
        </w:tc>
        <w:tc>
          <w:tcPr>
            <w:tcW w:type="dxa" w:w="1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package.json has no math/golden script; tests are route/ops</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Math can regress silently; refactors unverifiable.</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M0</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Encode worked-example fixture; T1–T15 in CI.</w:t>
            </w:r>
          </w:p>
        </w:tc>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sz w:val="16"/>
                <w:szCs w:val="16"/>
              </w:rPr>
              <w:t xml:space="preserve">S-06</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Silent symmetrization of directed social data</w:t>
            </w:r>
          </w:p>
        </w:tc>
        <w:tc>
          <w:tcPr>
            <w:tcW w:type="dxa" w:w="780"/>
            <w:tcBorders>
              <w:top w:val="single" w:color="BFBFBF" w:sz="1"/>
              <w:left w:val="single" w:color="BFBFBF" w:sz="1"/>
              <w:bottom w:val="single" w:color="BFBFBF" w:sz="1"/>
              <w:right w:val="single" w:color="BFBFBF" w:sz="1"/>
            </w:tcBorders>
            <w:shd w:fill="E8A33D" w:val="clear"/>
            <w:tcMar>
              <w:top w:type="dxa" w:w="60"/>
              <w:left w:type="dxa" w:w="90"/>
              <w:bottom w:type="dxa" w:w="60"/>
              <w:right w:type="dxa" w:w="90"/>
            </w:tcMar>
          </w:tcPr>
          <w:p>
            <w:pPr>
              <w:spacing w:after="0" w:line="252"/>
              <w:jc w:val="center"/>
            </w:pPr>
            <w:r>
              <w:rPr>
                <w:b/>
                <w:bCs/>
                <w:color w:val="000000"/>
                <w:sz w:val="18"/>
                <w:szCs w:val="18"/>
              </w:rPr>
              <w:t xml:space="preserve">High</w:t>
            </w:r>
          </w:p>
        </w:tc>
        <w:tc>
          <w:tcPr>
            <w:tcW w:type="dxa" w:w="19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report.ts:133, :187; symmetric bridge model.ts:618–619</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Direction dropped without disclosure; A_fusion^dir impossible.</w:t>
            </w:r>
          </w:p>
        </w:tc>
        <w:tc>
          <w:tcPr>
            <w:tcW w:type="dxa" w:w="11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M1/M2/M5</w:t>
            </w:r>
          </w:p>
        </w:tc>
        <w:tc>
          <w:tcPr>
            <w:tcW w:type="dxa" w:w="2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Preserve R directed; badge symmetrization; add directed assembly+operators.</w:t>
            </w:r>
          </w:p>
        </w:tc>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L</w:t>
            </w:r>
          </w:p>
        </w:tc>
        <w:tc>
          <w:tcPr>
            <w:tcW w:type="dxa" w:w="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sz w:val="16"/>
                <w:szCs w:val="16"/>
              </w:rPr>
              <w:t xml:space="preserve">S-07</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Normalization lacks admissibility checks &amp; Frobenius</w:t>
            </w:r>
          </w:p>
        </w:tc>
        <w:tc>
          <w:tcPr>
            <w:tcW w:type="dxa" w:w="780"/>
            <w:tcBorders>
              <w:top w:val="single" w:color="BFBFBF" w:sz="1"/>
              <w:left w:val="single" w:color="BFBFBF" w:sz="1"/>
              <w:bottom w:val="single" w:color="BFBFBF" w:sz="1"/>
              <w:right w:val="single" w:color="BFBFBF" w:sz="1"/>
            </w:tcBorders>
            <w:shd w:fill="E8A33D" w:val="clear"/>
            <w:tcMar>
              <w:top w:type="dxa" w:w="60"/>
              <w:left w:type="dxa" w:w="90"/>
              <w:bottom w:type="dxa" w:w="60"/>
              <w:right w:type="dxa" w:w="90"/>
            </w:tcMar>
          </w:tcPr>
          <w:p>
            <w:pPr>
              <w:spacing w:after="0" w:line="252"/>
              <w:jc w:val="center"/>
            </w:pPr>
            <w:r>
              <w:rPr>
                <w:b/>
                <w:bCs/>
                <w:color w:val="000000"/>
                <w:sz w:val="18"/>
                <w:szCs w:val="18"/>
              </w:rPr>
              <w:t xml:space="preserve">High</w:t>
            </w:r>
          </w:p>
        </w:tc>
        <w:tc>
          <w:tcPr>
            <w:tcW w:type="dxa" w:w="1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model.ts:65–73 (max/log-max/none only)</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No axioms; α/β/γ uninterpretable vs rule.</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M3</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ADMISSIBLE_NORMALIZE with asserts + provenance; add Frobenius.</w:t>
            </w:r>
          </w:p>
        </w:tc>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sz w:val="16"/>
                <w:szCs w:val="16"/>
              </w:rPr>
              <w:t xml:space="preserve">S-08</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Isolated nodes judged on S block, not A_fusion</w:t>
            </w:r>
          </w:p>
        </w:tc>
        <w:tc>
          <w:tcPr>
            <w:tcW w:type="dxa" w:w="780"/>
            <w:tcBorders>
              <w:top w:val="single" w:color="BFBFBF" w:sz="1"/>
              <w:left w:val="single" w:color="BFBFBF" w:sz="1"/>
              <w:bottom w:val="single" w:color="BFBFBF" w:sz="1"/>
              <w:right w:val="single" w:color="BFBFBF" w:sz="1"/>
            </w:tcBorders>
            <w:shd w:fill="E8A33D" w:val="clear"/>
            <w:tcMar>
              <w:top w:type="dxa" w:w="60"/>
              <w:left w:type="dxa" w:w="90"/>
              <w:bottom w:type="dxa" w:w="60"/>
              <w:right w:type="dxa" w:w="90"/>
            </w:tcMar>
          </w:tcPr>
          <w:p>
            <w:pPr>
              <w:spacing w:after="0" w:line="252"/>
              <w:jc w:val="center"/>
            </w:pPr>
            <w:r>
              <w:rPr>
                <w:b/>
                <w:bCs/>
                <w:color w:val="000000"/>
                <w:sz w:val="18"/>
                <w:szCs w:val="18"/>
              </w:rPr>
              <w:t xml:space="preserve">High</w:t>
            </w:r>
          </w:p>
        </w:tc>
        <w:tc>
          <w:tcPr>
            <w:tcW w:type="dxa" w:w="19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components(S) model.ts:162; socialComponent :473</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P3-type nodes mis-marked isolated; no I₀ registry.</w:t>
            </w:r>
          </w:p>
        </w:tc>
        <w:tc>
          <w:tcPr>
            <w:tcW w:type="dxa" w:w="11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M5</w:t>
            </w:r>
          </w:p>
        </w:tc>
        <w:tc>
          <w:tcPr>
            <w:tcW w:type="dxa" w:w="2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Compute I₀ on A_fusion; retain &amp; report; V₊/zero-inv/ε conventions.</w:t>
            </w:r>
          </w:p>
        </w:tc>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w:t>
            </w:r>
          </w:p>
        </w:tc>
        <w:tc>
          <w:tcPr>
            <w:tcW w:type="dxa" w:w="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sz w:val="16"/>
                <w:szCs w:val="16"/>
              </w:rPr>
              <w:t xml:space="preserve">S-09</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Attribution overstated; G=“contribution”, no Đ</w:t>
            </w:r>
          </w:p>
        </w:tc>
        <w:tc>
          <w:tcPr>
            <w:tcW w:type="dxa" w:w="780"/>
            <w:tcBorders>
              <w:top w:val="single" w:color="BFBFBF" w:sz="1"/>
              <w:left w:val="single" w:color="BFBFBF" w:sz="1"/>
              <w:bottom w:val="single" w:color="BFBFBF" w:sz="1"/>
              <w:right w:val="single" w:color="BFBFBF" w:sz="1"/>
            </w:tcBorders>
            <w:shd w:fill="E8A33D" w:val="clear"/>
            <w:tcMar>
              <w:top w:type="dxa" w:w="60"/>
              <w:left w:type="dxa" w:w="90"/>
              <w:bottom w:type="dxa" w:w="60"/>
              <w:right w:type="dxa" w:w="90"/>
            </w:tcMar>
          </w:tcPr>
          <w:p>
            <w:pPr>
              <w:spacing w:after="0" w:line="252"/>
              <w:jc w:val="center"/>
            </w:pPr>
            <w:r>
              <w:rPr>
                <w:b/>
                <w:bCs/>
                <w:color w:val="000000"/>
                <w:sz w:val="18"/>
                <w:szCs w:val="18"/>
              </w:rPr>
              <w:t xml:space="preserve">High</w:t>
            </w:r>
          </w:p>
        </w:tc>
        <w:tc>
          <w:tcPr>
            <w:tcW w:type="dxa" w:w="1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CONTEXT.md; visual-grammar “contribution arcs”; no Ghat in code</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Overstates person-level evidence (Example 4).</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M7</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Default “association”; add Đ; gate “contribution” on X_ita.</w:t>
            </w:r>
          </w:p>
        </w:tc>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sz w:val="16"/>
                <w:szCs w:val="16"/>
              </w:rPr>
              <w:t xml:space="preserve">S-10</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No render-blocking model card</w:t>
            </w:r>
          </w:p>
        </w:tc>
        <w:tc>
          <w:tcPr>
            <w:tcW w:type="dxa" w:w="780"/>
            <w:tcBorders>
              <w:top w:val="single" w:color="BFBFBF" w:sz="1"/>
              <w:left w:val="single" w:color="BFBFBF" w:sz="1"/>
              <w:bottom w:val="single" w:color="BFBFBF" w:sz="1"/>
              <w:right w:val="single" w:color="BFBFBF" w:sz="1"/>
            </w:tcBorders>
            <w:shd w:fill="E8A33D" w:val="clear"/>
            <w:tcMar>
              <w:top w:type="dxa" w:w="60"/>
              <w:left w:type="dxa" w:w="90"/>
              <w:bottom w:type="dxa" w:w="60"/>
              <w:right w:type="dxa" w:w="90"/>
            </w:tcMar>
          </w:tcPr>
          <w:p>
            <w:pPr>
              <w:spacing w:after="0" w:line="252"/>
              <w:jc w:val="center"/>
            </w:pPr>
            <w:r>
              <w:rPr>
                <w:b/>
                <w:bCs/>
                <w:color w:val="000000"/>
                <w:sz w:val="18"/>
                <w:szCs w:val="18"/>
              </w:rPr>
              <w:t xml:space="preserve">High</w:t>
            </w:r>
          </w:p>
        </w:tc>
        <w:tc>
          <w:tcPr>
            <w:tcW w:type="dxa" w:w="19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0 modelCard files; provenance exists but unenforced</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Unfaithful/undisclosed figures can render &amp; be exported.</w:t>
            </w:r>
          </w:p>
        </w:tc>
        <w:tc>
          <w:tcPr>
            <w:tcW w:type="dxa" w:w="11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M11</w:t>
            </w:r>
          </w:p>
        </w:tc>
        <w:tc>
          <w:tcPr>
            <w:tcW w:type="dxa" w:w="2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Model-card generator + block_render_if_missing.</w:t>
            </w:r>
          </w:p>
        </w:tc>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w:t>
            </w:r>
          </w:p>
        </w:tc>
        <w:tc>
          <w:tcPr>
            <w:tcW w:type="dxa" w:w="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sz w:val="16"/>
                <w:szCs w:val="16"/>
              </w:rPr>
              <w:t xml:space="preserve">S-11</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Validation null models are generic mean-shuffles</w:t>
            </w:r>
          </w:p>
        </w:tc>
        <w:tc>
          <w:tcPr>
            <w:tcW w:type="dxa" w:w="780"/>
            <w:tcBorders>
              <w:top w:val="single" w:color="BFBFBF" w:sz="1"/>
              <w:left w:val="single" w:color="BFBFBF" w:sz="1"/>
              <w:bottom w:val="single" w:color="BFBFBF" w:sz="1"/>
              <w:right w:val="single" w:color="BFBFBF" w:sz="1"/>
            </w:tcBorders>
            <w:shd w:fill="E8A33D" w:val="clear"/>
            <w:tcMar>
              <w:top w:type="dxa" w:w="60"/>
              <w:left w:type="dxa" w:w="90"/>
              <w:bottom w:type="dxa" w:w="60"/>
              <w:right w:type="dxa" w:w="90"/>
            </w:tcMar>
          </w:tcPr>
          <w:p>
            <w:pPr>
              <w:spacing w:after="0" w:line="252"/>
              <w:jc w:val="center"/>
            </w:pPr>
            <w:r>
              <w:rPr>
                <w:b/>
                <w:bCs/>
                <w:color w:val="000000"/>
                <w:sz w:val="18"/>
                <w:szCs w:val="18"/>
              </w:rPr>
              <w:t xml:space="preserve">High</w:t>
            </w:r>
          </w:p>
        </w:tc>
        <w:tc>
          <w:tcPr>
            <w:tcW w:type="dxa" w:w="1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inference.ts:183–195 (label shuffle + bootstrap of means)</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Not structure-preserving; group/temporal claims under-supported.</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M10</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Add degree-preserving rewiring, code-label &amp; stanza shuffles, bipartite null, sensitivity.</w:t>
            </w:r>
          </w:p>
        </w:tc>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sz w:val="16"/>
                <w:szCs w:val="16"/>
              </w:rPr>
              <w:t xml:space="preserve">S-12</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Degrees are social-only, not fused typed degrees</w:t>
            </w:r>
          </w:p>
        </w:tc>
        <w:tc>
          <w:tcPr>
            <w:tcW w:type="dxa" w:w="780"/>
            <w:tcBorders>
              <w:top w:val="single" w:color="BFBFBF" w:sz="1"/>
              <w:left w:val="single" w:color="BFBFBF" w:sz="1"/>
              <w:bottom w:val="single" w:color="BFBFBF" w:sz="1"/>
              <w:right w:val="single" w:color="BFBFBF" w:sz="1"/>
            </w:tcBorders>
            <w:shd w:fill="E8A33D" w:val="clear"/>
            <w:tcMar>
              <w:top w:type="dxa" w:w="60"/>
              <w:left w:type="dxa" w:w="90"/>
              <w:bottom w:type="dxa" w:w="60"/>
              <w:right w:type="dxa" w:w="90"/>
            </w:tcMar>
          </w:tcPr>
          <w:p>
            <w:pPr>
              <w:spacing w:after="0" w:line="252"/>
              <w:jc w:val="center"/>
            </w:pPr>
            <w:r>
              <w:rPr>
                <w:b/>
                <w:bCs/>
                <w:color w:val="000000"/>
                <w:sz w:val="18"/>
                <w:szCs w:val="18"/>
              </w:rPr>
              <w:t xml:space="preserve">High</w:t>
            </w:r>
          </w:p>
        </w:tc>
        <w:tc>
          <w:tcPr>
            <w:tcW w:type="dxa" w:w="19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degree(S) model.ts:179; socialDegree :470</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Node emphasis contradicts the fused model (T2).</w:t>
            </w:r>
          </w:p>
        </w:tc>
        <w:tc>
          <w:tcPr>
            <w:tcW w:type="dxa" w:w="11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M5</w:t>
            </w:r>
          </w:p>
        </w:tc>
        <w:tc>
          <w:tcPr>
            <w:tcW w:type="dxa" w:w="2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Compute typed degree from A_fusion.</w:t>
            </w:r>
          </w:p>
        </w:tc>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S</w:t>
            </w:r>
          </w:p>
        </w:tc>
        <w:tc>
          <w:tcPr>
            <w:tcW w:type="dxa" w:w="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sz w:val="16"/>
                <w:szCs w:val="16"/>
              </w:rPr>
              <w:t xml:space="preserve">S-13</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Typed centrality not four separated families</w:t>
            </w:r>
          </w:p>
        </w:tc>
        <w:tc>
          <w:tcPr>
            <w:tcW w:type="dxa" w:w="780"/>
            <w:tcBorders>
              <w:top w:val="single" w:color="BFBFBF" w:sz="1"/>
              <w:left w:val="single" w:color="BFBFBF" w:sz="1"/>
              <w:bottom w:val="single" w:color="BFBFBF" w:sz="1"/>
              <w:right w:val="single" w:color="BFBFBF" w:sz="1"/>
            </w:tcBorders>
            <w:shd w:fill="F2D06B" w:val="clear"/>
            <w:tcMar>
              <w:top w:type="dxa" w:w="60"/>
              <w:left w:type="dxa" w:w="90"/>
              <w:bottom w:type="dxa" w:w="60"/>
              <w:right w:type="dxa" w:w="90"/>
            </w:tcMar>
          </w:tcPr>
          <w:p>
            <w:pPr>
              <w:spacing w:after="0" w:line="252"/>
              <w:jc w:val="center"/>
            </w:pPr>
            <w:r>
              <w:rPr>
                <w:b/>
                <w:bCs/>
                <w:color w:val="000000"/>
                <w:sz w:val="18"/>
                <w:szCs w:val="18"/>
              </w:rPr>
              <w:t xml:space="preserve">Medium</w:t>
            </w:r>
          </w:p>
        </w:tc>
        <w:tc>
          <w:tcPr>
            <w:tcW w:type="dxa" w:w="1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sna.js betweenness on S block report.ts:176; bridge ranking :214</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Risk of mixed-type ranking; no scale disclosure.</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M8</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Compute four families; tag whole-graph; block mixed lists.</w:t>
            </w:r>
          </w:p>
        </w:tc>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sz w:val="16"/>
                <w:szCs w:val="16"/>
              </w:rPr>
              <w:t xml:space="preserve">S-14</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Temporal uses per-time normalization only</w:t>
            </w:r>
          </w:p>
        </w:tc>
        <w:tc>
          <w:tcPr>
            <w:tcW w:type="dxa" w:w="780"/>
            <w:tcBorders>
              <w:top w:val="single" w:color="BFBFBF" w:sz="1"/>
              <w:left w:val="single" w:color="BFBFBF" w:sz="1"/>
              <w:bottom w:val="single" w:color="BFBFBF" w:sz="1"/>
              <w:right w:val="single" w:color="BFBFBF" w:sz="1"/>
            </w:tcBorders>
            <w:shd w:fill="F2D06B" w:val="clear"/>
            <w:tcMar>
              <w:top w:type="dxa" w:w="60"/>
              <w:left w:type="dxa" w:w="90"/>
              <w:bottom w:type="dxa" w:w="60"/>
              <w:right w:type="dxa" w:w="90"/>
            </w:tcMar>
          </w:tcPr>
          <w:p>
            <w:pPr>
              <w:spacing w:after="0" w:line="252"/>
              <w:jc w:val="center"/>
            </w:pPr>
            <w:r>
              <w:rPr>
                <w:b/>
                <w:bCs/>
                <w:color w:val="000000"/>
                <w:sz w:val="18"/>
                <w:szCs w:val="18"/>
              </w:rPr>
              <w:t xml:space="preserve">Medium</w:t>
            </w:r>
          </w:p>
        </w:tc>
        <w:tc>
          <w:tcPr>
            <w:tcW w:type="dxa" w:w="19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model.ts:754–764 normalizeTemporalWindows</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Hides magnitude change; no declared policy.</w:t>
            </w:r>
          </w:p>
        </w:tc>
        <w:tc>
          <w:tcPr>
            <w:tcW w:type="dxa" w:w="11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M9</w:t>
            </w:r>
          </w:p>
        </w:tc>
        <w:tc>
          <w:tcPr>
            <w:tcW w:type="dxa" w:w="2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Assemble A(t) under declared policy; ΔA distances + significance.</w:t>
            </w:r>
          </w:p>
        </w:tc>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w:t>
            </w:r>
          </w:p>
        </w:tc>
        <w:tc>
          <w:tcPr>
            <w:tcW w:type="dxa" w:w="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sz w:val="16"/>
                <w:szCs w:val="16"/>
              </w:rPr>
              <w:t xml:space="preserve">S-15</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Architecture inversion: ~90 ops files vs thin math core</w:t>
            </w:r>
          </w:p>
        </w:tc>
        <w:tc>
          <w:tcPr>
            <w:tcW w:type="dxa" w:w="780"/>
            <w:tcBorders>
              <w:top w:val="single" w:color="BFBFBF" w:sz="1"/>
              <w:left w:val="single" w:color="BFBFBF" w:sz="1"/>
              <w:bottom w:val="single" w:color="BFBFBF" w:sz="1"/>
              <w:right w:val="single" w:color="BFBFBF" w:sz="1"/>
            </w:tcBorders>
            <w:shd w:fill="E8A33D" w:val="clear"/>
            <w:tcMar>
              <w:top w:type="dxa" w:w="60"/>
              <w:left w:type="dxa" w:w="90"/>
              <w:bottom w:type="dxa" w:w="60"/>
              <w:right w:type="dxa" w:w="90"/>
            </w:tcMar>
          </w:tcPr>
          <w:p>
            <w:pPr>
              <w:spacing w:after="0" w:line="252"/>
              <w:jc w:val="center"/>
            </w:pPr>
            <w:r>
              <w:rPr>
                <w:b/>
                <w:bCs/>
                <w:color w:val="000000"/>
                <w:sz w:val="18"/>
                <w:szCs w:val="18"/>
              </w:rPr>
              <w:t xml:space="preserve">High</w:t>
            </w:r>
          </w:p>
        </w:tc>
        <w:tc>
          <w:tcPr>
            <w:tcW w:type="dxa" w:w="1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lib/sena/enterprise/* + ops-*; math in a handful of files</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Effort &amp; code gravity in wrong tier; hard to modify math.</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All</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Freeze enterprise growth; consolidate math into tested services.</w:t>
            </w:r>
          </w:p>
        </w:tc>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L</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Partial</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sz w:val="16"/>
                <w:szCs w:val="16"/>
              </w:rPr>
              <w:t xml:space="preserve">S-16</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Math split across vendor bundles + UI-adjacent code</w:t>
            </w:r>
          </w:p>
        </w:tc>
        <w:tc>
          <w:tcPr>
            <w:tcW w:type="dxa" w:w="780"/>
            <w:tcBorders>
              <w:top w:val="single" w:color="BFBFBF" w:sz="1"/>
              <w:left w:val="single" w:color="BFBFBF" w:sz="1"/>
              <w:bottom w:val="single" w:color="BFBFBF" w:sz="1"/>
              <w:right w:val="single" w:color="BFBFBF" w:sz="1"/>
            </w:tcBorders>
            <w:shd w:fill="F2D06B" w:val="clear"/>
            <w:tcMar>
              <w:top w:type="dxa" w:w="60"/>
              <w:left w:type="dxa" w:w="90"/>
              <w:bottom w:type="dxa" w:w="60"/>
              <w:right w:type="dxa" w:w="90"/>
            </w:tcMar>
          </w:tcPr>
          <w:p>
            <w:pPr>
              <w:spacing w:after="0" w:line="252"/>
              <w:jc w:val="center"/>
            </w:pPr>
            <w:r>
              <w:rPr>
                <w:b/>
                <w:bCs/>
                <w:color w:val="000000"/>
                <w:sz w:val="18"/>
                <w:szCs w:val="18"/>
              </w:rPr>
              <w:t xml:space="preserve">Medium</w:t>
            </w:r>
          </w:p>
        </w:tc>
        <w:tc>
          <w:tcPr>
            <w:tcW w:type="dxa" w:w="19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jena-js, sna.js vendored; fusion in model.ts; interp in report.ts</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No single source of truth for “what SENA computes.”</w:t>
            </w:r>
          </w:p>
        </w:tc>
        <w:tc>
          <w:tcPr>
            <w:tcW w:type="dxa" w:w="11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All</w:t>
            </w:r>
          </w:p>
        </w:tc>
        <w:tc>
          <w:tcPr>
            <w:tcW w:type="dxa" w:w="2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Centralize analytics behind /api services; vendor libs = within-type only.</w:t>
            </w:r>
          </w:p>
        </w:tc>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L</w:t>
            </w:r>
          </w:p>
        </w:tc>
        <w:tc>
          <w:tcPr>
            <w:tcW w:type="dxa" w:w="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Partial</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sz w:val="16"/>
                <w:szCs w:val="16"/>
              </w:rPr>
              <w:t xml:space="preserve">S-17</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Person ID ambiguity</w:t>
            </w:r>
          </w:p>
        </w:tc>
        <w:tc>
          <w:tcPr>
            <w:tcW w:type="dxa" w:w="780"/>
            <w:tcBorders>
              <w:top w:val="single" w:color="BFBFBF" w:sz="1"/>
              <w:left w:val="single" w:color="BFBFBF" w:sz="1"/>
              <w:bottom w:val="single" w:color="BFBFBF" w:sz="1"/>
              <w:right w:val="single" w:color="BFBFBF" w:sz="1"/>
            </w:tcBorders>
            <w:shd w:fill="F2D06B" w:val="clear"/>
            <w:tcMar>
              <w:top w:type="dxa" w:w="60"/>
              <w:left w:type="dxa" w:w="90"/>
              <w:bottom w:type="dxa" w:w="60"/>
              <w:right w:type="dxa" w:w="90"/>
            </w:tcMar>
          </w:tcPr>
          <w:p>
            <w:pPr>
              <w:spacing w:after="0" w:line="252"/>
              <w:jc w:val="center"/>
            </w:pPr>
            <w:r>
              <w:rPr>
                <w:b/>
                <w:bCs/>
                <w:color w:val="000000"/>
                <w:sz w:val="18"/>
                <w:szCs w:val="18"/>
              </w:rPr>
              <w:t xml:space="preserve">Medium</w:t>
            </w:r>
          </w:p>
        </w:tc>
        <w:tc>
          <w:tcPr>
            <w:tcW w:type="dxa" w:w="1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layout.ts probes personId/person/unit/unitId/id</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Fragile joins; mis-placed nodes.</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M1</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Enforce one canonical, stable personId.</w:t>
            </w:r>
          </w:p>
        </w:tc>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S</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sz w:val="16"/>
                <w:szCs w:val="16"/>
              </w:rPr>
              <w:t xml:space="preserve">S-18</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No codebook versioning / edge→source audit trail</w:t>
            </w:r>
          </w:p>
        </w:tc>
        <w:tc>
          <w:tcPr>
            <w:tcW w:type="dxa" w:w="780"/>
            <w:tcBorders>
              <w:top w:val="single" w:color="BFBFBF" w:sz="1"/>
              <w:left w:val="single" w:color="BFBFBF" w:sz="1"/>
              <w:bottom w:val="single" w:color="BFBFBF" w:sz="1"/>
              <w:right w:val="single" w:color="BFBFBF" w:sz="1"/>
            </w:tcBorders>
            <w:shd w:fill="F2D06B" w:val="clear"/>
            <w:tcMar>
              <w:top w:type="dxa" w:w="60"/>
              <w:left w:type="dxa" w:w="90"/>
              <w:bottom w:type="dxa" w:w="60"/>
              <w:right w:type="dxa" w:w="90"/>
            </w:tcMar>
          </w:tcPr>
          <w:p>
            <w:pPr>
              <w:spacing w:after="0" w:line="252"/>
              <w:jc w:val="center"/>
            </w:pPr>
            <w:r>
              <w:rPr>
                <w:b/>
                <w:bCs/>
                <w:color w:val="000000"/>
                <w:sz w:val="18"/>
                <w:szCs w:val="18"/>
              </w:rPr>
              <w:t xml:space="preserve">Medium</w:t>
            </w:r>
          </w:p>
        </w:tc>
        <w:tc>
          <w:tcPr>
            <w:tcW w:type="dxa" w:w="19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no codebookVersion on codes; no edge provenance to source records</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Mixed codebooks corrupt W/B; no traceability.</w:t>
            </w:r>
          </w:p>
        </w:tc>
        <w:tc>
          <w:tcPr>
            <w:tcW w:type="dxa" w:w="11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M1</w:t>
            </w:r>
          </w:p>
        </w:tc>
        <w:tc>
          <w:tcPr>
            <w:tcW w:type="dxa" w:w="2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Version codebooks; link every edge to source segments.</w:t>
            </w:r>
          </w:p>
        </w:tc>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w:t>
            </w:r>
          </w:p>
        </w:tc>
        <w:tc>
          <w:tcPr>
            <w:tcW w:type="dxa" w:w="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b/>
                <w:bCs/>
                <w:sz w:val="16"/>
                <w:szCs w:val="16"/>
              </w:rPr>
              <w:t xml:space="preserve">S-19</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De-identification not enforced for discourse data</w:t>
            </w:r>
          </w:p>
        </w:tc>
        <w:tc>
          <w:tcPr>
            <w:tcW w:type="dxa" w:w="780"/>
            <w:tcBorders>
              <w:top w:val="single" w:color="BFBFBF" w:sz="1"/>
              <w:left w:val="single" w:color="BFBFBF" w:sz="1"/>
              <w:bottom w:val="single" w:color="BFBFBF" w:sz="1"/>
              <w:right w:val="single" w:color="BFBFBF" w:sz="1"/>
            </w:tcBorders>
            <w:shd w:fill="E8A33D" w:val="clear"/>
            <w:tcMar>
              <w:top w:type="dxa" w:w="60"/>
              <w:left w:type="dxa" w:w="90"/>
              <w:bottom w:type="dxa" w:w="60"/>
              <w:right w:type="dxa" w:w="90"/>
            </w:tcMar>
          </w:tcPr>
          <w:p>
            <w:pPr>
              <w:spacing w:after="0" w:line="252"/>
              <w:jc w:val="center"/>
            </w:pPr>
            <w:r>
              <w:rPr>
                <w:b/>
                <w:bCs/>
                <w:color w:val="000000"/>
                <w:sz w:val="18"/>
                <w:szCs w:val="18"/>
              </w:rPr>
              <w:t xml:space="preserve">High</w:t>
            </w:r>
          </w:p>
        </w:tc>
        <w:tc>
          <w:tcPr>
            <w:tcW w:type="dxa" w:w="19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file-backed .sena-enterprise store; no PII redaction at ingest</w:t>
            </w:r>
          </w:p>
        </w:tc>
        <w:tc>
          <w:tcPr>
            <w:tcW w:type="dxa" w:w="19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Student PII risk; possible minors.</w:t>
            </w:r>
          </w:p>
        </w:tc>
        <w:tc>
          <w:tcPr>
            <w:tcW w:type="dxa" w:w="115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Sec</w:t>
            </w:r>
          </w:p>
        </w:tc>
        <w:tc>
          <w:tcPr>
            <w:tcW w:type="dxa" w:w="2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PII redaction + pseudonymous IDs by default; encrypt at rest; retention.</w:t>
            </w:r>
          </w:p>
        </w:tc>
        <w:tc>
          <w:tcPr>
            <w:tcW w:type="dxa" w:w="5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M</w:t>
            </w:r>
          </w:p>
        </w:tc>
        <w:tc>
          <w:tcPr>
            <w:tcW w:type="dxa" w:w="6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6"/>
                <w:szCs w:val="16"/>
              </w:rPr>
              <w:t xml:space="preserve">Yes</w:t>
            </w:r>
          </w:p>
        </w:tc>
      </w:tr>
      <w:tr>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b/>
                <w:bCs/>
                <w:sz w:val="16"/>
                <w:szCs w:val="16"/>
              </w:rPr>
              <w:t xml:space="preserve">S-20</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Eigen/commute compute has no scale plan</w:t>
            </w:r>
          </w:p>
        </w:tc>
        <w:tc>
          <w:tcPr>
            <w:tcW w:type="dxa" w:w="780"/>
            <w:tcBorders>
              <w:top w:val="single" w:color="BFBFBF" w:sz="1"/>
              <w:left w:val="single" w:color="BFBFBF" w:sz="1"/>
              <w:bottom w:val="single" w:color="BFBFBF" w:sz="1"/>
              <w:right w:val="single" w:color="BFBFBF" w:sz="1"/>
            </w:tcBorders>
            <w:shd w:fill="9DC08B" w:val="clear"/>
            <w:tcMar>
              <w:top w:type="dxa" w:w="60"/>
              <w:left w:type="dxa" w:w="90"/>
              <w:bottom w:type="dxa" w:w="60"/>
              <w:right w:type="dxa" w:w="90"/>
            </w:tcMar>
          </w:tcPr>
          <w:p>
            <w:pPr>
              <w:spacing w:after="0" w:line="252"/>
              <w:jc w:val="center"/>
            </w:pPr>
            <w:r>
              <w:rPr>
                <w:b/>
                <w:bCs/>
                <w:color w:val="000000"/>
                <w:sz w:val="18"/>
                <w:szCs w:val="18"/>
              </w:rPr>
              <w:t xml:space="preserve">Low</w:t>
            </w:r>
          </w:p>
        </w:tc>
        <w:tc>
          <w:tcPr>
            <w:tcW w:type="dxa" w:w="19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operators absent, so no sparse/approx path yet</w:t>
            </w:r>
          </w:p>
        </w:tc>
        <w:tc>
          <w:tcPr>
            <w:tcW w:type="dxa" w:w="19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Latency regression risk on real datasets.</w:t>
            </w:r>
          </w:p>
        </w:tc>
        <w:tc>
          <w:tcPr>
            <w:tcW w:type="dxa" w:w="115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Perf</w:t>
            </w:r>
          </w:p>
        </w:tc>
        <w:tc>
          <w:tcPr>
            <w:tcW w:type="dxa" w:w="2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Sparse + Nyström past a measured threshold; cache artifacts.</w:t>
            </w:r>
          </w:p>
        </w:tc>
        <w:tc>
          <w:tcPr>
            <w:tcW w:type="dxa" w:w="5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M</w:t>
            </w:r>
          </w:p>
        </w:tc>
        <w:tc>
          <w:tcPr>
            <w:tcW w:type="dxa" w:w="6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6"/>
                <w:szCs w:val="16"/>
              </w:rPr>
              <w:t xml:space="preserve">Partial</w:t>
            </w:r>
          </w:p>
        </w:tc>
      </w:tr>
    </w:tbl>
    <w:p>
      <w:pPr>
        <w:spacing w:after="40"/>
      </w:pPr>
      <w:r>
        <w:t xml:space="preserve"/>
      </w:r>
    </w:p>
    <w:p>
      <w:pPr>
        <w:spacing w:after="120" w:line="276"/>
      </w:pPr>
      <w:r>
        <w:rPr>
          <w:b/>
          <w:bCs/>
        </w:rPr>
        <w:t xml:space="preserve">Effort key: </w:t>
      </w:r>
      <w:r>
        <w:t xml:space="preserve">S ≤ ~2 days · M ≤ ~1–2 weeks · L ≥ ~2–4 weeks or cross-cutting.</w:t>
      </w:r>
    </w:p>
    <w:p>
      <w:pPr>
        <w:sectPr>
          <w:footerReference w:type="default" r:id="rId8"/>
          <w:type w:val="nextPage"/>
          <w:pgSz w:w="15840" w:h="12240" w:orient="landscape"/>
          <w:pgMar w:top="1080" w:right="1440" w:bottom="1080" w:left="1440" w:header="708" w:footer="708" w:gutter="0"/>
          <w:pgNumType/>
          <w:docGrid w:linePitch="360"/>
        </w:sectPr>
      </w:pPr>
    </w:p>
    <w:p>
      <w:pPr>
        <w:pStyle w:val="Heading1"/>
      </w:pPr>
      <w:r>
        <w:t xml:space="preserve">11. Definition of Done</w:t>
      </w:r>
    </w:p>
    <w:p>
      <w:pPr>
        <w:spacing w:after="120" w:line="276"/>
      </w:pPr>
      <w:r>
        <w:t xml:space="preserve">SENA is ready for the next proof-of-concept stage when all of the following hold simultaneously and are demonstrable in CI and in the running app. This is the checklist to sign off against.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760"/>
        <w:gridCol w:w="4100"/>
      </w:tblGrid>
      <w:tr>
        <w:trPr>
          <w:tblHeader/>
        </w:trPr>
        <w:tc>
          <w:tcPr>
            <w:tcW w:type="dxa" w:w="5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w:t>
            </w:r>
          </w:p>
        </w:tc>
        <w:tc>
          <w:tcPr>
            <w:tcW w:type="dxa" w:w="476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Condition</w:t>
            </w:r>
          </w:p>
        </w:tc>
        <w:tc>
          <w:tcPr>
            <w:tcW w:type="dxa" w:w="4100"/>
            <w:tcBorders>
              <w:top w:val="single" w:color="BFBFBF" w:sz="1"/>
              <w:left w:val="single" w:color="BFBFBF" w:sz="1"/>
              <w:bottom w:val="single" w:color="BFBFBF" w:sz="1"/>
              <w:right w:val="single" w:color="BFBFBF" w:sz="1"/>
            </w:tcBorders>
            <w:shd w:fill="1F3A5F" w:val="clear"/>
            <w:tcMar>
              <w:top w:type="dxa" w:w="60"/>
              <w:left w:type="dxa" w:w="90"/>
              <w:bottom w:type="dxa" w:w="60"/>
              <w:right w:type="dxa" w:w="90"/>
            </w:tcMar>
          </w:tcPr>
          <w:p>
            <w:pPr>
              <w:spacing w:after="0" w:line="252"/>
            </w:pPr>
            <w:r>
              <w:rPr>
                <w:b/>
                <w:bCs/>
                <w:color w:val="FFFFFF"/>
                <w:sz w:val="18"/>
                <w:szCs w:val="18"/>
              </w:rPr>
              <w:t xml:space="preserve">How it is demonstrated</w:t>
            </w:r>
          </w:p>
        </w:tc>
      </w:tr>
      <w:tr>
        <w:tc>
          <w:tcPr>
            <w:tcW w:type="dxa" w:w="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jc w:val="center"/>
            </w:pPr>
            <w:r>
              <w:rPr>
                <w:b/>
                <w:bCs/>
                <w:sz w:val="18"/>
                <w:szCs w:val="18"/>
              </w:rPr>
              <w:t xml:space="preserve">1</w:t>
            </w:r>
          </w:p>
        </w:tc>
        <w:tc>
          <w:tcPr>
            <w:tcW w:type="dxa" w:w="4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Every displayed quantity is computed from A_fusion or A_fusion^dir.</w:t>
            </w:r>
          </w:p>
        </w:tc>
        <w:tc>
          <w:tcPr>
            <w:tcW w:type="dxa" w:w="4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Grep + tests show no S-only analytic path; T1–T2 green.</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jc w:val="center"/>
            </w:pPr>
            <w:r>
              <w:rPr>
                <w:b/>
                <w:bCs/>
                <w:sz w:val="18"/>
                <w:szCs w:val="18"/>
              </w:rPr>
              <w:t xml:space="preserve">2</w:t>
            </w:r>
          </w:p>
        </w:tc>
        <w:tc>
          <w:tcPr>
            <w:tcW w:type="dxa" w:w="4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Every graph operator has a declared convention.</w:t>
            </w:r>
          </w:p>
        </w:tc>
        <w:tc>
          <w:tcPr>
            <w:tcW w:type="dxa" w:w="4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Operator responses carry {convention, eps?}; T5–T7 green.</w:t>
            </w:r>
          </w:p>
        </w:tc>
      </w:tr>
      <w:tr>
        <w:tc>
          <w:tcPr>
            <w:tcW w:type="dxa" w:w="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jc w:val="center"/>
            </w:pPr>
            <w:r>
              <w:rPr>
                <w:b/>
                <w:bCs/>
                <w:sz w:val="18"/>
                <w:szCs w:val="18"/>
              </w:rPr>
              <w:t xml:space="preserve">3</w:t>
            </w:r>
          </w:p>
        </w:tc>
        <w:tc>
          <w:tcPr>
            <w:tcW w:type="dxa" w:w="4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Cross-type distance claims carry exactness or stress.</w:t>
            </w:r>
          </w:p>
        </w:tc>
        <w:tc>
          <w:tcPr>
            <w:tcW w:type="dxa" w:w="4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Embedding response has {exact, stress}; T10–T11 green; UI badge present.</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jc w:val="center"/>
            </w:pPr>
            <w:r>
              <w:rPr>
                <w:b/>
                <w:bCs/>
                <w:sz w:val="18"/>
                <w:szCs w:val="18"/>
              </w:rPr>
              <w:t xml:space="preserve">4</w:t>
            </w:r>
          </w:p>
        </w:tc>
        <w:tc>
          <w:tcPr>
            <w:tcW w:type="dxa" w:w="4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Golden tests pass in CI.</w:t>
            </w:r>
          </w:p>
        </w:tc>
        <w:tc>
          <w:tcPr>
            <w:tcW w:type="dxa" w:w="4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T1–T15 fail-closed gate on every deploy.</w:t>
            </w:r>
          </w:p>
        </w:tc>
      </w:tr>
      <w:tr>
        <w:tc>
          <w:tcPr>
            <w:tcW w:type="dxa" w:w="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jc w:val="center"/>
            </w:pPr>
            <w:r>
              <w:rPr>
                <w:b/>
                <w:bCs/>
                <w:sz w:val="18"/>
                <w:szCs w:val="18"/>
              </w:rPr>
              <w:t xml:space="preserve">5</w:t>
            </w:r>
          </w:p>
        </w:tc>
        <w:tc>
          <w:tcPr>
            <w:tcW w:type="dxa" w:w="4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No silent symmetrization.</w:t>
            </w:r>
          </w:p>
        </w:tc>
        <w:tc>
          <w:tcPr>
            <w:tcW w:type="dxa" w:w="4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Directed preserved; symmetrized mode permanently badged; T8–T9 green.</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jc w:val="center"/>
            </w:pPr>
            <w:r>
              <w:rPr>
                <w:b/>
                <w:bCs/>
                <w:sz w:val="18"/>
                <w:szCs w:val="18"/>
              </w:rPr>
              <w:t xml:space="preserve">6</w:t>
            </w:r>
          </w:p>
        </w:tc>
        <w:tc>
          <w:tcPr>
            <w:tcW w:type="dxa" w:w="4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No silent deletion of isolated nodes.</w:t>
            </w:r>
          </w:p>
        </w:tc>
        <w:tc>
          <w:tcPr>
            <w:tcW w:type="dxa" w:w="4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I₀ retained, listed, drawn dimmed; T4 green.</w:t>
            </w:r>
          </w:p>
        </w:tc>
      </w:tr>
      <w:tr>
        <w:tc>
          <w:tcPr>
            <w:tcW w:type="dxa" w:w="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jc w:val="center"/>
            </w:pPr>
            <w:r>
              <w:rPr>
                <w:b/>
                <w:bCs/>
                <w:sz w:val="18"/>
                <w:szCs w:val="18"/>
              </w:rPr>
              <w:t xml:space="preserve">7</w:t>
            </w:r>
          </w:p>
        </w:tc>
        <w:tc>
          <w:tcPr>
            <w:tcW w:type="dxa" w:w="4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No mixed-type centrality ranking without type labels.</w:t>
            </w:r>
          </w:p>
        </w:tc>
        <w:tc>
          <w:tcPr>
            <w:tcW w:type="dxa" w:w="4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UI cannot render a person+code list without a type column.</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jc w:val="center"/>
            </w:pPr>
            <w:r>
              <w:rPr>
                <w:b/>
                <w:bCs/>
                <w:sz w:val="18"/>
                <w:szCs w:val="18"/>
              </w:rPr>
              <w:t xml:space="preserve">8</w:t>
            </w:r>
          </w:p>
        </w:tc>
        <w:tc>
          <w:tcPr>
            <w:tcW w:type="dxa" w:w="4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No attribution wording stronger than the evidence.</w:t>
            </w:r>
          </w:p>
        </w:tc>
        <w:tc>
          <w:tcPr>
            <w:tcW w:type="dxa" w:w="4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“contribution” gated on X_ita; else “association”; T12–T13 green.</w:t>
            </w:r>
          </w:p>
        </w:tc>
      </w:tr>
      <w:tr>
        <w:tc>
          <w:tcPr>
            <w:tcW w:type="dxa" w:w="5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jc w:val="center"/>
            </w:pPr>
            <w:r>
              <w:rPr>
                <w:b/>
                <w:bCs/>
                <w:sz w:val="18"/>
                <w:szCs w:val="18"/>
              </w:rPr>
              <w:t xml:space="preserve">9</w:t>
            </w:r>
          </w:p>
        </w:tc>
        <w:tc>
          <w:tcPr>
            <w:tcW w:type="dxa" w:w="476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A model card is attached to every export / share view.</w:t>
            </w:r>
          </w:p>
        </w:tc>
        <w:tc>
          <w:tcPr>
            <w:tcW w:type="dxa" w:w="4100"/>
            <w:tcBorders>
              <w:top w:val="single" w:color="BFBFBF" w:sz="1"/>
              <w:left w:val="single" w:color="BFBFBF" w:sz="1"/>
              <w:bottom w:val="single" w:color="BFBFBF" w:sz="1"/>
              <w:right w:val="single" w:color="BFBFBF" w:sz="1"/>
            </w:tcBorders>
            <w:tcMar>
              <w:top w:type="dxa" w:w="60"/>
              <w:left w:type="dxa" w:w="90"/>
              <w:bottom w:type="dxa" w:w="60"/>
              <w:right w:type="dxa" w:w="90"/>
            </w:tcMar>
          </w:tcPr>
          <w:p>
            <w:pPr>
              <w:spacing w:after="0" w:line="252"/>
            </w:pPr>
            <w:r>
              <w:rPr>
                <w:sz w:val="18"/>
                <w:szCs w:val="18"/>
              </w:rPr>
              <w:t xml:space="preserve">Export embeds items 1–10; render blocked if incomplete.</w:t>
            </w:r>
          </w:p>
        </w:tc>
      </w:tr>
      <w:tr>
        <w:tc>
          <w:tcPr>
            <w:tcW w:type="dxa" w:w="5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jc w:val="center"/>
            </w:pPr>
            <w:r>
              <w:rPr>
                <w:b/>
                <w:bCs/>
                <w:sz w:val="18"/>
                <w:szCs w:val="18"/>
              </w:rPr>
              <w:t xml:space="preserve">10</w:t>
            </w:r>
          </w:p>
        </w:tc>
        <w:tc>
          <w:tcPr>
            <w:tcW w:type="dxa" w:w="476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Validation results are reproducible with seeds.</w:t>
            </w:r>
          </w:p>
        </w:tc>
        <w:tc>
          <w:tcPr>
            <w:tcW w:type="dxa" w:w="4100"/>
            <w:tcBorders>
              <w:top w:val="single" w:color="BFBFBF" w:sz="1"/>
              <w:left w:val="single" w:color="BFBFBF" w:sz="1"/>
              <w:bottom w:val="single" w:color="BFBFBF" w:sz="1"/>
              <w:right w:val="single" w:color="BFBFBF" w:sz="1"/>
            </w:tcBorders>
            <w:shd w:fill="F2F2F2" w:val="clear"/>
            <w:tcMar>
              <w:top w:type="dxa" w:w="60"/>
              <w:left w:type="dxa" w:w="90"/>
              <w:bottom w:type="dxa" w:w="60"/>
              <w:right w:type="dxa" w:w="90"/>
            </w:tcMar>
          </w:tcPr>
          <w:p>
            <w:pPr>
              <w:spacing w:after="0" w:line="252"/>
            </w:pPr>
            <w:r>
              <w:rPr>
                <w:sz w:val="18"/>
                <w:szCs w:val="18"/>
              </w:rPr>
              <w:t xml:space="preserve">Permutation/bootstrap p-values reproduce byte-for-byte from the recorded seed.</w:t>
            </w:r>
          </w:p>
        </w:tc>
      </w:tr>
    </w:tbl>
    <w:p>
      <w:pPr>
        <w:spacing w:after="40"/>
      </w:pPr>
      <w:r>
        <w:t xml:space="preserve"/>
      </w:r>
    </w:p>
    <w:p>
      <w:pPr>
        <w:spacing w:after="120" w:line="276"/>
      </w:pPr>
      <w:r>
        <w:rPr>
          <w:b/>
          <w:bCs/>
        </w:rPr>
        <w:t xml:space="preserve">The single rule that operationalizes most of this: </w:t>
      </w:r>
      <w:r>
        <w:t xml:space="preserve">no view may render a number whose provenance record is incomplete. If the model-card gate is real and enforced in CI, then normalization disclosure, embedding honesty, direction conventions, isolated-node handling, and attribution wording all become non-optional — the mathematics stops being advice and becomes a build constraint.</w:t>
      </w:r>
    </w:p>
    <w:p>
      <w:pPr>
        <w:spacing w:after="40"/>
      </w:pPr>
      <w:r>
        <w:t xml:space="preserve"/>
      </w:r>
    </w:p>
    <w:p>
      <w:pPr>
        <w:spacing w:after="120" w:line="276"/>
      </w:pPr>
      <w:r>
        <w:rPr>
          <w:b/>
          <w:bCs/>
        </w:rPr>
        <w:t xml:space="preserve">Closing note. </w:t>
      </w:r>
      <w:r>
        <w:t xml:space="preserve">The distance between the current build and this Definition of Done is real but bounded, precisely because the July 5 specification and its Development Plan already supply the target numbers, the pseudocode, and the acceptance tests. The work of the next 12 weeks is not research — it is disciplined engineering against a fixed, verified target. Build the harness first, move the mathematics from the report layer into a tested core, and let the model card make faithfulness the only way to ship.</w:t>
      </w:r>
    </w:p>
    <w:sectPr>
      <w:footerReference w:type="default" r:id="rId9"/>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360"/>
      </w:tabs>
    </w:pPr>
    <w:r>
      <w:rPr>
        <w:color w:val="808080"/>
        <w:sz w:val="16"/>
        <w:szCs w:val="16"/>
      </w:rPr>
      <w:t xml:space="preserve">SENA Senior-Architect Advisory · 6 July 2026 · Confidential</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12960"/>
      </w:tabs>
    </w:pPr>
    <w:r>
      <w:rPr>
        <w:color w:val="808080"/>
        <w:sz w:val="16"/>
        <w:szCs w:val="16"/>
      </w:rPr>
      <w:t xml:space="preserve">SENA Senior-Architect Advisory · 6 July 2026 · Confidential</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360"/>
      </w:tabs>
    </w:pPr>
    <w:r>
      <w:rPr>
        <w:color w:val="808080"/>
        <w:sz w:val="16"/>
        <w:szCs w:val="16"/>
      </w:rPr>
      <w:t xml:space="preserve">SENA Senior-Architect Advisory · 6 July 2026 · Confidential</w:t>
    </w:r>
    <w:r>
      <w:rPr>
        <w:color w:val="808080"/>
        <w:sz w:val="16"/>
        <w:szCs w:val="16"/>
      </w:rPr>
      <w:t xml:space="preserve">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00"/>
      <w:outlineLvl w:val="0"/>
    </w:pPr>
    <w:rPr>
      <w:rFonts w:ascii="Arial" w:cs="Arial" w:eastAsia="Arial" w:hAnsi="Arial"/>
      <w:b/>
      <w:bCs/>
      <w:color w:val="1F3A5F"/>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4A6B"/>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A3A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 Senior-Architect Advisory Report</dc:title>
  <dc:creator>SENA Advisory</dc:creator>
  <cp:lastModifiedBy>Un-named</cp:lastModifiedBy>
  <cp:revision>1</cp:revision>
  <dcterms:created xsi:type="dcterms:W3CDTF">2026-07-06T10:28:01.828Z</dcterms:created>
  <dcterms:modified xsi:type="dcterms:W3CDTF">2026-07-06T10:28:01.828Z</dcterms:modified>
</cp:coreProperties>
</file>

<file path=docProps/custom.xml><?xml version="1.0" encoding="utf-8"?>
<Properties xmlns="http://schemas.openxmlformats.org/officeDocument/2006/custom-properties" xmlns:vt="http://schemas.openxmlformats.org/officeDocument/2006/docPropsVTypes"/>
</file>