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52"/>
          <w:szCs w:val="52"/>
        </w:rPr>
        <w:t xml:space="preserve">SENA - Senior Architect Advisory Report</w:t>
      </w:r>
    </w:p>
    <w:p>
      <w:pPr>
        <w:spacing w:after="120"/>
        <w:jc w:val="center"/>
      </w:pPr>
      <w:r>
        <w:rPr>
          <w:rFonts w:ascii="Arial" w:cs="Arial" w:eastAsia="Arial" w:hAnsi="Arial"/>
          <w:color w:val="444444"/>
          <w:sz w:val="26"/>
          <w:szCs w:val="26"/>
        </w:rPr>
        <w:t xml:space="preserve">Re-examination of www.sena.hk against the 2026-07-05 normative specification</w:t>
      </w:r>
    </w:p>
    <w:p>
      <w:pPr>
        <w:spacing w:after="900"/>
        <w:jc w:val="center"/>
      </w:pPr>
      <w:r>
        <w:rPr>
          <w:rFonts w:ascii="Arial" w:cs="Arial" w:eastAsia="Arial" w:hAnsi="Arial"/>
          <w:color w:val="666666"/>
          <w:sz w:val="22"/>
          <w:szCs w:val="22"/>
        </w:rPr>
        <w:t xml:space="preserve">Version 2.0 · 9 July 2026 · Prepared for Dr. Peter and the SENA engineering team</w:t>
      </w:r>
    </w:p>
    <w:p>
      <w:pPr>
        <w:spacing w:after="120"/>
        <w:jc w:val="center"/>
      </w:pPr>
      <w:r>
        <w:rPr>
          <w:rFonts w:ascii="Arial" w:cs="Arial" w:eastAsia="Arial" w:hAnsi="Arial"/>
          <w:i/>
          <w:iCs/>
          <w:color w:val="666666"/>
          <w:sz w:val="18"/>
          <w:szCs w:val="18"/>
        </w:rPr>
        <w:t xml:space="preserve">Normative inputs: “20260705_SENA_clean version.docx” (mathematical specification) and “20260705_SENA_Development_Plan.docx” (algorithm and website development plan). Audit basis: full source inspection of the SENA workspace (sena-hk-template at commit 2ba2c63 plus ~400 uncommitted working-tree changes dated 7–9 July), execution of the project test suite, independent numerical verification, and live checks of https://www.sena.hk on 9 July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rPr>
          <w:rFonts w:ascii="Arial" w:cs="Arial" w:eastAsia="Arial" w:hAnsi="Arial"/>
          <w:sz w:val="22"/>
          <w:szCs w:val="22"/>
        </w:rPr>
        <w:t xml:space="preserve">SENA is in a materially better state than it was one week ago, and in a materially riskier state than its own working tree suggests. Between 7 and 9 July the team implemented most of the July 5 development plan's mathematical core: a real operator module (lib/sena/operators.ts) with admissible normalization, fusion assembly with an independent B^CP block, degree and isolated-vertex reporting, zero-inverse and epsilon-regularized Laplacians, directed-operator diagnostics, Schoenberg-checked classical MDS, Laplacian eigenmaps, commute-time embedding, and the G/Ĝ attribution identities. The worked example reproduces the specification exactly (A_fusion entries to machine precision; degrees (2, 2.25, 1.25, 2, 2.667, 2.333); Laplacian spectrum {0, 0.88, 1.88, 2.61, 3.31, 3.81}), and golden tests T1–T15 exist and pass. A ten-section model card, a provenance envelope on every analysis run, seeded permutation and bootstrap inference with Holm correction, typed-centrality guardrails, and an attribution wording gate are all present. This is genuine progress, and the team should hear that clearly.</w:t>
      </w:r>
    </w:p>
    <w:p>
      <w:pPr>
        <w:spacing w:after="120" w:line="276"/>
      </w:pPr>
      <w:r>
        <w:rPr>
          <w:rFonts w:ascii="Arial" w:cs="Arial" w:eastAsia="Arial" w:hAnsi="Arial"/>
          <w:sz w:val="22"/>
          <w:szCs w:val="22"/>
        </w:rPr>
        <w:t xml:space="preserve">The re-examination nevertheless finds three problems severe enough to undermine the platform's central claim of mathematical faithfulness, and two structural problems that put the work itself at risk. First, none of this improvement is deployed or committed: the live site still serves the 3 July build (June 11 algorithm semantics, placeholder legal pages, no operator layer), while roughly 400 changed files sit uncommitted in the working tree with no CI pipeline protecting them. Second, the default analysis mode is directed, yet all three formal embeddings are computed by symmetric-only algorithms that silently mirror the asymmetric fusion matrix - precisely the silent symmetrization the specification forbids - while the UI badge reads “Directed input preserved.” Third, the in-house eigensolver caps work at 100 rotations (mislabeled “sweeps”) with no convergence check, so spectra, embeddings, exactness flags, and PSD checks are silently wrong for graphs larger than roughly 15 nodes - smaller than a single real classroom dataset.</w:t>
      </w:r>
    </w:p>
    <w:p>
      <w:pPr>
        <w:spacing w:after="120" w:line="276"/>
      </w:pPr>
      <w:r>
        <w:rPr>
          <w:rFonts w:ascii="Arial" w:cs="Arial" w:eastAsia="Arial" w:hAnsi="Arial"/>
          <w:sz w:val="22"/>
          <w:szCs w:val="22"/>
        </w:rPr>
        <w:t xml:space="preserve">Classification: the site is a research prototype in mid-hardening toward a research pilot. It is not yet a maintainable product, but - unlike at the 6 July audit - the distance is now measured in engineering discipline (commits, CI, wiring, numerics) rather than in missing mathematics.</w:t>
      </w:r>
    </w:p>
    <w:p>
      <w:pPr>
        <w:pStyle w:val="Heading2"/>
      </w:pPr>
      <w:r>
        <w:t xml:space="preserve">Top 5 blockers for reliable modification in the next 3 months</w:t>
      </w:r>
    </w:p>
    <w:p>
      <w:pPr>
        <w:pStyle w:val="ListParagraph"/>
        <w:numPr>
          <w:ilvl w:val="0"/>
          <w:numId w:val="2"/>
        </w:numPr>
        <w:spacing w:after="80" w:line="276"/>
      </w:pPr>
      <w:r>
        <w:rPr>
          <w:rFonts w:ascii="Arial" w:cs="Arial" w:eastAsia="Arial" w:hAnsi="Arial"/>
          <w:b w:val="false"/>
          <w:bCs w:val="false"/>
          <w:sz w:val="22"/>
          <w:szCs w:val="22"/>
        </w:rPr>
        <w:t xml:space="preserve">B1 (P0) - The remediation exists only as ~400 uncommitted local file changes; the live site and the last commit (3 July) predate all of it. No CI, no branch protection, no deploy gate. One careless git operation loses the work; every external reviewer sees the old, non-compliant site. [Issues R-01, R-10]</w:t>
      </w:r>
    </w:p>
    <w:p>
      <w:pPr>
        <w:pStyle w:val="ListParagraph"/>
        <w:numPr>
          <w:ilvl w:val="0"/>
          <w:numId w:val="2"/>
        </w:numPr>
        <w:spacing w:after="80" w:line="276"/>
      </w:pPr>
      <w:r>
        <w:rPr>
          <w:rFonts w:ascii="Arial" w:cs="Arial" w:eastAsia="Arial" w:hAnsi="Arial"/>
          <w:b w:val="false"/>
          <w:bCs w:val="false"/>
          <w:sz w:val="22"/>
          <w:szCs w:val="22"/>
        </w:rPr>
        <w:t xml:space="preserve">B2 (P0) - Directed-by-default fusion is fed to symmetric-only embedding operators with no guard: the Jacobi routine implicitly symmetrizes, MDS runs on an asymmetric dissimilarity, and the default sample dataset renders joint coordinates with max |A - A^T| = 1.0 while badged “Directed input preserved.” [R-02]</w:t>
      </w:r>
    </w:p>
    <w:p>
      <w:pPr>
        <w:pStyle w:val="ListParagraph"/>
        <w:numPr>
          <w:ilvl w:val="0"/>
          <w:numId w:val="2"/>
        </w:numPr>
        <w:spacing w:after="80" w:line="276"/>
      </w:pPr>
      <w:r>
        <w:rPr>
          <w:rFonts w:ascii="Arial" w:cs="Arial" w:eastAsia="Arial" w:hAnsi="Arial"/>
          <w:b w:val="false"/>
          <w:bCs w:val="false"/>
          <w:sz w:val="22"/>
          <w:szCs w:val="22"/>
        </w:rPr>
        <w:t xml:space="preserve">B3 (P0) - Silent eigensolver non-convergence at realistic sizes: 100 rotations total, no residual check. Measured unresolved off-diagonal energy: 0.19 at n=15, 29.6 at n=30, 266.7 at n=60 (about 23% of total spectral energy). Every spectral quantity the site shows becomes silently wrong beyond toy sizes. [R-03]</w:t>
      </w:r>
    </w:p>
    <w:p>
      <w:pPr>
        <w:pStyle w:val="ListParagraph"/>
        <w:numPr>
          <w:ilvl w:val="0"/>
          <w:numId w:val="2"/>
        </w:numPr>
        <w:spacing w:after="80" w:line="276"/>
      </w:pPr>
      <w:r>
        <w:rPr>
          <w:rFonts w:ascii="Arial" w:cs="Arial" w:eastAsia="Arial" w:hAnsi="Arial"/>
          <w:b w:val="false"/>
          <w:bCs w:val="false"/>
          <w:sz w:val="22"/>
          <w:szCs w:val="22"/>
        </w:rPr>
        <w:t xml:space="preserve">B4 (P1) - Isolated-vertex handling contradicts the specification twice: any I0 vertex disables all formal embeddings instead of restricting to V+, and in directed mode isolation is judged on row sums only, so a person who is only spoken to (in-degree 3, out-degree 0) is misclassified as isolated - and their presence then kills the joint view. [R-04, R-05]</w:t>
      </w:r>
    </w:p>
    <w:p>
      <w:pPr>
        <w:pStyle w:val="ListParagraph"/>
        <w:numPr>
          <w:ilvl w:val="0"/>
          <w:numId w:val="2"/>
        </w:numPr>
        <w:spacing w:after="80" w:line="276"/>
      </w:pPr>
      <w:r>
        <w:rPr>
          <w:rFonts w:ascii="Arial" w:cs="Arial" w:eastAsia="Arial" w:hAnsi="Arial"/>
          <w:b w:val="false"/>
          <w:bCs w:val="false"/>
          <w:sz w:val="22"/>
          <w:szCs w:val="22"/>
        </w:rPr>
        <w:t xml:space="preserve">B5 (P1) - Silent fallback chains break provenance: joint layout falls back (selected operator to MDS to exploratory ring) without telling the canvas; the provenance strip and the guardrail text can describe an operator that is not the one on screen; the analysis provenance envelope always reports MDS regardless of the rendered operator. [R-06, R-07]</w:t>
      </w:r>
    </w:p>
    <w:p>
      <w:pPr>
        <w:spacing w:after="120" w:line="276"/>
      </w:pPr>
      <w:r>
        <w:rPr>
          <w:rFonts w:ascii="Arial" w:cs="Arial" w:eastAsia="Arial" w:hAnsi="Arial"/>
          <w:sz w:val="22"/>
          <w:szCs w:val="22"/>
        </w:rPr>
        <w:t xml:space="preserve">Everything else - performance, storage, UI copy, architecture hygiene - is important but does not block a credible 3-month outcome if these five are fixed in the first four weeks.</w:t>
      </w:r>
    </w:p>
    <w:p>
      <w:r>
        <w:br w:type="page"/>
      </w:r>
    </w:p>
    <w:p>
      <w:pPr>
        <w:pStyle w:val="Heading1"/>
      </w:pPr>
      <w:r>
        <w:t xml:space="preserve">2. Mathematical fidelity risks</w:t>
      </w:r>
    </w:p>
    <w:p>
      <w:pPr>
        <w:spacing w:after="120" w:line="276"/>
      </w:pPr>
      <w:r>
        <w:rPr>
          <w:rFonts w:ascii="Arial" w:cs="Arial" w:eastAsia="Arial" w:hAnsi="Arial"/>
          <w:sz w:val="22"/>
          <w:szCs w:val="22"/>
        </w:rPr>
        <w:t xml:space="preserve">Method: the July 5 specification was treated as normative. Claims below are grounded in source inspection of the current working tree, execution of the project's own test suite (93 test files; golden tests green; one unrelated failing test), independent numerical reproduction of the worked example, and targeted counterexample scripts run against lib/sena/operators.ts and lib/sena/model.ts. Live-site statements are grounded in fetches of www.sena.hk pages and the public /api/sena/docs endpoint on 9 July 2026.</w:t>
      </w:r>
    </w:p>
    <w:p>
      <w:pPr>
        <w:pStyle w:val="Heading2"/>
      </w:pPr>
      <w:r>
        <w:t xml:space="preserve">2.1 What is now faithful (verified)</w:t>
      </w:r>
    </w:p>
    <w:p>
      <w:pPr>
        <w:pStyle w:val="ListParagraph"/>
        <w:numPr>
          <w:ilvl w:val="0"/>
          <w:numId w:val="2"/>
        </w:numPr>
        <w:spacing w:after="80" w:line="276"/>
      </w:pPr>
      <w:r>
        <w:rPr>
          <w:rFonts w:ascii="Arial" w:cs="Arial" w:eastAsia="Arial" w:hAnsi="Arial"/>
          <w:b w:val="false"/>
          <w:bCs w:val="false"/>
          <w:sz w:val="22"/>
          <w:szCs w:val="22"/>
        </w:rPr>
        <w:t xml:space="preserve">A_fusion is assembled per the spec (block matrix with alpha, beta, gamma; independent B^CP supported) and, in the new code path, is analytically used: typed fused degrees, I0, Laplacian diagnostics, and all three embeddings are computed from it. Worked example reproduces exactly (T1-T4).</w:t>
      </w:r>
    </w:p>
    <w:p>
      <w:pPr>
        <w:pStyle w:val="ListParagraph"/>
        <w:numPr>
          <w:ilvl w:val="0"/>
          <w:numId w:val="2"/>
        </w:numPr>
        <w:spacing w:after="80" w:line="276"/>
      </w:pPr>
      <w:r>
        <w:rPr>
          <w:rFonts w:ascii="Arial" w:cs="Arial" w:eastAsia="Arial" w:hAnsi="Arial"/>
          <w:b w:val="false"/>
          <w:bCs w:val="false"/>
          <w:sz w:val="22"/>
          <w:szCs w:val="22"/>
        </w:rPr>
        <w:t xml:space="preserve">Admissible normalization (max, Frobenius, log1p-max) enforces N(0)=0, positive divisors, dimension and nonnegativity preservation; divisors and scale-invariance flags are disclosed; alpha, beta, gamma default to 1 and are declared relative to the rule (T14, T15).</w:t>
      </w:r>
    </w:p>
    <w:p>
      <w:pPr>
        <w:pStyle w:val="ListParagraph"/>
        <w:numPr>
          <w:ilvl w:val="0"/>
          <w:numId w:val="2"/>
        </w:numPr>
        <w:spacing w:after="80" w:line="276"/>
      </w:pPr>
      <w:r>
        <w:rPr>
          <w:rFonts w:ascii="Arial" w:cs="Arial" w:eastAsia="Arial" w:hAnsi="Arial"/>
          <w:b w:val="false"/>
          <w:bCs w:val="false"/>
          <w:sz w:val="22"/>
          <w:szCs w:val="22"/>
        </w:rPr>
        <w:t xml:space="preserve">Isolated vertices are retained and reported (I0 registry, never auto-deleted); zero-inverse and epsilon-regularized operators exist with correct behavior on the c4 fixture (T5-T7).</w:t>
      </w:r>
    </w:p>
    <w:p>
      <w:pPr>
        <w:pStyle w:val="ListParagraph"/>
        <w:numPr>
          <w:ilvl w:val="0"/>
          <w:numId w:val="2"/>
        </w:numPr>
        <w:spacing w:after="80" w:line="276"/>
      </w:pPr>
      <w:r>
        <w:rPr>
          <w:rFonts w:ascii="Arial" w:cs="Arial" w:eastAsia="Arial" w:hAnsi="Arial"/>
          <w:b w:val="false"/>
          <w:bCs w:val="false"/>
          <w:sz w:val="22"/>
          <w:szCs w:val="22"/>
        </w:rPr>
        <w:t xml:space="preserve">Directed diagnostics exist at the operator level: the sym(D_out - A_dir) counterexample (min eig -0.218), row-stochastic out-degree random walk on V+ (T8, T9).</w:t>
      </w:r>
    </w:p>
    <w:p>
      <w:pPr>
        <w:pStyle w:val="ListParagraph"/>
        <w:numPr>
          <w:ilvl w:val="0"/>
          <w:numId w:val="2"/>
        </w:numPr>
        <w:spacing w:after="80" w:line="276"/>
      </w:pPr>
      <w:r>
        <w:rPr>
          <w:rFonts w:ascii="Arial" w:cs="Arial" w:eastAsia="Arial" w:hAnsi="Arial"/>
          <w:b w:val="false"/>
          <w:bCs w:val="false"/>
          <w:sz w:val="22"/>
          <w:szCs w:val="22"/>
        </w:rPr>
        <w:t xml:space="preserve">Schoenberg/MDS and commute-time behave per Proposition 5 and Remark 2 on the golden fixture: min eig(K) = -1.637, rank-2 max distortion 0.718, commute-time exact to below 1e-9 (T10, T11).</w:t>
      </w:r>
    </w:p>
    <w:p>
      <w:pPr>
        <w:pStyle w:val="ListParagraph"/>
        <w:numPr>
          <w:ilvl w:val="0"/>
          <w:numId w:val="2"/>
        </w:numPr>
        <w:spacing w:after="80" w:line="276"/>
      </w:pPr>
      <w:r>
        <w:rPr>
          <w:rFonts w:ascii="Arial" w:cs="Arial" w:eastAsia="Arial" w:hAnsi="Arial"/>
          <w:b w:val="false"/>
          <w:bCs w:val="false"/>
          <w:sz w:val="22"/>
          <w:szCs w:val="22"/>
        </w:rPr>
        <w:t xml:space="preserve">Attribution: G_i = X^T diag(Y_i) X slices are PSD; the sum identity holds; G-hat bounds and the 0/0-to-0 convention hold (T12, T13); wording gate defaults to association/exposure and requires registered person-specific evidence for “contribution.”</w:t>
      </w:r>
    </w:p>
    <w:p>
      <w:pPr>
        <w:pStyle w:val="ListParagraph"/>
        <w:numPr>
          <w:ilvl w:val="0"/>
          <w:numId w:val="2"/>
        </w:numPr>
        <w:spacing w:after="80" w:line="276"/>
      </w:pPr>
      <w:r>
        <w:rPr>
          <w:rFonts w:ascii="Arial" w:cs="Arial" w:eastAsia="Arial" w:hAnsi="Arial"/>
          <w:b w:val="false"/>
          <w:bCs w:val="false"/>
          <w:sz w:val="22"/>
          <w:szCs w:val="22"/>
        </w:rPr>
        <w:t xml:space="preserve">Typed centrality is reported as four families (persons-on-S, codes-on-W, bridges-on-B, whole-graph typed degree) with an explicit “no mixed ranking” guardrail.</w:t>
      </w:r>
    </w:p>
    <w:p>
      <w:pPr>
        <w:pStyle w:val="Heading2"/>
      </w:pPr>
      <w:r>
        <w:t xml:space="preserve">2.2 Open fidelity defects</w:t>
      </w:r>
    </w:p>
    <w:p>
      <w:pPr>
        <w:pStyle w:val="Heading3"/>
      </w:pPr>
      <w:r>
        <w:t xml:space="preserve">F-1 - Silent symmetrization of directed data inside every formal embedding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Severity</w:t>
            </w:r>
          </w:p>
        </w:tc>
        <w:tc>
          <w:tcPr>
            <w:tcW w:type="dxa" w:w="7560"/>
            <w:tcBorders>
              <w:top w:val="single" w:color="B8C2CC" w:sz="1"/>
              <w:left w:val="single" w:color="B8C2CC" w:sz="1"/>
              <w:bottom w:val="single" w:color="B8C2CC" w:sz="1"/>
              <w:right w:val="single" w:color="B8C2CC" w:sz="1"/>
            </w:tcBorders>
            <w:tcMar>
              <w:top w:type="dxa" w:w="60"/>
              <w:left w:type="dxa" w:w="100"/>
              <w:bottom w:type="dxa" w:w="60"/>
              <w:right w:type="dxa" w:w="100"/>
            </w:tcMar>
          </w:tcPr>
          <w:p>
            <w:r>
              <w:rPr>
                <w:rFonts w:ascii="Arial" w:cs="Arial" w:eastAsia="Arial" w:hAnsi="Arial"/>
                <w:b/>
                <w:bCs/>
                <w:color w:val="B00020"/>
                <w:sz w:val="18"/>
                <w:szCs w:val="18"/>
              </w:rPr>
              <w:t xml:space="preserve">Critical</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Evidence</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defaultOptions.direction = "directed" (model.ts:60). buildEmbeddingDiagnostics(fusion, ...) passes the raw, asymmetric fusion matrix to senaSchoenbergMdsDiagnostics, senaLaplacianEigenmapDiagnostics, and senaCommuteTimeEmbeddingDiagnostics. senaSymmetricEigenDecomposition mirrors a[p][k] into a[k][p] on every rotation - an undeclared, traversal-order-dependent symmetrization. Reproduced: the default sample dataset builds A with max |A - A^T| = 1.0, yet mds.available = true, stress = 0.298, and the direction badge reads "Directed input preserved." The spec's directed section and dev-plan A5 forbid exactly this ("NEVER symmetrize silently"; "FORBIDDEN: calling undirected Corollary-1 claims on A_dir").</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User-facing feature</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Joint fusion view (default layout), embedding provenance strip, model card embedding section, analysis API provenance envelope.</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Technical layer</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M5/M6 boundary - lib/sena/model.ts buildEmbeddingDiagnostics; lib/sena/operators.ts eigendecomposition.</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Recommended fix</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Add a symmetry assertion in senaSymmetricEigenDecomposition (throw when max |A - A^T| exceeds tolerance). In buildEmbeddingDiagnostics, branch on direction: (a) undirected uses the current path; (b) directed either computes declared directed operators (out-/in-degree random walk per A5) or applies explicit A_sym = (A + A^T)/2 and sets a mandatory "Direction collapsed by symmetrization" badge on the embedding provenance, independent of the ingest badge.</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Acceptance criterion</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With direction=directed and asymmetric R: (1) no symmetric-only operator runs on raw A_dir; (2) the joint view shows either directed-operator output or an explicit collapse badge; (3) a regression test asserts senaSymmetricEigenDecomposition throws on asymmetric input; (4) golden T8/T9 still pass.</w:t>
            </w:r>
          </w:p>
        </w:tc>
      </w:tr>
    </w:tbl>
    <w:p>
      <w:pPr>
        <w:spacing w:after="120" w:line="276"/>
      </w:pPr>
      <w:r>
        <w:rPr>
          <w:rFonts w:ascii="Arial" w:cs="Arial" w:eastAsia="Arial" w:hAnsi="Arial"/>
          <w:sz w:val="22"/>
          <w:szCs w:val="22"/>
        </w:rPr>
        <w:t xml:space="preserve"/>
      </w:r>
    </w:p>
    <w:p>
      <w:pPr>
        <w:pStyle w:val="Heading3"/>
      </w:pPr>
      <w:r>
        <w:t xml:space="preserve">F-2 - Eigensolver silently non-convergent beyond ~15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Severity</w:t>
            </w:r>
          </w:p>
        </w:tc>
        <w:tc>
          <w:tcPr>
            <w:tcW w:type="dxa" w:w="7560"/>
            <w:tcBorders>
              <w:top w:val="single" w:color="B8C2CC" w:sz="1"/>
              <w:left w:val="single" w:color="B8C2CC" w:sz="1"/>
              <w:bottom w:val="single" w:color="B8C2CC" w:sz="1"/>
              <w:right w:val="single" w:color="B8C2CC" w:sz="1"/>
            </w:tcBorders>
            <w:tcMar>
              <w:top w:type="dxa" w:w="60"/>
              <w:left w:type="dxa" w:w="100"/>
              <w:bottom w:type="dxa" w:w="60"/>
              <w:right w:type="dxa" w:w="100"/>
            </w:tcMar>
          </w:tcPr>
          <w:p>
            <w:r>
              <w:rPr>
                <w:rFonts w:ascii="Arial" w:cs="Arial" w:eastAsia="Arial" w:hAnsi="Arial"/>
                <w:b/>
                <w:bCs/>
                <w:color w:val="B00020"/>
                <w:sz w:val="18"/>
                <w:szCs w:val="18"/>
              </w:rPr>
              <w:t xml:space="preserve">Critical</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Evidence</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operators.ts senaSymmetricEigenDecomposition: maxSweeps = 100, but each "sweep" is one Jacobi rotation (single pivot). Converging an n-by-n matrix needs on the order of n^2 log(1/eps) rotations. There is no convergence check after the loop; the diagonal is returned as eigenvalues regardless of residual. Measured with the rotation-invariant Frobenius test: unresolved off-diagonal energy 0.19 at n=15, 29.58 at n=30, 266.65 at n=60 (about 23% of total spectral energy). All golden fixtures are 7 nodes or fewer, so the tests cannot catch it.</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User-facing feature</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Everything spectral at realistic dataset sizes: Laplacian spectra, eigenmaps and commute-time coordinates, Schoenberg exactness flags and stress, PSD checks in attribution diagnostics, zero-eigenvalue connectivity counts.</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Technical layer</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M5/M6 - lib/sena/operators.ts (also consumed by model-card and report evidence).</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Recommended fix</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Implement cyclic Jacobi with true sweeps (n(n-1)/2 rotations per sweep, e.g. 30 sweeps max), track the off-diagonal residual, and either converge to tolerance or throw a diagnostics error carried into provenance. Alternatively adopt a vetted JS numeric library. Add invariant tests at n = 30 and n = 60: trace preservation, sum of squared eigenvalues equals the squared Frobenius norm within 1e-8, eigenvector orthogonality.</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Acceptance criterion</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Random symmetric n=60 matrix: sum of squared eigenvalues matches the squared Frobenius norm to 1e-8; residual reported in diagnostics; non-convergence surfaces as an explicit error state in the UI rather than wrong numbers.</w:t>
            </w:r>
          </w:p>
        </w:tc>
      </w:tr>
    </w:tbl>
    <w:p>
      <w:pPr>
        <w:spacing w:after="120" w:line="276"/>
      </w:pPr>
      <w:r>
        <w:rPr>
          <w:rFonts w:ascii="Arial" w:cs="Arial" w:eastAsia="Arial" w:hAnsi="Arial"/>
          <w:sz w:val="22"/>
          <w:szCs w:val="22"/>
        </w:rPr>
        <w:t xml:space="preserve"/>
      </w:r>
    </w:p>
    <w:p>
      <w:pPr>
        <w:pStyle w:val="Heading3"/>
      </w:pPr>
      <w:r>
        <w:t xml:space="preserve">F-3 - Isolated vertices disable all formal embeddings instead of V+ restriction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Severity</w:t>
            </w:r>
          </w:p>
        </w:tc>
        <w:tc>
          <w:tcPr>
            <w:tcW w:type="dxa" w:w="7560"/>
            <w:tcBorders>
              <w:top w:val="single" w:color="B8C2CC" w:sz="1"/>
              <w:left w:val="single" w:color="B8C2CC" w:sz="1"/>
              <w:bottom w:val="single" w:color="B8C2CC" w:sz="1"/>
              <w:right w:val="single" w:color="B8C2CC" w:sz="1"/>
            </w:tcBorders>
            <w:tcMar>
              <w:top w:type="dxa" w:w="60"/>
              <w:left w:type="dxa" w:w="100"/>
              <w:bottom w:type="dxa" w:w="60"/>
              <w:right w:type="dxa" w:w="100"/>
            </w:tcMar>
          </w:tcPr>
          <w:p>
            <w:r>
              <w:rPr>
                <w:rFonts w:ascii="Arial" w:cs="Arial" w:eastAsia="Arial" w:hAnsi="Arial"/>
                <w:b/>
                <w:bCs/>
                <w:color w:val="C05000"/>
                <w:sz w:val="18"/>
                <w:szCs w:val="18"/>
              </w:rPr>
              <w:t xml:space="preserve">High</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Evidence</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model.ts:108-148: if isolatedVertices.length &gt; 0, MDS, eigenmaps, and commute-time are all returned unavailable ("Formal embedding diagnostics unavailable because N isolated vertices are retained in I0"). Spec convention (a) and dev-plan A4 require restriction to V+ (compute on the connected non-isolated subgraph, report I0 separately). A unit test even encodes the wrong behavior as intended. Real CSCL datasets almost always contain never-activated codes, so the flagship joint view degrades to the ring fallback exactly when the data is real.</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User-facing feature</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Joint fusion view on any dataset with an unused code or silent participant; isolated-node panel semantics.</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Technical layer</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M5/M6 - buildEmbeddingDiagnostics; fusion-layout fallback.</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Recommended fix</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Compute embeddings on the largest connected component of V+ (or per component), place I0 nodes dimmed at the margin with a legend, and disclose the restriction in the provenance strip and model card ("computed on V+, |I0| = k listed"). Update the defaults test to assert the V+ behavior instead of blanket unavailability.</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Acceptance criterion</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Golden T5 dataset (c4 isolated): joint view renders embedding coordinates for the 6 connected nodes, c4 drawn dimmed and listed in I0; provenance shows the V+ restriction; no silent ring fallback.</w:t>
            </w:r>
          </w:p>
        </w:tc>
      </w:tr>
    </w:tbl>
    <w:p>
      <w:pPr>
        <w:spacing w:after="120" w:line="276"/>
      </w:pPr>
      <w:r>
        <w:rPr>
          <w:rFonts w:ascii="Arial" w:cs="Arial" w:eastAsia="Arial" w:hAnsi="Arial"/>
          <w:sz w:val="22"/>
          <w:szCs w:val="22"/>
        </w:rPr>
        <w:t xml:space="preserve"/>
      </w:r>
    </w:p>
    <w:p>
      <w:pPr>
        <w:pStyle w:val="Heading3"/>
      </w:pPr>
      <w:r>
        <w:t xml:space="preserve">F-4 - Directed isolation misclassified: row-sum-only degree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Severity</w:t>
            </w:r>
          </w:p>
        </w:tc>
        <w:tc>
          <w:tcPr>
            <w:tcW w:type="dxa" w:w="7560"/>
            <w:tcBorders>
              <w:top w:val="single" w:color="B8C2CC" w:sz="1"/>
              <w:left w:val="single" w:color="B8C2CC" w:sz="1"/>
              <w:bottom w:val="single" w:color="B8C2CC" w:sz="1"/>
              <w:right w:val="single" w:color="B8C2CC" w:sz="1"/>
            </w:tcBorders>
            <w:tcMar>
              <w:top w:type="dxa" w:w="60"/>
              <w:left w:type="dxa" w:w="100"/>
              <w:bottom w:type="dxa" w:w="60"/>
              <w:right w:type="dxa" w:w="100"/>
            </w:tcMar>
          </w:tcPr>
          <w:p>
            <w:r>
              <w:rPr>
                <w:rFonts w:ascii="Arial" w:cs="Arial" w:eastAsia="Arial" w:hAnsi="Arial"/>
                <w:b/>
                <w:bCs/>
                <w:color w:val="C05000"/>
                <w:sz w:val="18"/>
                <w:szCs w:val="18"/>
              </w:rPr>
              <w:t xml:space="preserve">High</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Evidence</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findSenaIsolatedVertices uses row sums (out-degree) only. Reproduced: person P4 with in-degree 3 and out-degree 0 is listed in I0. In directed mode this misreports a well-connected listener as isolated, and via F-3 also disables all embeddings. Spec: fusion-isolated means d_i = 0 in the full A_fusion (undirected); the directed case requires a declared convention over in+out degree.</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User-facing feature</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Isolated-node panel, I0 registry in model card, embedding availability.</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Technical layer</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M5 - operators.ts findSenaIsolatedVertices and senaDegreeVector consumers in model.ts.</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Recommended fix</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In directed mode define isolation as (out-degree + in-degree) = 0, declared in the conventions constant, or compute both and label source-isolated / sink-isolated distinctly. Add a fixture with an in-degree-only vertex.</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Acceptance criterion</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P4 fixture: not in I0; labeled with out-degree 0 / in-degree 3; embeddings unaffected; convention string visible in the model card.</w:t>
            </w:r>
          </w:p>
        </w:tc>
      </w:tr>
    </w:tbl>
    <w:p>
      <w:pPr>
        <w:spacing w:after="120" w:line="276"/>
      </w:pPr>
      <w:r>
        <w:rPr>
          <w:rFonts w:ascii="Arial" w:cs="Arial" w:eastAsia="Arial" w:hAnsi="Arial"/>
          <w:sz w:val="22"/>
          <w:szCs w:val="22"/>
        </w:rPr>
        <w:t xml:space="preserve"/>
      </w:r>
    </w:p>
    <w:p>
      <w:pPr>
        <w:pStyle w:val="Heading3"/>
      </w:pPr>
      <w:r>
        <w:t xml:space="preserve">F-5 - Silent fallback chain mislabels rendered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Severity</w:t>
            </w:r>
          </w:p>
        </w:tc>
        <w:tc>
          <w:tcPr>
            <w:tcW w:type="dxa" w:w="7560"/>
            <w:tcBorders>
              <w:top w:val="single" w:color="B8C2CC" w:sz="1"/>
              <w:left w:val="single" w:color="B8C2CC" w:sz="1"/>
              <w:bottom w:val="single" w:color="B8C2CC" w:sz="1"/>
              <w:right w:val="single" w:color="B8C2CC" w:sz="1"/>
            </w:tcBorders>
            <w:tcMar>
              <w:top w:type="dxa" w:w="60"/>
              <w:left w:type="dxa" w:w="100"/>
              <w:bottom w:type="dxa" w:w="60"/>
              <w:right w:type="dxa" w:w="100"/>
            </w:tcMar>
          </w:tcPr>
          <w:p>
            <w:r>
              <w:rPr>
                <w:rFonts w:ascii="Arial" w:cs="Arial" w:eastAsia="Arial" w:hAnsi="Arial"/>
                <w:b/>
                <w:bCs/>
                <w:color w:val="C05000"/>
                <w:sz w:val="18"/>
                <w:szCs w:val="18"/>
              </w:rPr>
              <w:t xml:space="preserve">High</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Evidence</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components/sena/workspace/fusion-layout.ts: jointLayout returns explanatoryLayout(model) when coordinates are missing or length-mismatched; formalEmbeddingCoordinates falls through to MDS when the selected operator is unavailable. The canvas receives no signal of which source produced the dots. The static guardrail text still says "Joint mode uses declared A_fusion embedding operators ..." while the screen may show the readability ring; the provenance strip can show "unavailable" for the selected operator while MDS coordinates render.</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User-facing feature</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Joint fusion view, interpretation guardrail, provenance strip.</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Technical layer</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M11 UI - fusion-layout.ts, fusion-canvas.tsx, workspace-right-inspector-column.tsx.</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Recommended fix</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computeFusionLayout must return { nodes, source: selected-operator | mds-fallback | exploratory-fallback, reason }. The canvas renders a persistent badge bound to source; guardrail copy binds to the same value; metric readouts are suppressed on any fallback.</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Acceptance criterion</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Force each fallback in a test: badge text matches the actually rendered source; no state exists where strip and canvas disagree.</w:t>
            </w:r>
          </w:p>
        </w:tc>
      </w:tr>
    </w:tbl>
    <w:p>
      <w:pPr>
        <w:spacing w:after="120" w:line="276"/>
      </w:pPr>
      <w:r>
        <w:rPr>
          <w:rFonts w:ascii="Arial" w:cs="Arial" w:eastAsia="Arial" w:hAnsi="Arial"/>
          <w:sz w:val="22"/>
          <w:szCs w:val="22"/>
        </w:rPr>
        <w:t xml:space="preserve"/>
      </w:r>
    </w:p>
    <w:p>
      <w:pPr>
        <w:pStyle w:val="Heading3"/>
      </w:pPr>
      <w:r>
        <w:t xml:space="preserve">F-6 - Provenance envelope hard-codes MDS as the embedding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Severity</w:t>
            </w:r>
          </w:p>
        </w:tc>
        <w:tc>
          <w:tcPr>
            <w:tcW w:type="dxa" w:w="7560"/>
            <w:tcBorders>
              <w:top w:val="single" w:color="B8C2CC" w:sz="1"/>
              <w:left w:val="single" w:color="B8C2CC" w:sz="1"/>
              <w:bottom w:val="single" w:color="B8C2CC" w:sz="1"/>
              <w:right w:val="single" w:color="B8C2CC" w:sz="1"/>
            </w:tcBorders>
            <w:tcMar>
              <w:top w:type="dxa" w:w="60"/>
              <w:left w:type="dxa" w:w="100"/>
              <w:bottom w:type="dxa" w:w="60"/>
              <w:right w:type="dxa" w:w="100"/>
            </w:tcMar>
          </w:tcPr>
          <w:p>
            <w:r>
              <w:rPr>
                <w:rFonts w:ascii="Arial" w:cs="Arial" w:eastAsia="Arial" w:hAnsi="Arial"/>
                <w:b/>
                <w:bCs/>
                <w:color w:val="8A6D00"/>
                <w:sz w:val="18"/>
                <w:szCs w:val="18"/>
              </w:rPr>
              <w:t xml:space="preserve">Medium</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Evidence</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analysis-run.ts:116-121: Phi, delta, d, metric_exact, and stress in the API provenance envelope are always taken from the MDS diagnostics (or options), regardless of the operator the user selected and rendered; the model card's embedding-geometry evidence is likewise MDS-only.</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User-facing feature</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API responses, exported model card, share/export provenance.</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Technical layer</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M11 - analysis-run.ts, model-card.ts.</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Recommended fix</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Carry the selected/rendered operator in build options (it currently lives only in UI state); the envelope reports that operator's diagnostics plus an operator inventory (all three availabilities).</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Acceptance criterion</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Selecting commute-time in the workspace and exporting yields an envelope with operator=commute-time, its exactness/error, and the same values shown on screen.</w:t>
            </w:r>
          </w:p>
        </w:tc>
      </w:tr>
    </w:tbl>
    <w:p>
      <w:pPr>
        <w:spacing w:after="120" w:line="276"/>
      </w:pPr>
      <w:r>
        <w:rPr>
          <w:rFonts w:ascii="Arial" w:cs="Arial" w:eastAsia="Arial" w:hAnsi="Arial"/>
          <w:sz w:val="22"/>
          <w:szCs w:val="22"/>
        </w:rPr>
        <w:t xml:space="preserve"/>
      </w:r>
    </w:p>
    <w:p>
      <w:pPr>
        <w:pStyle w:val="Heading3"/>
      </w:pPr>
      <w:r>
        <w:t xml:space="preserve">F-7 - ENA-space mode remains a projection-error surface with permissive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Severity</w:t>
            </w:r>
          </w:p>
        </w:tc>
        <w:tc>
          <w:tcPr>
            <w:tcW w:type="dxa" w:w="7560"/>
            <w:tcBorders>
              <w:top w:val="single" w:color="B8C2CC" w:sz="1"/>
              <w:left w:val="single" w:color="B8C2CC" w:sz="1"/>
              <w:bottom w:val="single" w:color="B8C2CC" w:sz="1"/>
              <w:right w:val="single" w:color="B8C2CC" w:sz="1"/>
            </w:tcBorders>
            <w:tcMar>
              <w:top w:type="dxa" w:w="60"/>
              <w:left w:type="dxa" w:w="100"/>
              <w:bottom w:type="dxa" w:w="60"/>
              <w:right w:type="dxa" w:w="100"/>
            </w:tcMar>
          </w:tcPr>
          <w:p>
            <w:r>
              <w:rPr>
                <w:rFonts w:ascii="Arial" w:cs="Arial" w:eastAsia="Arial" w:hAnsi="Arial"/>
                <w:b/>
                <w:bCs/>
                <w:color w:val="8A6D00"/>
                <w:sz w:val="18"/>
                <w:szCs w:val="18"/>
              </w:rPr>
              <w:t xml:space="preserve">Medium</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Evidence</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enaSpaceLayout places persons barycentrically among code anchors (weighted average of B rows, scaled by 1.28, plus index offsets) or into jENA unit coordinates. This is the spec's Example 1 invalid operation if read metrically. The guardrail says to "report dimensions, variance, and manifest settings with any distance interpretation," which implies person-code distances are interpretable with caveats - they are not: they come from no joint model.</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User-facing feature</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ENA Space layout mode.</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Technical layer</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M11 - fusion-layout.ts enaSpaceLayout; guardrail copy.</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Recommended fix</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Rename the mode "ENA anchor view (persons anchored for readability)" and set copy: "Person positions are anchored to code positions for readability - person-code distances are not model distances. For metric person-code geometry use Joint mode." Suppress person-code distance affordances in this mode.</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Acceptance criterion</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Copy review passes; no UI element invites cross-type distance reading in ENA-space mode.</w:t>
            </w:r>
          </w:p>
        </w:tc>
      </w:tr>
    </w:tbl>
    <w:p>
      <w:pPr>
        <w:spacing w:after="120" w:line="276"/>
      </w:pPr>
      <w:r>
        <w:rPr>
          <w:rFonts w:ascii="Arial" w:cs="Arial" w:eastAsia="Arial" w:hAnsi="Arial"/>
          <w:sz w:val="22"/>
          <w:szCs w:val="22"/>
        </w:rPr>
        <w:t xml:space="preserve"/>
      </w:r>
    </w:p>
    <w:p>
      <w:pPr>
        <w:pStyle w:val="Heading3"/>
      </w:pPr>
      <w:r>
        <w:t xml:space="preserve">F-8 - Exploratory normalization rule "none" reachable in the options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Severity</w:t>
            </w:r>
          </w:p>
        </w:tc>
        <w:tc>
          <w:tcPr>
            <w:tcW w:type="dxa" w:w="7560"/>
            <w:tcBorders>
              <w:top w:val="single" w:color="B8C2CC" w:sz="1"/>
              <w:left w:val="single" w:color="B8C2CC" w:sz="1"/>
              <w:bottom w:val="single" w:color="B8C2CC" w:sz="1"/>
              <w:right w:val="single" w:color="B8C2CC" w:sz="1"/>
            </w:tcBorders>
            <w:tcMar>
              <w:top w:type="dxa" w:w="60"/>
              <w:left w:type="dxa" w:w="100"/>
              <w:bottom w:type="dxa" w:w="60"/>
              <w:right w:type="dxa" w:w="100"/>
            </w:tcMar>
          </w:tcPr>
          <w:p>
            <w:r>
              <w:rPr>
                <w:rFonts w:ascii="Arial" w:cs="Arial" w:eastAsia="Arial" w:hAnsi="Arial"/>
                <w:b/>
                <w:bCs/>
                <w:color w:val="3A6B35"/>
                <w:sz w:val="18"/>
                <w:szCs w:val="18"/>
              </w:rPr>
              <w:t xml:space="preserve">Low</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Evidence</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normalizeSenaMatrix accepts rule "none" (admissible: false, warned). Guarded in sensitivity tests, but the SenaNormalization type still admits it end-to-end through API buildOptions.</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User-facing feature</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Analysis options, API buildOptions.</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Technical layer</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M3 - operators.ts, types.ts, options resolution.</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Recommended fix</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Reject "none" in resolveOptions for analytical runs (allow only behind an explicit exploratory flag that flows to a badge), or remove it from the public options union.</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Acceptance criterion</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An API request with normalization="none" returns a 400 with a clear message, or the run is branded exploratory end-to-end.</w:t>
            </w:r>
          </w:p>
        </w:tc>
      </w:tr>
    </w:tbl>
    <w:p>
      <w:pPr>
        <w:spacing w:after="120" w:line="276"/>
      </w:pPr>
      <w:r>
        <w:rPr>
          <w:rFonts w:ascii="Arial" w:cs="Arial" w:eastAsia="Arial" w:hAnsi="Arial"/>
          <w:sz w:val="22"/>
          <w:szCs w:val="22"/>
        </w:rPr>
        <w:t xml:space="preserve"/>
      </w:r>
    </w:p>
    <w:p>
      <w:pPr>
        <w:pStyle w:val="Heading3"/>
      </w:pPr>
      <w:r>
        <w:t xml:space="preserve">F-9 - Social-layer self-interactions double-counted when undirected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Severity</w:t>
            </w:r>
          </w:p>
        </w:tc>
        <w:tc>
          <w:tcPr>
            <w:tcW w:type="dxa" w:w="7560"/>
            <w:tcBorders>
              <w:top w:val="single" w:color="B8C2CC" w:sz="1"/>
              <w:left w:val="single" w:color="B8C2CC" w:sz="1"/>
              <w:bottom w:val="single" w:color="B8C2CC" w:sz="1"/>
              <w:right w:val="single" w:color="B8C2CC" w:sz="1"/>
            </w:tcBorders>
            <w:tcMar>
              <w:top w:type="dxa" w:w="60"/>
              <w:left w:type="dxa" w:w="100"/>
              <w:bottom w:type="dxa" w:w="60"/>
              <w:right w:type="dxa" w:w="100"/>
            </w:tcMar>
          </w:tcPr>
          <w:p>
            <w:r>
              <w:rPr>
                <w:rFonts w:ascii="Arial" w:cs="Arial" w:eastAsia="Arial" w:hAnsi="Arial"/>
                <w:b/>
                <w:bCs/>
                <w:color w:val="3A6B35"/>
                <w:sz w:val="18"/>
                <w:szCs w:val="18"/>
              </w:rPr>
              <w:t xml:space="preserve">Low</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Evidence</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buildSocialMatrix adds weight to S[source][target] and, when undirected, also S[target][source]; a self-interaction (source = target) is added twice to the diagonal. Diagonal handling for S is otherwise implicit.</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User-facing feature</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S matrix, social metrics.</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Technical layer</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M2 - model.ts buildSocialMatrix.</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Recommended fix</w:t>
            </w:r>
          </w:p>
        </w:tc>
        <w:tc>
          <w:tcPr>
            <w:tcW w:type="dxa" w:w="7560"/>
            <w:tcBorders>
              <w:top w:val="single" w:color="B8C2CC" w:sz="1"/>
              <w:left w:val="single" w:color="B8C2CC" w:sz="1"/>
              <w:bottom w:val="single" w:color="B8C2CC" w:sz="1"/>
              <w:right w:val="single" w:color="B8C2CC" w:sz="1"/>
            </w:tcBorders>
            <w:shd w:fill="F8FAFC" w:val="clear"/>
            <w:tcMar>
              <w:top w:type="dxa" w:w="60"/>
              <w:left w:type="dxa" w:w="100"/>
              <w:bottom w:type="dxa" w:w="60"/>
              <w:right w:type="dxa" w:w="100"/>
            </w:tcMar>
          </w:tcPr>
          <w:p>
            <w:pPr>
              <w:spacing w:after="20"/>
            </w:pPr>
            <w:r>
              <w:rPr>
                <w:rFonts w:ascii="Arial" w:cs="Arial" w:eastAsia="Arial" w:hAnsi="Arial"/>
                <w:sz w:val="18"/>
                <w:szCs w:val="18"/>
              </w:rPr>
              <w:t xml:space="preserve">Skip the mirror write when source = target; zero the S diagonal under the declared zero_diagonal convention and report self-tie counts as node attributes.</w:t>
            </w:r>
          </w:p>
        </w:tc>
      </w:tr>
      <w:tr>
        <w:tc>
          <w:tcPr>
            <w:tcW w:type="dxa" w:w="1800"/>
            <w:tcBorders>
              <w:top w:val="single" w:color="B8C2CC" w:sz="1"/>
              <w:left w:val="single" w:color="B8C2CC" w:sz="1"/>
              <w:bottom w:val="single" w:color="B8C2CC" w:sz="1"/>
              <w:right w:val="single" w:color="B8C2CC" w:sz="1"/>
            </w:tcBorders>
            <w:shd w:fill="E9EEF5" w:val="clear"/>
            <w:tcMar>
              <w:top w:type="dxa" w:w="60"/>
              <w:left w:type="dxa" w:w="100"/>
              <w:bottom w:type="dxa" w:w="60"/>
              <w:right w:type="dxa" w:w="100"/>
            </w:tcMar>
          </w:tcPr>
          <w:p>
            <w:pPr>
              <w:spacing w:after="20"/>
            </w:pPr>
            <w:r>
              <w:rPr>
                <w:rFonts w:ascii="Arial" w:cs="Arial" w:eastAsia="Arial" w:hAnsi="Arial"/>
                <w:b/>
                <w:bCs/>
                <w:sz w:val="18"/>
                <w:szCs w:val="18"/>
              </w:rPr>
              <w:t xml:space="preserve">Acceptance criterion</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Unit test: a dataset with a self-interaction yields S[i][i] per the declared convention and a node-attribute report.</w:t>
            </w:r>
          </w:p>
        </w:tc>
      </w:tr>
    </w:tbl>
    <w:p>
      <w:pPr>
        <w:spacing w:after="120" w:line="276"/>
      </w:pPr>
      <w:r>
        <w:rPr>
          <w:rFonts w:ascii="Arial" w:cs="Arial" w:eastAsia="Arial" w:hAnsi="Arial"/>
          <w:sz w:val="22"/>
          <w:szCs w:val="22"/>
        </w:rPr>
        <w:t xml:space="preserve"/>
      </w:r>
    </w:p>
    <w:p>
      <w:r>
        <w:br w:type="page"/>
      </w:r>
    </w:p>
    <w:p>
      <w:pPr>
        <w:pStyle w:val="Heading1"/>
      </w:pPr>
      <w:r>
        <w:t xml:space="preserve">3. Architecture and codebase risks</w:t>
      </w:r>
    </w:p>
    <w:p>
      <w:pPr>
        <w:pStyle w:val="Heading2"/>
      </w:pPr>
      <w:r>
        <w:t xml:space="preserve">3.1 Module separation vs. the M1-M11 target</w:t>
      </w:r>
    </w:p>
    <w:p>
      <w:pPr>
        <w:spacing w:after="120" w:line="276"/>
      </w:pPr>
      <w:r>
        <w:rPr>
          <w:rFonts w:ascii="Arial" w:cs="Arial" w:eastAsia="Arial" w:hAnsi="Arial"/>
          <w:sz w:val="22"/>
          <w:szCs w:val="22"/>
        </w:rPr>
        <w:t xml:space="preserve">The target architecture is now recognizably present. Mapping the plan's modules to the tree: M1 ingest (import.ts, import-adapters.ts), M2 layer builders (model.ts buildSocialMatrix / buildConceptMatrix / bridge), M3 normalization (operators.ts normalizeSenaMatrix), M4 fusion assembly (buildSenaFusionAdjacency), M5 graph operators (operators.ts), M6 embedding (operators.ts diagnostics wired in model.ts), M7 attribution (operators.ts + model.ts + attribution-wording.ts), M8 typed centrality (model.ts), M9 temporal (temporal-runtime.ts, snapshot scoping), M10 validation (inference.ts, validation route), M11 reporting/UI (report.ts, model-card.ts, workspace components). A thin @sena/kernel package re-exports the analysis seam, and api-surface-moratorium.ts freezes route churn - both good decisions. Provenance records exist per run (runIdentity: dataset content hash + config hash).</w:t>
      </w:r>
    </w:p>
    <w:p>
      <w:pPr>
        <w:pStyle w:val="Heading2"/>
      </w:pPr>
      <w:r>
        <w:t xml:space="preserve">3.2 Remaining prototype residue</w:t>
      </w:r>
    </w:p>
    <w:p>
      <w:pPr>
        <w:pStyle w:val="ListParagraph"/>
        <w:numPr>
          <w:ilvl w:val="0"/>
          <w:numId w:val="2"/>
        </w:numPr>
        <w:spacing w:after="80" w:line="276"/>
      </w:pPr>
      <w:r>
        <w:rPr>
          <w:rFonts w:ascii="Arial" w:cs="Arial" w:eastAsia="Arial" w:hAnsi="Arial"/>
          <w:b w:val="false"/>
          <w:bCs w:val="false"/>
          <w:sz w:val="22"/>
          <w:szCs w:val="22"/>
        </w:rPr>
        <w:t xml:space="preserve">Uncommitted mega-changeset, no CI. Last commit 3 July; ~400 modified/untracked files including the entire operator layer and golden tests. No .github/workflows in the repo; the plan's P0 exit criterion (T1-T4 green in CI) cannot be met without a pipeline. This is the single largest project risk. [R-01]</w:t>
      </w:r>
    </w:p>
    <w:p>
      <w:pPr>
        <w:pStyle w:val="ListParagraph"/>
        <w:numPr>
          <w:ilvl w:val="0"/>
          <w:numId w:val="2"/>
        </w:numPr>
        <w:spacing w:after="80" w:line="276"/>
      </w:pPr>
      <w:r>
        <w:rPr>
          <w:rFonts w:ascii="Arial" w:cs="Arial" w:eastAsia="Arial" w:hAnsi="Arial"/>
          <w:b w:val="false"/>
          <w:bCs w:val="false"/>
          <w:sz w:val="22"/>
          <w:szCs w:val="22"/>
        </w:rPr>
        <w:t xml:space="preserve">Test health and portability: one test currently red in-tree (enterprise capability audit dossier export, 5 s timeout), and the dev environment pins platform-specific native binaries (rolldown/rollup darwin-arm64) so a fresh Linux CI runner cannot run tests without a clean npm ci; 93 test files mix math, UI copy, and go-live rehearsal concerns in one directory. [R-10]</w:t>
      </w:r>
    </w:p>
    <w:p>
      <w:pPr>
        <w:pStyle w:val="ListParagraph"/>
        <w:numPr>
          <w:ilvl w:val="0"/>
          <w:numId w:val="2"/>
        </w:numPr>
        <w:spacing w:after="80" w:line="276"/>
      </w:pPr>
      <w:r>
        <w:rPr>
          <w:rFonts w:ascii="Arial" w:cs="Arial" w:eastAsia="Arial" w:hAnsi="Arial"/>
          <w:b w:val="false"/>
          <w:bCs w:val="false"/>
          <w:sz w:val="22"/>
          <w:szCs w:val="22"/>
        </w:rPr>
        <w:t xml:space="preserve">Workspace fragmentation: components/sena/workspace holds 326 files, including ~40 near-empty *-prop-group.ts shims (e.g., workspace-right-inspector-layout-boundary-composition-field-prop-group.ts) that satisfy module-boundary tests mechanically. Navigation cost is high; boundary tests should assert dependency direction, not file granularity. [R-13]</w:t>
      </w:r>
    </w:p>
    <w:p>
      <w:pPr>
        <w:pStyle w:val="ListParagraph"/>
        <w:numPr>
          <w:ilvl w:val="0"/>
          <w:numId w:val="2"/>
        </w:numPr>
        <w:spacing w:after="80" w:line="276"/>
      </w:pPr>
      <w:r>
        <w:rPr>
          <w:rFonts w:ascii="Arial" w:cs="Arial" w:eastAsia="Arial" w:hAnsi="Arial"/>
          <w:b w:val="false"/>
          <w:bCs w:val="false"/>
          <w:sz w:val="22"/>
          <w:szCs w:val="22"/>
        </w:rPr>
        <w:t xml:space="preserve">Hand-maintained fact monoliths: api-evidence-notes.ts (69 KB), api-route-facts.ts (31 KB), review-packet.ts (74 KB), development-plan.ts (30 KB) duplicate route/evidence metadata as literals; drift is only partially tested. Generate from the route manifest instead. [R-15]</w:t>
      </w:r>
    </w:p>
    <w:p>
      <w:pPr>
        <w:pStyle w:val="ListParagraph"/>
        <w:numPr>
          <w:ilvl w:val="0"/>
          <w:numId w:val="2"/>
        </w:numPr>
        <w:spacing w:after="80" w:line="276"/>
      </w:pPr>
      <w:r>
        <w:rPr>
          <w:rFonts w:ascii="Arial" w:cs="Arial" w:eastAsia="Arial" w:hAnsi="Arial"/>
          <w:b w:val="false"/>
          <w:bCs w:val="false"/>
          <w:sz w:val="22"/>
          <w:szCs w:val="22"/>
        </w:rPr>
        <w:t xml:space="preserve">Enterprise scope creep vs. research core: SSO, SCIM, go-live rehearsals, capability dossiers, and an observability sink serve a production-SaaS narrative while the storage adapter is still file-backed JSON and the math core has P0 defects. Sequencing is inverted for a research PoC. [R-12]</w:t>
      </w:r>
    </w:p>
    <w:p>
      <w:pPr>
        <w:pStyle w:val="ListParagraph"/>
        <w:numPr>
          <w:ilvl w:val="0"/>
          <w:numId w:val="2"/>
        </w:numPr>
        <w:spacing w:after="80" w:line="276"/>
      </w:pPr>
      <w:r>
        <w:rPr>
          <w:rFonts w:ascii="Arial" w:cs="Arial" w:eastAsia="Arial" w:hAnsi="Arial"/>
          <w:b w:val="false"/>
          <w:bCs w:val="false"/>
          <w:sz w:val="22"/>
          <w:szCs w:val="22"/>
        </w:rPr>
        <w:t xml:space="preserve">Eager computation in React state: buildSenaModel runs in useMemo twice (model + timelineModel) on the main thread; every option change recomputes all three embeddings and Floyd-Warshall even though only one operator is displayed. [R-08]</w:t>
      </w:r>
    </w:p>
    <w:p>
      <w:pPr>
        <w:pStyle w:val="Heading2"/>
      </w:pPr>
      <w:r>
        <w:t xml:space="preserve">3.3 What to keep</w:t>
      </w:r>
    </w:p>
    <w:p>
      <w:pPr>
        <w:spacing w:after="120" w:line="276"/>
      </w:pPr>
      <w:r>
        <w:rPr>
          <w:rFonts w:ascii="Arial" w:cs="Arial" w:eastAsia="Arial" w:hAnsi="Arial"/>
          <w:sz w:val="22"/>
          <w:szCs w:val="22"/>
        </w:rPr>
        <w:t xml:space="preserve">Preserve, and say so in code review: consistent A_fusion naming across code, API, and UI; the operators.ts single-source math module with typed diagnostics; runIdentity hashing; the seeded inference engine with Holm correction; the model-card render gate on publication export; the attribution wording gate; the API-surface moratorium; ADRs under docs/adr. The culture of disclosure objects is exactly right - the remaining work is making the disclosed values true under all configurations.</w:t>
      </w:r>
    </w:p>
    <w:p>
      <w:r>
        <w:br w:type="page"/>
      </w:r>
    </w:p>
    <w:p>
      <w:pPr>
        <w:pStyle w:val="Heading1"/>
      </w:pPr>
      <w:r>
        <w:t xml:space="preserve">4. Data model and API issues</w:t>
      </w:r>
    </w:p>
    <w:p>
      <w:pPr>
        <w:pStyle w:val="Heading2"/>
      </w:pPr>
      <w:r>
        <w:t xml:space="preserve">4.1 Minimum data contract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Contract element</w:t>
            </w:r>
          </w:p>
        </w:tc>
        <w:tc>
          <w:tcPr>
            <w:tcW w:type="dxa" w:w="32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Spec requirement</w:t>
            </w:r>
          </w:p>
        </w:tc>
        <w:tc>
          <w:tcPr>
            <w:tcW w:type="dxa" w:w="376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Status in tree</w:t>
            </w:r>
          </w:p>
        </w:tc>
      </w:tr>
      <w:tr>
        <w:tc>
          <w:tcPr>
            <w:tcW w:type="dxa" w:w="24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Persons / Codes / Windows</w:t>
            </w:r>
          </w:p>
        </w:tc>
        <w:tc>
          <w:tcPr>
            <w:tcW w:type="dxa" w:w="3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Typed IDs, P and C disjoint, windows as declared units</w:t>
            </w:r>
          </w:p>
        </w:tc>
        <w:tc>
          <w:tcPr>
            <w:tcW w:type="dxa" w:w="37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Present. Duplicate-ID rejection (idIndex throws); stanza and turn windows; temporal modes declared.</w:t>
            </w:r>
          </w:p>
        </w:tc>
      </w:tr>
      <w:tr>
        <w:tc>
          <w:tcPr>
            <w:tcW w:type="dxa" w:w="24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Interactions -&gt; R (directed)</w:t>
            </w:r>
          </w:p>
        </w:tc>
        <w:tc>
          <w:tcPr>
            <w:tcW w:type="dxa" w:w="3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Directed strengths preserved on ingest</w:t>
            </w:r>
          </w:p>
        </w:tc>
        <w:tc>
          <w:tcPr>
            <w:tcW w:type="dxa" w:w="37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Present. directedS retained; undirected mirroring only when declared (tested).</w:t>
            </w:r>
          </w:p>
        </w:tc>
      </w:tr>
      <w:tr>
        <w:tc>
          <w:tcPr>
            <w:tcW w:type="dxa" w:w="24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Coded segments -&gt; X, W</w:t>
            </w:r>
          </w:p>
        </w:tc>
        <w:tc>
          <w:tcPr>
            <w:tcW w:type="dxa" w:w="3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W = X^T X off-diagonal, W_aa = 0, frequencies as attributes</w:t>
            </w:r>
          </w:p>
        </w:tc>
        <w:tc>
          <w:tcPr>
            <w:tcW w:type="dxa" w:w="37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Present. Stanza-based co-occurrence, zero diagonal; code frequency in node metrics.</w:t>
            </w:r>
          </w:p>
        </w:tc>
      </w:tr>
      <w:tr>
        <w:tc>
          <w:tcPr>
            <w:tcW w:type="dxa" w:w="24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Participation Y</w:t>
            </w:r>
          </w:p>
        </w:tc>
        <w:tc>
          <w:tcPr>
            <w:tcW w:type="dxa" w:w="3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First-class person-by-window matrix</w:t>
            </w:r>
          </w:p>
        </w:tc>
        <w:tc>
          <w:tcPr>
            <w:tcW w:type="dxa" w:w="37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Present. matrices.Y with window IDs; used by attribution diagnostics.</w:t>
            </w:r>
          </w:p>
        </w:tc>
      </w:tr>
      <w:tr>
        <w:tc>
          <w:tcPr>
            <w:tcW w:type="dxa" w:w="24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Bridge B / B^PC / B^CP</w:t>
            </w:r>
          </w:p>
        </w:tc>
        <w:tc>
          <w:tcPr>
            <w:tcW w:type="dxa" w:w="3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B = YX or declared rule; independent B^CP in directed mode</w:t>
            </w:r>
          </w:p>
        </w:tc>
        <w:tc>
          <w:tcPr>
            <w:tcW w:type="dxa" w:w="37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Present. Declared count-vs-confidence rule; B^CP via uptake aliases; transpose fallback disclosed as pending evidence.</w:t>
            </w:r>
          </w:p>
        </w:tc>
      </w:tr>
      <w:tr>
        <w:tc>
          <w:tcPr>
            <w:tcW w:type="dxa" w:w="24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X_ita person-specific evidence</w:t>
            </w:r>
          </w:p>
        </w:tc>
        <w:tc>
          <w:tcPr>
            <w:tcW w:type="dxa" w:w="3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Enables contribution wording</w:t>
            </w:r>
          </w:p>
        </w:tc>
        <w:tc>
          <w:tcPr>
            <w:tcW w:type="dxa" w:w="37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Partial. Gate flag exists (contributionWordingAllowed) driven by registered evidence; no first-class X_ita table yet.</w:t>
            </w:r>
          </w:p>
        </w:tc>
      </w:tr>
      <w:tr>
        <w:tc>
          <w:tcPr>
            <w:tcW w:type="dxa" w:w="24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Codebook versioning</w:t>
            </w:r>
          </w:p>
        </w:tc>
        <w:tc>
          <w:tcPr>
            <w:tcW w:type="dxa" w:w="3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Version disclosed per analysis</w:t>
            </w:r>
          </w:p>
        </w:tc>
        <w:tc>
          <w:tcPr>
            <w:tcW w:type="dxa" w:w="37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Present. metadata.codebook id@version in the model card; missing values surface as needs-review.</w:t>
            </w:r>
          </w:p>
        </w:tc>
      </w:tr>
      <w:tr>
        <w:tc>
          <w:tcPr>
            <w:tcW w:type="dxa" w:w="24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Dataset versioning / audit trail</w:t>
            </w:r>
          </w:p>
        </w:tc>
        <w:tc>
          <w:tcPr>
            <w:tcW w:type="dxa" w:w="3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Version + traceability from edge to source</w:t>
            </w:r>
          </w:p>
        </w:tc>
        <w:tc>
          <w:tcPr>
            <w:tcW w:type="dxa" w:w="37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Present. datasetVersion + content hash; edge evidence links (bridgeEvidence, socialEdgeEvidence).</w:t>
            </w:r>
          </w:p>
        </w:tc>
      </w:tr>
      <w:tr>
        <w:tc>
          <w:tcPr>
            <w:tcW w:type="dxa" w:w="24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Raw vs normalized separation</w:t>
            </w:r>
          </w:p>
        </w:tc>
        <w:tc>
          <w:tcPr>
            <w:tcW w:type="dxa" w:w="3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Never mixed silently</w:t>
            </w:r>
          </w:p>
        </w:tc>
        <w:tc>
          <w:tcPr>
            <w:tcW w:type="dxa" w:w="37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Present. Matrix blocks expose raw and normalized; divisors disclosed.</w:t>
            </w:r>
          </w:p>
        </w:tc>
      </w:tr>
      <w:tr>
        <w:tc>
          <w:tcPr>
            <w:tcW w:type="dxa" w:w="24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Export/import schema</w:t>
            </w:r>
          </w:p>
        </w:tc>
        <w:tc>
          <w:tcPr>
            <w:tcW w:type="dxa" w:w="3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Versioned snapshot round-trip</w:t>
            </w:r>
          </w:p>
        </w:tc>
        <w:tc>
          <w:tcPr>
            <w:tcW w:type="dxa" w:w="37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Present. schema-registry versions; snapshot import/export with a reproducibility block.</w:t>
            </w:r>
          </w:p>
        </w:tc>
      </w:tr>
    </w:tbl>
    <w:p>
      <w:pPr>
        <w:pStyle w:val="Heading2"/>
      </w:pPr>
      <w:r>
        <w:t xml:space="preserve">4.2 Gaps and risks</w:t>
      </w:r>
    </w:p>
    <w:p>
      <w:pPr>
        <w:pStyle w:val="ListParagraph"/>
        <w:numPr>
          <w:ilvl w:val="0"/>
          <w:numId w:val="2"/>
        </w:numPr>
        <w:spacing w:after="80" w:line="276"/>
      </w:pPr>
      <w:r>
        <w:rPr>
          <w:rFonts w:ascii="Arial" w:cs="Arial" w:eastAsia="Arial" w:hAnsi="Arial"/>
          <w:b w:val="false"/>
          <w:bCs w:val="false"/>
          <w:sz w:val="22"/>
          <w:szCs w:val="22"/>
        </w:rPr>
        <w:t xml:space="preserve">Person-specific coding evidence (X_ita) should become a real optional table in the contract (segments carrying speaker-attributed codes), not just a boolean gate - otherwise contribution wording can be enabled without machine-checkable evidence. [R-21]</w:t>
      </w:r>
    </w:p>
    <w:p>
      <w:pPr>
        <w:pStyle w:val="ListParagraph"/>
        <w:numPr>
          <w:ilvl w:val="0"/>
          <w:numId w:val="2"/>
        </w:numPr>
        <w:spacing w:after="80" w:line="276"/>
      </w:pPr>
      <w:r>
        <w:rPr>
          <w:rFonts w:ascii="Arial" w:cs="Arial" w:eastAsia="Arial" w:hAnsi="Arial"/>
          <w:b w:val="false"/>
          <w:bCs w:val="false"/>
          <w:sz w:val="22"/>
          <w:szCs w:val="22"/>
        </w:rPr>
        <w:t xml:space="preserve">The selected embedding operator is UI state, not a build option; it therefore never reaches the snapshot, provenance envelope, or export. Promote it to the config (Phi already exists - bind the UI to it). [R-07]</w:t>
      </w:r>
    </w:p>
    <w:p>
      <w:pPr>
        <w:pStyle w:val="ListParagraph"/>
        <w:numPr>
          <w:ilvl w:val="0"/>
          <w:numId w:val="2"/>
        </w:numPr>
        <w:spacing w:after="80" w:line="276"/>
      </w:pPr>
      <w:r>
        <w:rPr>
          <w:rFonts w:ascii="Arial" w:cs="Arial" w:eastAsia="Arial" w:hAnsi="Arial"/>
          <w:b w:val="false"/>
          <w:bCs w:val="false"/>
          <w:sz w:val="22"/>
          <w:szCs w:val="22"/>
        </w:rPr>
        <w:t xml:space="preserve">The temporal normalization policy (global vs per-window denominators) is implicit in snapshot totals; the spec requires it declared next to any cross-time comparison. [R-18]</w:t>
      </w:r>
    </w:p>
    <w:p>
      <w:pPr>
        <w:pStyle w:val="ListParagraph"/>
        <w:numPr>
          <w:ilvl w:val="0"/>
          <w:numId w:val="2"/>
        </w:numPr>
        <w:spacing w:after="80" w:line="276"/>
      </w:pPr>
      <w:r>
        <w:rPr>
          <w:rFonts w:ascii="Arial" w:cs="Arial" w:eastAsia="Arial" w:hAnsi="Arial"/>
          <w:b w:val="false"/>
          <w:bCs w:val="false"/>
          <w:sz w:val="22"/>
          <w:szCs w:val="22"/>
        </w:rPr>
        <w:t xml:space="preserve">The "none" normalization remains representable in API buildOptions. [R-19]</w:t>
      </w:r>
    </w:p>
    <w:p>
      <w:pPr>
        <w:pStyle w:val="Heading2"/>
      </w:pPr>
      <w:r>
        <w:t xml:space="preserve">4.3 Service boundaries for the 3-month window</w:t>
      </w:r>
    </w:p>
    <w:p>
      <w:pPr>
        <w:spacing w:after="120" w:line="276"/>
      </w:pPr>
      <w:r>
        <w:rPr>
          <w:rFonts w:ascii="Arial" w:cs="Arial" w:eastAsia="Arial" w:hAnsi="Arial"/>
          <w:sz w:val="22"/>
          <w:szCs w:val="22"/>
        </w:rPr>
        <w:t xml:space="preserve">Keep Next.js API routes but formalize five seams, each returning its provenance fragment: POST /api/sena/analyze (M1-M5, exists); POST /api/sena/embedding (M6 - new, so heavy spectral work moves server-side and becomes cacheable by runIdentity); POST /api/sena/attribution (M7, currently folded into analyze - acceptable, but give it its own schema version); POST /api/sena/validation (M10, exists); POST /api/sena/exports/publication (M11, exists with render gate). Cache embedding results keyed by (datasetContentHash, configHash, operator); the hashes already exist, so this is wiring, not invention.</w:t>
      </w:r>
    </w:p>
    <w:p>
      <w:r>
        <w:br w:type="page"/>
      </w:r>
    </w:p>
    <w:p>
      <w:pPr>
        <w:pStyle w:val="Heading1"/>
      </w:pPr>
      <w:r>
        <w:t xml:space="preserve">5. Visualization and UX issues</w:t>
      </w:r>
    </w:p>
    <w:p>
      <w:pPr>
        <w:spacing w:after="120" w:line="276"/>
      </w:pPr>
      <w:r>
        <w:rPr>
          <w:rFonts w:ascii="Arial" w:cs="Arial" w:eastAsia="Arial" w:hAnsi="Arial"/>
          <w:sz w:val="22"/>
          <w:szCs w:val="22"/>
        </w:rPr>
        <w:t xml:space="preserve">The workspace now defaults to the Joint layout with an operator picker (MDS + Schoenberg, Laplacian eigenmaps, commute-time) and a provenance strip showing operator, delta, d, seed, and exactness/stress - the right skeleton. The defects are about truthfulness under failure and about the two legacy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Surface</w:t>
            </w:r>
          </w:p>
        </w:tc>
        <w:tc>
          <w:tcPr>
            <w:tcW w:type="dxa" w:w="373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Risk of misleading users</w:t>
            </w:r>
          </w:p>
        </w:tc>
        <w:tc>
          <w:tcPr>
            <w:tcW w:type="dxa" w:w="373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Required change</w:t>
            </w:r>
          </w:p>
        </w:tc>
      </w:tr>
      <w:tr>
        <w:tc>
          <w:tcPr>
            <w:tcW w:type="dxa" w:w="19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Joint view fallbacks</w:t>
            </w:r>
          </w:p>
        </w:tc>
        <w:tc>
          <w:tcPr>
            <w:tcW w:type="dxa" w:w="373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The ring layout can render under joint-mode guardrail text claiming declared operators; the strip can describe a non-rendered operator.</w:t>
            </w:r>
          </w:p>
        </w:tc>
        <w:tc>
          <w:tcPr>
            <w:tcW w:type="dxa" w:w="373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Bind badge + guardrail + strip to the actual coordinate source (F-5); suppress metric readouts on fallback.</w:t>
            </w:r>
          </w:p>
        </w:tc>
      </w:tr>
      <w:tr>
        <w:tc>
          <w:tcPr>
            <w:tcW w:type="dxa" w:w="19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Directed data</w:t>
            </w:r>
          </w:p>
        </w:tc>
        <w:tc>
          <w:tcPr>
            <w:tcW w:type="dxa" w:w="373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"Directed input preserved" badge while embeddings implicitly symmetrize.</w:t>
            </w:r>
          </w:p>
        </w:tc>
        <w:tc>
          <w:tcPr>
            <w:tcW w:type="dxa" w:w="373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Embedding-level direction badge; "Direction collapsed by symmetrization." whenever A_sym is used (F-1).</w:t>
            </w:r>
          </w:p>
        </w:tc>
      </w:tr>
      <w:tr>
        <w:tc>
          <w:tcPr>
            <w:tcW w:type="dxa" w:w="19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ENA Space mode</w:t>
            </w:r>
          </w:p>
        </w:tc>
        <w:tc>
          <w:tcPr>
            <w:tcW w:type="dxa" w:w="373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Persons anchored barycentrically; copy tolerates distance interpretation.</w:t>
            </w:r>
          </w:p>
        </w:tc>
        <w:tc>
          <w:tcPr>
            <w:tcW w:type="dxa" w:w="373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Rename to "ENA anchor view"; copy per F-7; disable cross-type distance affordances.</w:t>
            </w:r>
          </w:p>
        </w:tc>
      </w:tr>
      <w:tr>
        <w:tc>
          <w:tcPr>
            <w:tcW w:type="dxa" w:w="19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Isolated nodes</w:t>
            </w:r>
          </w:p>
        </w:tc>
        <w:tc>
          <w:tcPr>
            <w:tcW w:type="dxa" w:w="373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One unused code silently kills the joint embedding; directed lurkers mislabeled isolated.</w:t>
            </w:r>
          </w:p>
        </w:tc>
        <w:tc>
          <w:tcPr>
            <w:tcW w:type="dxa" w:w="373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V+ restriction with dimmed I0 nodes and a side panel listing reason + convention (F-3, F-4).</w:t>
            </w:r>
          </w:p>
        </w:tc>
      </w:tr>
      <w:tr>
        <w:tc>
          <w:tcPr>
            <w:tcW w:type="dxa" w:w="19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Centrality panels</w:t>
            </w:r>
          </w:p>
        </w:tc>
        <w:tc>
          <w:tcPr>
            <w:tcW w:type="dxa" w:w="373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Four typed families exist - keep the mixed-ranking ban visible.</w:t>
            </w:r>
          </w:p>
        </w:tc>
        <w:tc>
          <w:tcPr>
            <w:tcW w:type="dxa" w:w="373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Keep; add a per-family scale note (values are not comparable across families).</w:t>
            </w:r>
          </w:p>
        </w:tc>
      </w:tr>
      <w:tr>
        <w:tc>
          <w:tcPr>
            <w:tcW w:type="dxa" w:w="19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Temporal compare</w:t>
            </w:r>
          </w:p>
        </w:tc>
        <w:tc>
          <w:tcPr>
            <w:tcW w:type="dxa" w:w="373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Fusion totals delta shown without the normalization policy.</w:t>
            </w:r>
          </w:p>
        </w:tc>
        <w:tc>
          <w:tcPr>
            <w:tcW w:type="dxa" w:w="373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Add a policy chip: "Per-window normalization - magnitude changes hidden" / "Global denominator - magnitudes comparable." [R-18]</w:t>
            </w:r>
          </w:p>
        </w:tc>
      </w:tr>
      <w:tr>
        <w:tc>
          <w:tcPr>
            <w:tcW w:type="dxa" w:w="19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Attribution heatmaps</w:t>
            </w:r>
          </w:p>
        </w:tc>
        <w:tc>
          <w:tcPr>
            <w:tcW w:type="dxa" w:w="373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Wording gate exists; the G vs G-hat switch must persist into export.</w:t>
            </w:r>
          </w:p>
        </w:tc>
        <w:tc>
          <w:tcPr>
            <w:tcW w:type="dxa" w:w="373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Record the variant in the model card (already) and show the G-hat 0/0-to-0 convention inline.</w:t>
            </w:r>
          </w:p>
        </w:tc>
      </w:tr>
      <w:tr>
        <w:tc>
          <w:tcPr>
            <w:tcW w:type="dxa" w:w="19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Exports / share</w:t>
            </w:r>
          </w:p>
        </w:tc>
        <w:tc>
          <w:tcPr>
            <w:tcW w:type="dxa" w:w="373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Publication export is model-card-gated; share links must be too.</w:t>
            </w:r>
          </w:p>
        </w:tc>
        <w:tc>
          <w:tcPr>
            <w:tcW w:type="dxa" w:w="373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Attach the same render gate to share-link creation.</w:t>
            </w:r>
          </w:p>
        </w:tc>
      </w:tr>
    </w:tbl>
    <w:p>
      <w:pPr>
        <w:pStyle w:val="Heading2"/>
      </w:pPr>
      <w:r>
        <w:t xml:space="preserve">5.1 Exact badge text</w:t>
      </w:r>
    </w:p>
    <w:p>
      <w:pPr>
        <w:pStyle w:val="ListParagraph"/>
        <w:numPr>
          <w:ilvl w:val="0"/>
          <w:numId w:val="2"/>
        </w:numPr>
        <w:spacing w:after="80" w:line="276"/>
      </w:pPr>
      <w:r>
        <w:rPr>
          <w:rFonts w:ascii="Arial" w:cs="Arial" w:eastAsia="Arial" w:hAnsi="Arial"/>
          <w:b w:val="false"/>
          <w:bCs w:val="false"/>
          <w:sz w:val="22"/>
          <w:szCs w:val="22"/>
        </w:rPr>
        <w:t xml:space="preserve">Exploratory overlay: "Exploratory layout - distances are not metric."</w:t>
      </w:r>
    </w:p>
    <w:p>
      <w:pPr>
        <w:pStyle w:val="ListParagraph"/>
        <w:numPr>
          <w:ilvl w:val="0"/>
          <w:numId w:val="2"/>
        </w:numPr>
        <w:spacing w:after="80" w:line="276"/>
      </w:pPr>
      <w:r>
        <w:rPr>
          <w:rFonts w:ascii="Arial" w:cs="Arial" w:eastAsia="Arial" w:hAnsi="Arial"/>
          <w:b w:val="false"/>
          <w:bCs w:val="false"/>
          <w:sz w:val="22"/>
          <w:szCs w:val="22"/>
        </w:rPr>
        <w:t xml:space="preserve">Joint view (healthy): "Joint embedding computed from A_fusion - operator: {name}, delta: {delta}, d: {d}, seed: {seed}." plus either "Exact metric (Schoenberg satisfied)" or "Approximate embedding; stress = {value}."</w:t>
      </w:r>
    </w:p>
    <w:p>
      <w:pPr>
        <w:pStyle w:val="ListParagraph"/>
        <w:numPr>
          <w:ilvl w:val="0"/>
          <w:numId w:val="2"/>
        </w:numPr>
        <w:spacing w:after="80" w:line="276"/>
      </w:pPr>
      <w:r>
        <w:rPr>
          <w:rFonts w:ascii="Arial" w:cs="Arial" w:eastAsia="Arial" w:hAnsi="Arial"/>
          <w:b w:val="false"/>
          <w:bCs w:val="false"/>
          <w:sz w:val="22"/>
          <w:szCs w:val="22"/>
        </w:rPr>
        <w:t xml:space="preserve">Joint view (fallback): "Selected operator unavailable ({reason}) - showing {actual source}. Distances are not metric."</w:t>
      </w:r>
    </w:p>
    <w:p>
      <w:pPr>
        <w:pStyle w:val="ListParagraph"/>
        <w:numPr>
          <w:ilvl w:val="0"/>
          <w:numId w:val="2"/>
        </w:numPr>
        <w:spacing w:after="80" w:line="276"/>
      </w:pPr>
      <w:r>
        <w:rPr>
          <w:rFonts w:ascii="Arial" w:cs="Arial" w:eastAsia="Arial" w:hAnsi="Arial"/>
          <w:b w:val="false"/>
          <w:bCs w:val="false"/>
          <w:sz w:val="22"/>
          <w:szCs w:val="22"/>
        </w:rPr>
        <w:t xml:space="preserve">Directed collapse: "Direction collapsed by symmetrization." (embedding-level, independent of the ingest badge)</w:t>
      </w:r>
    </w:p>
    <w:p>
      <w:pPr>
        <w:pStyle w:val="ListParagraph"/>
        <w:numPr>
          <w:ilvl w:val="0"/>
          <w:numId w:val="2"/>
        </w:numPr>
        <w:spacing w:after="80" w:line="276"/>
      </w:pPr>
      <w:r>
        <w:rPr>
          <w:rFonts w:ascii="Arial" w:cs="Arial" w:eastAsia="Arial" w:hAnsi="Arial"/>
          <w:b w:val="false"/>
          <w:bCs w:val="false"/>
          <w:sz w:val="22"/>
          <w:szCs w:val="22"/>
        </w:rPr>
        <w:t xml:space="preserve">ENA anchor view: "Person positions are anchored to code positions for readability - person-code distances are not model distances."</w:t>
      </w:r>
    </w:p>
    <w:p>
      <w:pPr>
        <w:pStyle w:val="ListParagraph"/>
        <w:numPr>
          <w:ilvl w:val="0"/>
          <w:numId w:val="2"/>
        </w:numPr>
        <w:spacing w:after="80" w:line="276"/>
      </w:pPr>
      <w:r>
        <w:rPr>
          <w:rFonts w:ascii="Arial" w:cs="Arial" w:eastAsia="Arial" w:hAnsi="Arial"/>
          <w:b w:val="false"/>
          <w:bCs w:val="false"/>
          <w:sz w:val="22"/>
          <w:szCs w:val="22"/>
        </w:rPr>
        <w:t xml:space="preserve">Attribution: "Association/exposure only; contribution requires person-specific evidence."</w:t>
      </w:r>
    </w:p>
    <w:p>
      <w:pPr>
        <w:pStyle w:val="ListParagraph"/>
        <w:numPr>
          <w:ilvl w:val="0"/>
          <w:numId w:val="2"/>
        </w:numPr>
        <w:spacing w:after="80" w:line="276"/>
      </w:pPr>
      <w:r>
        <w:rPr>
          <w:rFonts w:ascii="Arial" w:cs="Arial" w:eastAsia="Arial" w:hAnsi="Arial"/>
          <w:b w:val="false"/>
          <w:bCs w:val="false"/>
          <w:sz w:val="22"/>
          <w:szCs w:val="22"/>
        </w:rPr>
        <w:t xml:space="preserve">V+ restriction: "Embedding computed on V+ (largest connected component); {k} isolated node(s) listed in I0."</w:t>
      </w:r>
    </w:p>
    <w:p>
      <w:r>
        <w:br w:type="page"/>
      </w:r>
    </w:p>
    <w:p>
      <w:pPr>
        <w:pStyle w:val="Heading1"/>
      </w:pPr>
      <w:r>
        <w:t xml:space="preserve">6. Testing and verification gaps</w:t>
      </w:r>
    </w:p>
    <w:p>
      <w:pPr>
        <w:spacing w:after="120" w:line="276"/>
      </w:pPr>
      <w:r>
        <w:rPr>
          <w:rFonts w:ascii="Arial" w:cs="Arial" w:eastAsia="Arial" w:hAnsi="Arial"/>
          <w:sz w:val="22"/>
          <w:szCs w:val="22"/>
        </w:rPr>
        <w:t xml:space="preserve">The golden suite from the development plan is implemented and green at the operator level: T1-T4 (fusion, degrees, spectrum, P3 semantics), T1b (independent B^CP), T5-T7 (isolated c4, zero-inverse spectrum in [0,2], epsilon-regularization limit), T8-T9 (directed counterexample, row-stochastic P), T10-T11 (Schoenberg failure with distortion 0.718, commute-time exactness), T12-T13 (attribution identities and bounds), T14-T15 (normalization axioms, scale invariance). This is the correct regression backbone. The gaps are the configurations the fixtures do not reach.</w:t>
      </w:r>
    </w:p>
    <w:p>
      <w:pPr>
        <w:pStyle w:val="Heading2"/>
      </w:pPr>
      <w:r>
        <w:t xml:space="preserve">6.1 Missing test classes (add in weeks 1-4)</w:t>
      </w:r>
    </w:p>
    <w:p>
      <w:pPr>
        <w:pStyle w:val="ListParagraph"/>
        <w:numPr>
          <w:ilvl w:val="0"/>
          <w:numId w:val="2"/>
        </w:numPr>
        <w:spacing w:after="80" w:line="276"/>
      </w:pPr>
      <w:r>
        <w:rPr>
          <w:rFonts w:ascii="Arial" w:cs="Arial" w:eastAsia="Arial" w:hAnsi="Arial"/>
          <w:b w:val="false"/>
          <w:bCs w:val="false"/>
          <w:sz w:val="22"/>
          <w:szCs w:val="22"/>
        </w:rPr>
        <w:t xml:space="preserve">Symmetry guards: senaSymmetricEigenDecomposition throws on asymmetric input; buildEmbeddingDiagnostics on a directed dataset either uses directed operators or emits the collapse badge (F-1).</w:t>
      </w:r>
    </w:p>
    <w:p>
      <w:pPr>
        <w:pStyle w:val="ListParagraph"/>
        <w:numPr>
          <w:ilvl w:val="0"/>
          <w:numId w:val="2"/>
        </w:numPr>
        <w:spacing w:after="80" w:line="276"/>
      </w:pPr>
      <w:r>
        <w:rPr>
          <w:rFonts w:ascii="Arial" w:cs="Arial" w:eastAsia="Arial" w:hAnsi="Arial"/>
          <w:b w:val="false"/>
          <w:bCs w:val="false"/>
          <w:sz w:val="22"/>
          <w:szCs w:val="22"/>
        </w:rPr>
        <w:t xml:space="preserve">Numerical convergence: random symmetric n=30/60 - trace and Frobenius invariants, eigenvector orthogonality, declared residual (F-2).</w:t>
      </w:r>
    </w:p>
    <w:p>
      <w:pPr>
        <w:pStyle w:val="ListParagraph"/>
        <w:numPr>
          <w:ilvl w:val="0"/>
          <w:numId w:val="2"/>
        </w:numPr>
        <w:spacing w:after="80" w:line="276"/>
      </w:pPr>
      <w:r>
        <w:rPr>
          <w:rFonts w:ascii="Arial" w:cs="Arial" w:eastAsia="Arial" w:hAnsi="Arial"/>
          <w:b w:val="false"/>
          <w:bCs w:val="false"/>
          <w:sz w:val="22"/>
          <w:szCs w:val="22"/>
        </w:rPr>
        <w:t xml:space="preserve">V+ restriction: golden-plus-c4 renders embeddings for the connected component; I0 panel content asserted (F-3); an in-degree-only vertex is not isolated (F-4).</w:t>
      </w:r>
    </w:p>
    <w:p>
      <w:pPr>
        <w:pStyle w:val="ListParagraph"/>
        <w:numPr>
          <w:ilvl w:val="0"/>
          <w:numId w:val="2"/>
        </w:numPr>
        <w:spacing w:after="80" w:line="276"/>
      </w:pPr>
      <w:r>
        <w:rPr>
          <w:rFonts w:ascii="Arial" w:cs="Arial" w:eastAsia="Arial" w:hAnsi="Arial"/>
          <w:b w:val="false"/>
          <w:bCs w:val="false"/>
          <w:sz w:val="22"/>
          <w:szCs w:val="22"/>
        </w:rPr>
        <w:t xml:space="preserve">Fallback provenance: force each fallback path and assert badge/strip/guardrail agree with the rendered source (F-5); the envelope reports the rendered operator (F-6).</w:t>
      </w:r>
    </w:p>
    <w:p>
      <w:pPr>
        <w:pStyle w:val="ListParagraph"/>
        <w:numPr>
          <w:ilvl w:val="0"/>
          <w:numId w:val="2"/>
        </w:numPr>
        <w:spacing w:after="80" w:line="276"/>
      </w:pPr>
      <w:r>
        <w:rPr>
          <w:rFonts w:ascii="Arial" w:cs="Arial" w:eastAsia="Arial" w:hAnsi="Arial"/>
          <w:b w:val="false"/>
          <w:bCs w:val="false"/>
          <w:sz w:val="22"/>
          <w:szCs w:val="22"/>
        </w:rPr>
        <w:t xml:space="preserve">UI provenance / model card: every view that shows a number renders its provenance chip; publication export blocked exactly when a section is needs-review (partially covered - extend to share links).</w:t>
      </w:r>
    </w:p>
    <w:p>
      <w:pPr>
        <w:pStyle w:val="ListParagraph"/>
        <w:numPr>
          <w:ilvl w:val="0"/>
          <w:numId w:val="2"/>
        </w:numPr>
        <w:spacing w:after="80" w:line="276"/>
      </w:pPr>
      <w:r>
        <w:rPr>
          <w:rFonts w:ascii="Arial" w:cs="Arial" w:eastAsia="Arial" w:hAnsi="Arial"/>
          <w:b w:val="false"/>
          <w:bCs w:val="false"/>
          <w:sz w:val="22"/>
          <w:szCs w:val="22"/>
        </w:rPr>
        <w:t xml:space="preserve">End-to-end golden run: POST the worked example to /api/sena/analyze and assert the full response (matrices, degrees, spectrum, envelope) against the fixture - one test that fails if any layer regresses.</w:t>
      </w:r>
    </w:p>
    <w:p>
      <w:pPr>
        <w:pStyle w:val="Heading2"/>
      </w:pPr>
      <w:r>
        <w:t xml:space="preserve">6.2 CI gate (run on every push before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Stage</w:t>
            </w:r>
          </w:p>
        </w:tc>
        <w:tc>
          <w:tcPr>
            <w:tcW w:type="dxa" w:w="586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Contents</w:t>
            </w:r>
          </w:p>
        </w:tc>
        <w:tc>
          <w:tcPr>
            <w:tcW w:type="dxa" w:w="18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Budget</w:t>
            </w:r>
          </w:p>
        </w:tc>
      </w:tr>
      <w:tr>
        <w:tc>
          <w:tcPr>
            <w:tcW w:type="dxa" w:w="1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1. Static</w:t>
            </w:r>
          </w:p>
        </w:tc>
        <w:tc>
          <w:tcPr>
            <w:tcW w:type="dxa" w:w="58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eslint, tsc --noEmit</w:t>
            </w:r>
          </w:p>
        </w:tc>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~2 min</w:t>
            </w:r>
          </w:p>
        </w:tc>
      </w:tr>
      <w:tr>
        <w:tc>
          <w:tcPr>
            <w:tcW w:type="dxa" w:w="17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2. Golden math</w:t>
            </w:r>
          </w:p>
        </w:tc>
        <w:tc>
          <w:tcPr>
            <w:tcW w:type="dxa" w:w="58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sena-golden-*, sena-kernel-boundary, sena-advisory-model-defaults, new F-1/F-2/F-3 guards</w:t>
            </w:r>
          </w:p>
        </w:tc>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~1 min</w:t>
            </w:r>
          </w:p>
        </w:tc>
      </w:tr>
      <w:tr>
        <w:tc>
          <w:tcPr>
            <w:tcW w:type="dxa" w:w="1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3. Core suite</w:t>
            </w:r>
          </w:p>
        </w:tc>
        <w:tc>
          <w:tcPr>
            <w:tcW w:type="dxa" w:w="58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lib/sena tests minus live/rehearsal tags (fix or quarantine the dossier-export timeout)</w:t>
            </w:r>
          </w:p>
        </w:tc>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~10 min</w:t>
            </w:r>
          </w:p>
        </w:tc>
      </w:tr>
      <w:tr>
        <w:tc>
          <w:tcPr>
            <w:tcW w:type="dxa" w:w="17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4. Build</w:t>
            </w:r>
          </w:p>
        </w:tc>
        <w:tc>
          <w:tcPr>
            <w:tcW w:type="dxa" w:w="58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next build</w:t>
            </w:r>
          </w:p>
        </w:tc>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~5 min</w:t>
            </w:r>
          </w:p>
        </w:tc>
      </w:tr>
      <w:tr>
        <w:tc>
          <w:tcPr>
            <w:tcW w:type="dxa" w:w="1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5. Smoke</w:t>
            </w:r>
          </w:p>
        </w:tc>
        <w:tc>
          <w:tcPr>
            <w:tcW w:type="dxa" w:w="58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pilot browser smoke against the built app</w:t>
            </w:r>
          </w:p>
        </w:tc>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~5 min</w:t>
            </w:r>
          </w:p>
        </w:tc>
      </w:tr>
    </w:tbl>
    <w:p>
      <w:pPr>
        <w:spacing w:after="120" w:line="276"/>
      </w:pPr>
      <w:r>
        <w:rPr>
          <w:rFonts w:ascii="Arial" w:cs="Arial" w:eastAsia="Arial" w:hAnsi="Arial"/>
          <w:sz w:val="22"/>
          <w:szCs w:val="22"/>
        </w:rPr>
        <w:t xml:space="preserve">Stages 1-4 block merge; stage 5 blocks deploy. Tag live-Postgres and rehearsal suites out of the default path. The pilot-verify freshness gates (CDN evidence) belong in a scheduled job, not the merge gate.</w:t>
      </w:r>
    </w:p>
    <w:p>
      <w:r>
        <w:br w:type="page"/>
      </w:r>
    </w:p>
    <w:p>
      <w:pPr>
        <w:pStyle w:val="Heading1"/>
      </w:pPr>
      <w:r>
        <w:t xml:space="preserve">7. Security, privacy, and research-ethics risks</w:t>
      </w:r>
    </w:p>
    <w:p>
      <w:pPr>
        <w:spacing w:after="120" w:line="276"/>
      </w:pPr>
      <w:r>
        <w:rPr>
          <w:rFonts w:ascii="Arial" w:cs="Arial" w:eastAsia="Arial" w:hAnsi="Arial"/>
          <w:sz w:val="22"/>
          <w:szCs w:val="22"/>
        </w:rPr>
        <w:t xml:space="preserve">Present and adequate for a PoC: PBKDF2-SHA256 password hashing (210k iterations, salted, timing-safe compare), hashed provisioning bearer tokens, rate-limited password reset, a security-headers module, ops audit-log structures, a coding-reliability gate and human-review options feeding the model card, and drafted Privacy/Terms/Security/Responsible-AI pages. The material risks:</w:t>
      </w:r>
    </w:p>
    <w:p>
      <w:pPr>
        <w:pStyle w:val="ListParagraph"/>
        <w:numPr>
          <w:ilvl w:val="0"/>
          <w:numId w:val="2"/>
        </w:numPr>
        <w:spacing w:after="80" w:line="276"/>
      </w:pPr>
      <w:r>
        <w:rPr>
          <w:rFonts w:ascii="Arial" w:cs="Arial" w:eastAsia="Arial" w:hAnsi="Arial"/>
          <w:b w:val="false"/>
          <w:bCs w:val="false"/>
          <w:sz w:val="22"/>
          <w:szCs w:val="22"/>
        </w:rPr>
        <w:t xml:space="preserve">Live consent gap (P1): the deployed registration flow requires agreement to Terms and Responsible AI while the live footer links resolve to /#docs placeholders - the policy pages exist locally but are not deployed. For a platform holding student discourse this is the most visible trust defect; it disappears the day R-01 ships. [R-11]</w:t>
      </w:r>
    </w:p>
    <w:p>
      <w:pPr>
        <w:pStyle w:val="ListParagraph"/>
        <w:numPr>
          <w:ilvl w:val="0"/>
          <w:numId w:val="2"/>
        </w:numPr>
        <w:spacing w:after="80" w:line="276"/>
      </w:pPr>
      <w:r>
        <w:rPr>
          <w:rFonts w:ascii="Arial" w:cs="Arial" w:eastAsia="Arial" w:hAnsi="Arial"/>
          <w:b w:val="false"/>
          <w:bCs w:val="false"/>
          <w:sz w:val="22"/>
          <w:szCs w:val="22"/>
        </w:rPr>
        <w:t xml:space="preserve">Transcript storage (P1): enterprise state remains a file-backed JSON adapter (.sena-enterprise, ~72 MB locally) holding uploads and projects. Acceptable for PoC only with: a written data classification (transcripts = personal data), a retention + deletion procedure (a delete endpoint that provably removes uploads, snapshots, and derived artifacts), and pseudonymization guidance at import (person labels as codes, key held offline). [R-12]</w:t>
      </w:r>
    </w:p>
    <w:p>
      <w:pPr>
        <w:pStyle w:val="ListParagraph"/>
        <w:numPr>
          <w:ilvl w:val="0"/>
          <w:numId w:val="2"/>
        </w:numPr>
        <w:spacing w:after="80" w:line="276"/>
      </w:pPr>
      <w:r>
        <w:rPr>
          <w:rFonts w:ascii="Arial" w:cs="Arial" w:eastAsia="Arial" w:hAnsi="Arial"/>
          <w:b w:val="false"/>
          <w:bCs w:val="false"/>
          <w:sz w:val="22"/>
          <w:szCs w:val="22"/>
        </w:rPr>
        <w:t xml:space="preserve">Sharing/exports: publication export is model-card-gated - extend the same gate and an access decision (link tokens, expiry) to share links; embed the model card in every exported figure bundle (already in the packet structure).</w:t>
      </w:r>
    </w:p>
    <w:p>
      <w:pPr>
        <w:pStyle w:val="ListParagraph"/>
        <w:numPr>
          <w:ilvl w:val="0"/>
          <w:numId w:val="2"/>
        </w:numPr>
        <w:spacing w:after="80" w:line="276"/>
      </w:pPr>
      <w:r>
        <w:rPr>
          <w:rFonts w:ascii="Arial" w:cs="Arial" w:eastAsia="Arial" w:hAnsi="Arial"/>
          <w:b w:val="false"/>
          <w:bCs w:val="false"/>
          <w:sz w:val="22"/>
          <w:szCs w:val="22"/>
        </w:rPr>
        <w:t xml:space="preserve">AI-assisted coding: the reliability gate exists; require a human-review record (reviewer, date, sample size, agreement statistic) before the gate reports ready, and surface it in the model card's coding-reliability section (fields exist - enforce non-empty evidence).</w:t>
      </w:r>
    </w:p>
    <w:p>
      <w:pPr>
        <w:pStyle w:val="ListParagraph"/>
        <w:numPr>
          <w:ilvl w:val="0"/>
          <w:numId w:val="2"/>
        </w:numPr>
        <w:spacing w:after="80" w:line="276"/>
      </w:pPr>
      <w:r>
        <w:rPr>
          <w:rFonts w:ascii="Arial" w:cs="Arial" w:eastAsia="Arial" w:hAnsi="Arial"/>
          <w:b w:val="false"/>
          <w:bCs w:val="false"/>
          <w:sz w:val="22"/>
          <w:szCs w:val="22"/>
        </w:rPr>
        <w:t xml:space="preserve">Compliance posture for education research: document PDPO (Hong Kong) alignment for the PoC: a purpose-limitation statement on import, per-team access control (exists), an audit log of exports, and a data-processing note on the Privacy page. Do not claim FERPA/GDPR compliance until reviewed.</w:t>
      </w:r>
    </w:p>
    <w:p>
      <w:r>
        <w:br w:type="page"/>
      </w:r>
    </w:p>
    <w:p>
      <w:pPr>
        <w:pStyle w:val="Heading1"/>
      </w:pPr>
      <w:r>
        <w:t xml:space="preserve">8. Performance and scalability risks</w:t>
      </w:r>
    </w:p>
    <w:p>
      <w:pPr>
        <w:spacing w:after="120" w:line="276"/>
      </w:pPr>
      <w:r>
        <w:rPr>
          <w:rFonts w:ascii="Arial" w:cs="Arial" w:eastAsia="Arial" w:hAnsi="Arial"/>
          <w:sz w:val="22"/>
          <w:szCs w:val="22"/>
        </w:rPr>
        <w:t xml:space="preserve">The pipeline is dense-matrix, main-thread, and eager. Costs per model build: Floyd-Warshall O((n+m)^3); three eigendecompositions (currently also incorrect beyond ~15 nodes, F-2); a commute-time pseudoinverse via full spectral expansion O((n+m)^3); and the build runs twice per option change (model + timelineModel) on the React render path. Permutation/bootstrap validation (1000+1000 iterations) rebuilds person metrics per iteration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Regime</w:t>
            </w:r>
          </w:p>
        </w:tc>
        <w:tc>
          <w:tcPr>
            <w:tcW w:type="dxa" w:w="12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n+m</w:t>
            </w:r>
          </w:p>
        </w:tc>
        <w:tc>
          <w:tcPr>
            <w:tcW w:type="dxa" w:w="636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Guidance</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Toy / demo</w:t>
            </w:r>
          </w:p>
        </w:tc>
        <w:tc>
          <w:tcPr>
            <w:tcW w:type="dxa" w:w="1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up to 30</w:t>
            </w:r>
          </w:p>
        </w:tc>
        <w:tc>
          <w:tcPr>
            <w:tcW w:type="dxa" w:w="63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Current dense path is fine once F-2 is fixed; keep synchronous.</w:t>
            </w:r>
          </w:p>
        </w:tc>
      </w:tr>
      <w:tr>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Pilot classroom</w:t>
            </w:r>
          </w:p>
        </w:tc>
        <w:tc>
          <w:tcPr>
            <w:tcW w:type="dxa" w:w="1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30-150</w:t>
            </w:r>
          </w:p>
        </w:tc>
        <w:tc>
          <w:tcPr>
            <w:tcW w:type="dxa" w:w="63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Compute only the selected operator, lazily; move spectral work to a web worker or the /embedding route; memoize by (datasetContentHash, configHash, operator); debounce alpha/beta/gamma sliders.</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Multi-class / study</w:t>
            </w:r>
          </w:p>
        </w:tc>
        <w:tc>
          <w:tcPr>
            <w:tcW w:type="dxa" w:w="1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150-2,000</w:t>
            </w:r>
          </w:p>
        </w:tc>
        <w:tc>
          <w:tcPr>
            <w:tcW w:type="dxa" w:w="63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Server-side jobs (queue exists); sparse Laplacian + Lanczos for the k smallest eigenpairs; per-source Dijkstra instead of Floyd-Warshall for the MDS delta; approximate commute-time (k-truncated spectral or sketching) with the declared error in provenance.</w:t>
            </w:r>
          </w:p>
        </w:tc>
      </w:tr>
      <w:tr>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Beyond</w:t>
            </w:r>
          </w:p>
        </w:tc>
        <w:tc>
          <w:tcPr>
            <w:tcW w:type="dxa" w:w="1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over 2,000</w:t>
            </w:r>
          </w:p>
        </w:tc>
        <w:tc>
          <w:tcPr>
            <w:tcW w:type="dxa" w:w="63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Out of 3-month scope; precomputed artifacts only.</w:t>
            </w:r>
          </w:p>
        </w:tc>
      </w:tr>
    </w:tbl>
    <w:p>
      <w:pPr>
        <w:pStyle w:val="ListParagraph"/>
        <w:numPr>
          <w:ilvl w:val="0"/>
          <w:numId w:val="2"/>
        </w:numPr>
        <w:spacing w:after="80" w:line="276"/>
      </w:pPr>
      <w:r>
        <w:rPr>
          <w:rFonts w:ascii="Arial" w:cs="Arial" w:eastAsia="Arial" w:hAnsi="Arial"/>
          <w:b w:val="false"/>
          <w:bCs w:val="false"/>
          <w:sz w:val="22"/>
          <w:szCs w:val="22"/>
        </w:rPr>
        <w:t xml:space="preserve">Quick wins (weeks 3-4): compute one embedding, not three; cache diagnostics in the analysis-run artifact and reuse them in the workspace; hoist buildSenaModel off the render path (worker + suspense); cap Floyd-Warshall at a node budget with a declared switch to per-source Dijkstra.</w:t>
      </w:r>
    </w:p>
    <w:p>
      <w:pPr>
        <w:pStyle w:val="ListParagraph"/>
        <w:numPr>
          <w:ilvl w:val="0"/>
          <w:numId w:val="2"/>
        </w:numPr>
        <w:spacing w:after="80" w:line="276"/>
      </w:pPr>
      <w:r>
        <w:rPr>
          <w:rFonts w:ascii="Arial" w:cs="Arial" w:eastAsia="Arial" w:hAnsi="Arial"/>
          <w:b w:val="false"/>
          <w:bCs w:val="false"/>
          <w:sz w:val="22"/>
          <w:szCs w:val="22"/>
        </w:rPr>
        <w:t xml:space="preserve">Honesty rule: any approximate method (Nystrom, truncated spectra, epsilon regularization) must write its approximation error into the provenance strip - the same discipline as stress.</w:t>
      </w:r>
    </w:p>
    <w:p>
      <w:r>
        <w:br w:type="page"/>
      </w:r>
    </w:p>
    <w:p>
      <w:pPr>
        <w:pStyle w:val="Heading1"/>
      </w:pPr>
      <w:r>
        <w:t xml:space="preserve">9. Three-month remediation roadmap (12 weeks)</w:t>
      </w:r>
    </w:p>
    <w:p>
      <w:pPr>
        <w:spacing w:after="120" w:line="276"/>
      </w:pPr>
      <w:r>
        <w:rPr>
          <w:rFonts w:ascii="Arial" w:cs="Arial" w:eastAsia="Arial" w:hAnsi="Arial"/>
          <w:sz w:val="22"/>
          <w:szCs w:val="22"/>
        </w:rPr>
        <w:t xml:space="preserve">Owner roles: TL = tech lead / senior engineer; FE = frontend engineer; BE = backend/platform engineer; MA = math advisor (part-time PhD reviewer); PI = Dr. Peter. The junior developer pairs with TL throughout. Dates assume a 13 July start.</w:t>
      </w:r>
    </w:p>
    <w:p>
      <w:pPr>
        <w:pStyle w:val="Heading2"/>
      </w:pPr>
      <w:r>
        <w:t xml:space="preserve">Phase 0 - Weeks 1-2: Secure the work, stand up CI, fix P0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Field</w:t>
            </w:r>
          </w:p>
        </w:tc>
        <w:tc>
          <w:tcPr>
            <w:tcW w:type="dxa" w:w="756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Content</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Goal</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The 7-9 July remediation is committed, tested, deployed, and the two P0 math defects are fixed, so every number the site shows is defensible at toy scale and honest at all scales.</w:t>
            </w:r>
          </w:p>
        </w:tc>
      </w:tr>
      <w:tr>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Tasks</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Tag pre-advisory-0709, then commit the working tree in reviewed slices (operators+tests; model wiring; UI; enterprise). Stand up GitHub Actions with the 5-stage gate (section 6.2); fix or quarantine the dossier-export timeout; verify npm ci on a clean Linux runner. Fix F-2 (cyclic Jacobi with convergence residual + n=30/60 invariant tests). Fix F-1 (symmetry assertion; directed branch with a declared collapse badge). Deploy to www.sena.hk; verify live markers (operator strip, legal pages, /api/sena/docs mentions the model card).</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Owner role</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TL + BE (CI/deploy), TL + MA (F-1/F-2 review).</w:t>
            </w:r>
          </w:p>
        </w:tc>
      </w:tr>
      <w:tr>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Risks</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Hidden coupling in the 400-file changeset makes slicing slow - mitigate by committing behind the existing test suite. Vercel env drift - mitigate with a staging preview deploy first.</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Exit criteria</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CI green on main; live site serves the new build (spot-check strip + /privacy); asymmetric-input test throws; n=60 spectral invariants pass; golden T1-T15 green in CI.</w:t>
            </w:r>
          </w:p>
        </w:tc>
      </w:tr>
    </w:tbl>
    <w:p>
      <w:pPr>
        <w:spacing w:after="120" w:line="276"/>
      </w:pPr>
      <w:r>
        <w:rPr>
          <w:rFonts w:ascii="Arial" w:cs="Arial" w:eastAsia="Arial" w:hAnsi="Arial"/>
          <w:sz w:val="22"/>
          <w:szCs w:val="22"/>
        </w:rPr>
        <w:t xml:space="preserve"/>
      </w:r>
    </w:p>
    <w:p>
      <w:pPr>
        <w:pStyle w:val="Heading2"/>
      </w:pPr>
      <w:r>
        <w:t xml:space="preserve">Phase 1 - Weeks 3-5: Correct conventions end-to-end (V+, directed,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Field</w:t>
            </w:r>
          </w:p>
        </w:tc>
        <w:tc>
          <w:tcPr>
            <w:tcW w:type="dxa" w:w="756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Content</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Goal</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The declared conventions are actually enforced in every configuration a user can reach.</w:t>
            </w:r>
          </w:p>
        </w:tc>
      </w:tr>
      <w:tr>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Tasks</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F-3: V+ restriction for all three embeddings with an I0 panel + dimmed rendering. F-4: directed isolation convention (in+out). F-5: fallback provenance plumbed through computeFusionLayout to the canvas badge and guardrail copy. F-6: rendered operator into build options, envelope, and model card. F-8/F-9: reject "none" analytically; S self-tie convention. Performance quick wins: single-operator lazy compute, memoization by runIdentity, worker offload. New tests for each (fixtures: golden+c4, in-degree-only P4, forced fallbacks).</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Owner role</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TL (operators/model), FE (layout/badges), MA (convention sign-off).</w:t>
            </w:r>
          </w:p>
        </w:tc>
      </w:tr>
      <w:tr>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Risks</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V+ and directed interplay has corner cases (multiple components) - decide and document a per-component policy with MA before coding.</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Exit criteria</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Golden+c4 dataset renders a joint embedding with the I0 panel; no reachable state where badge and rendered geometry disagree (test-forced fallbacks pass); UI stays responsive at n+m=150 (measured).</w:t>
            </w:r>
          </w:p>
        </w:tc>
      </w:tr>
    </w:tbl>
    <w:p>
      <w:pPr>
        <w:spacing w:after="120" w:line="276"/>
      </w:pPr>
      <w:r>
        <w:rPr>
          <w:rFonts w:ascii="Arial" w:cs="Arial" w:eastAsia="Arial" w:hAnsi="Arial"/>
          <w:sz w:val="22"/>
          <w:szCs w:val="22"/>
        </w:rPr>
        <w:t xml:space="preserve"/>
      </w:r>
    </w:p>
    <w:p>
      <w:pPr>
        <w:pStyle w:val="Heading2"/>
      </w:pPr>
      <w:r>
        <w:t xml:space="preserve">Phase 2 - Weeks 6-8: Embedding service productization + updated fusion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Field</w:t>
            </w:r>
          </w:p>
        </w:tc>
        <w:tc>
          <w:tcPr>
            <w:tcW w:type="dxa" w:w="756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Content</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Goal</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Embedding is a cacheable, server-capable service with full disclosure; the fusion view reads only from it.</w:t>
            </w:r>
          </w:p>
        </w:tc>
      </w:tr>
      <w:tr>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Tasks</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POST /api/sena/embedding keyed by (datasetContentHash, configHash, operator) with a cache; sparse/Lanczos path for k eigenpairs; per-source Dijkstra delta; approximate commute-time with declared error for n+m &gt; 150. Stress/strain readout finalized + exactness copy per section 5.1. ENA-anchor rename + copy (F-7). Direction toggle UX: out-degree / in-degree / symmetrized (badged) per dev-plan A5, wired to the directed operators from Phase 0.</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Owner role</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BE (service/cache), TL (numerics), FE (view + toggle).</w:t>
            </w:r>
          </w:p>
        </w:tc>
      </w:tr>
      <w:tr>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Risks</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Approximation-error communication - keep the exact path the default below the size threshold.</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Exit criteria</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T10/T11 green against the service; embedding responses cached and reproducible by hash; the directed toggle produces distinct, correctly badged geometries; a 150-node pilot dataset embeds in under 2 s server-side.</w:t>
            </w:r>
          </w:p>
        </w:tc>
      </w:tr>
    </w:tbl>
    <w:p>
      <w:pPr>
        <w:spacing w:after="120" w:line="276"/>
      </w:pPr>
      <w:r>
        <w:rPr>
          <w:rFonts w:ascii="Arial" w:cs="Arial" w:eastAsia="Arial" w:hAnsi="Arial"/>
          <w:sz w:val="22"/>
          <w:szCs w:val="22"/>
        </w:rPr>
        <w:t xml:space="preserve"/>
      </w:r>
    </w:p>
    <w:p>
      <w:pPr>
        <w:pStyle w:val="Heading2"/>
      </w:pPr>
      <w:r>
        <w:t xml:space="preserve">Phase 3 - Weeks 9-10: Attribution, typed centrality, temporal, model card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Field</w:t>
            </w:r>
          </w:p>
        </w:tc>
        <w:tc>
          <w:tcPr>
            <w:tcW w:type="dxa" w:w="756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Content</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Goal</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Interpretation surfaces are complete and wording-safe; every export carries a complete model card.</w:t>
            </w:r>
          </w:p>
        </w:tc>
      </w:tr>
      <w:tr>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Tasks</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X_ita optional table in the contract; the contribution gate requires it (or a declared attribution-rule object). G/G-hat switch persisted through snapshot/export. Typed centrality: per-family scale notes; optional block-normalized variants. Temporal: normalization-policy chip + policy into the snapshot; Frobenius/spectral distance with permutation significance (the inference engine exists - wire temporal band shuffling). Model card v3: rendered-operator section, V+/I0 statement, directed convention, coding-reliability evidence enforcement; attach the gate to share links.</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Owner role</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TL + MA (attribution rule), FE (panels), BE (share gating).</w:t>
            </w:r>
          </w:p>
        </w:tc>
      </w:tr>
      <w:tr>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Risks</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Temporal null models need care with small window counts - MA defines minimum window counts for tests.</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Exit criteria</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T12/T13 remain green; contribution wording is impossible without registered evidence (test); a share link without a complete model card is refused; temporal claims display p-values with seeds.</w:t>
            </w:r>
          </w:p>
        </w:tc>
      </w:tr>
    </w:tbl>
    <w:p>
      <w:pPr>
        <w:spacing w:after="120" w:line="276"/>
      </w:pPr>
      <w:r>
        <w:rPr>
          <w:rFonts w:ascii="Arial" w:cs="Arial" w:eastAsia="Arial" w:hAnsi="Arial"/>
          <w:sz w:val="22"/>
          <w:szCs w:val="22"/>
        </w:rPr>
        <w:t xml:space="preserve"/>
      </w:r>
    </w:p>
    <w:p>
      <w:pPr>
        <w:pStyle w:val="Heading2"/>
      </w:pPr>
      <w:r>
        <w:t xml:space="preserve">Phase 4 - Weeks 11-12: Validation suite, documentation, beta with real CSCL data,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Field</w:t>
            </w:r>
          </w:p>
        </w:tc>
        <w:tc>
          <w:tcPr>
            <w:tcW w:type="dxa" w:w="756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Content</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Goal</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A real dataset runs end-to-end under the full validity discipline; the release is documented and reproducible.</w:t>
            </w:r>
          </w:p>
        </w:tc>
      </w:tr>
      <w:tr>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Tasks</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Validation-suite completion: code-label shuffle and degree-preserving rewiring null models added to the existing permutation/bootstrap engine; the claim-to-validation table rendered in reports. Beta: one real CSCL dataset (pilot lesson-study assets exist) processed with PI; collect UX findings; fix. Docs: methods page aligned to A_fusion language; API docs regenerated; a model-card interpretation guide for researchers. Hardening: deletion endpoint verified; retention doc; load test at pilot scale; error-state review (every thrown operator error has a UI presentation).</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Owner role</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PI + TL (beta), FE (docs/UI), BE (hardening).</w:t>
            </w:r>
          </w:p>
        </w:tc>
      </w:tr>
      <w:tr>
        <w:tc>
          <w:tcPr>
            <w:tcW w:type="dxa" w:w="1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Risks</w:t>
            </w:r>
          </w:p>
        </w:tc>
        <w:tc>
          <w:tcPr>
            <w:tcW w:type="dxa" w:w="75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Beta findings may reopen Phase 1 items - reserve 30% slack in week 12.</w:t>
            </w:r>
          </w:p>
        </w:tc>
      </w:tr>
      <w:tr>
        <w:tc>
          <w:tcPr>
            <w:tcW w:type="dxa" w:w="1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Exit criteria</w:t>
            </w:r>
          </w:p>
        </w:tc>
        <w:tc>
          <w:tcPr>
            <w:tcW w:type="dxa" w:w="75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Definition of done (section 11) fully satisfied; beta report signed by PI; tagged release deployed; advisory issues R-01..R-12 closed or explicitly deferred with PI sign-off.</w:t>
            </w:r>
          </w:p>
        </w:tc>
      </w:tr>
    </w:tbl>
    <w:p>
      <w:pPr>
        <w:spacing w:after="120" w:line="276"/>
      </w:pPr>
      <w:r>
        <w:rPr>
          <w:rFonts w:ascii="Arial" w:cs="Arial" w:eastAsia="Arial" w:hAnsi="Arial"/>
          <w:sz w:val="22"/>
          <w:szCs w:val="22"/>
        </w:rPr>
        <w:t xml:space="preserve"/>
      </w:r>
    </w:p>
    <w:p>
      <w:r>
        <w:br w:type="page"/>
      </w:r>
    </w:p>
    <w:p>
      <w:pPr>
        <w:pStyle w:val="Heading1"/>
      </w:pPr>
      <w:r>
        <w:t xml:space="preserve">10. Prioritized issue register (summary)</w:t>
      </w:r>
    </w:p>
    <w:p>
      <w:pPr>
        <w:spacing w:after="120" w:line="276"/>
      </w:pPr>
      <w:r>
        <w:rPr>
          <w:rFonts w:ascii="Arial" w:cs="Arial" w:eastAsia="Arial" w:hAnsi="Arial"/>
          <w:sz w:val="22"/>
          <w:szCs w:val="22"/>
        </w:rPr>
        <w:t xml:space="preserve">The full register with reproduction notes, why-it-matters, golden-test mapping, and the 12-week plan lives in SENA_Issue_Register_2026-07-09.xlsx. Priorities: P0 = fix immediately (blocks the credibility or safety of all other work); P1 = fix within the 3-month window; P2 = fix if capacity allows. Effort: S = up to 1 day, M = up to 1 week, L = more than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50"/>
        <w:gridCol w:w="700"/>
        <w:gridCol w:w="2110"/>
        <w:gridCol w:w="1100"/>
        <w:gridCol w:w="700"/>
        <w:gridCol w:w="1200"/>
      </w:tblGrid>
      <w:tr>
        <w:trPr>
          <w:tblHeader/>
        </w:trPr>
        <w:tc>
          <w:tcPr>
            <w:tcW w:type="dxa" w:w="8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275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Issue</w:t>
            </w:r>
          </w:p>
        </w:tc>
        <w:tc>
          <w:tcPr>
            <w:tcW w:type="dxa" w:w="7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Sev</w:t>
            </w:r>
          </w:p>
        </w:tc>
        <w:tc>
          <w:tcPr>
            <w:tcW w:type="dxa" w:w="211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Evidence / source</w:t>
            </w:r>
          </w:p>
        </w:tc>
        <w:tc>
          <w:tcPr>
            <w:tcW w:type="dxa" w:w="11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Module</w:t>
            </w:r>
          </w:p>
        </w:tc>
        <w:tc>
          <w:tcPr>
            <w:tcW w:type="dxa" w:w="7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Effort</w:t>
            </w:r>
          </w:p>
        </w:tc>
        <w:tc>
          <w:tcPr>
            <w:tcW w:type="dxa" w:w="12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Within 3 months</w:t>
            </w:r>
          </w:p>
        </w:tc>
      </w:tr>
      <w:tr>
        <w:tc>
          <w:tcPr>
            <w:tcW w:type="dxa" w:w="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R-01</w:t>
            </w:r>
          </w:p>
        </w:tc>
        <w:tc>
          <w:tcPr>
            <w:tcW w:type="dxa" w:w="275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Remediation uncommitted; live site serves the 3 July build; no CI or branch protection</w:t>
            </w:r>
          </w:p>
        </w:tc>
        <w:tc>
          <w:tcPr>
            <w:tcW w:type="dxa" w:w="700"/>
            <w:tcBorders>
              <w:top w:val="single" w:color="B8C2CC" w:sz="1"/>
              <w:left w:val="single" w:color="B8C2CC" w:sz="1"/>
              <w:bottom w:val="single" w:color="B8C2CC" w:sz="1"/>
              <w:right w:val="single" w:color="B8C2CC" w:sz="1"/>
            </w:tcBorders>
            <w:shd w:fill="FADBD8" w:val="clear"/>
            <w:tcMar>
              <w:top w:type="dxa" w:w="60"/>
              <w:left w:type="dxa" w:w="100"/>
              <w:bottom w:type="dxa" w:w="60"/>
              <w:right w:type="dxa" w:w="100"/>
            </w:tcMar>
          </w:tcPr>
          <w:p>
            <w:pPr>
              <w:spacing w:after="20"/>
            </w:pPr>
            <w:r>
              <w:rPr>
                <w:rFonts w:ascii="Arial" w:cs="Arial" w:eastAsia="Arial" w:hAnsi="Arial"/>
                <w:b/>
                <w:bCs/>
                <w:sz w:val="18"/>
                <w:szCs w:val="18"/>
              </w:rPr>
              <w:t xml:space="preserve">P0</w:t>
            </w:r>
          </w:p>
        </w:tc>
        <w:tc>
          <w:tcPr>
            <w:tcW w:type="dxa" w:w="211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git status (~400 files); live /privacy empty; /api/sena/docs lacks new markers</w:t>
            </w:r>
          </w:p>
        </w:tc>
        <w:tc>
          <w:tcPr>
            <w:tcW w:type="dxa" w:w="11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Process / repo</w:t>
            </w:r>
          </w:p>
        </w:tc>
        <w:tc>
          <w:tcPr>
            <w:tcW w:type="dxa" w:w="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1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R-02</w:t>
            </w:r>
          </w:p>
        </w:tc>
        <w:tc>
          <w:tcPr>
            <w:tcW w:type="dxa" w:w="275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Directed default + symmetric-only embeddings; implicit symmetrization; badge contradicts</w:t>
            </w:r>
          </w:p>
        </w:tc>
        <w:tc>
          <w:tcPr>
            <w:tcW w:type="dxa" w:w="700"/>
            <w:tcBorders>
              <w:top w:val="single" w:color="B8C2CC" w:sz="1"/>
              <w:left w:val="single" w:color="B8C2CC" w:sz="1"/>
              <w:bottom w:val="single" w:color="B8C2CC" w:sz="1"/>
              <w:right w:val="single" w:color="B8C2CC" w:sz="1"/>
            </w:tcBorders>
            <w:shd w:fill="FADBD8" w:val="clear"/>
            <w:tcMar>
              <w:top w:type="dxa" w:w="60"/>
              <w:left w:type="dxa" w:w="100"/>
              <w:bottom w:type="dxa" w:w="60"/>
              <w:right w:type="dxa" w:w="100"/>
            </w:tcMar>
          </w:tcPr>
          <w:p>
            <w:pPr>
              <w:spacing w:after="20"/>
            </w:pPr>
            <w:r>
              <w:rPr>
                <w:rFonts w:ascii="Arial" w:cs="Arial" w:eastAsia="Arial" w:hAnsi="Arial"/>
                <w:b/>
                <w:bCs/>
                <w:sz w:val="18"/>
                <w:szCs w:val="18"/>
              </w:rPr>
              <w:t xml:space="preserve">P0</w:t>
            </w:r>
          </w:p>
        </w:tc>
        <w:tc>
          <w:tcPr>
            <w:tcW w:type="dxa" w:w="211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Repro: sample dataset max|A-A^T|=1.0, mds.available=true, stress 0.298</w:t>
            </w:r>
          </w:p>
        </w:tc>
        <w:tc>
          <w:tcPr>
            <w:tcW w:type="dxa" w:w="11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operators.ts / model.ts (M5-M6)</w:t>
            </w:r>
          </w:p>
        </w:tc>
        <w:tc>
          <w:tcPr>
            <w:tcW w:type="dxa" w:w="7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1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R-03</w:t>
            </w:r>
          </w:p>
        </w:tc>
        <w:tc>
          <w:tcPr>
            <w:tcW w:type="dxa" w:w="275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Eigensolver: 100 rotations, no convergence check - silently wrong spectra for n above ~15</w:t>
            </w:r>
          </w:p>
        </w:tc>
        <w:tc>
          <w:tcPr>
            <w:tcW w:type="dxa" w:w="700"/>
            <w:tcBorders>
              <w:top w:val="single" w:color="B8C2CC" w:sz="1"/>
              <w:left w:val="single" w:color="B8C2CC" w:sz="1"/>
              <w:bottom w:val="single" w:color="B8C2CC" w:sz="1"/>
              <w:right w:val="single" w:color="B8C2CC" w:sz="1"/>
            </w:tcBorders>
            <w:shd w:fill="FADBD8" w:val="clear"/>
            <w:tcMar>
              <w:top w:type="dxa" w:w="60"/>
              <w:left w:type="dxa" w:w="100"/>
              <w:bottom w:type="dxa" w:w="60"/>
              <w:right w:type="dxa" w:w="100"/>
            </w:tcMar>
          </w:tcPr>
          <w:p>
            <w:pPr>
              <w:spacing w:after="20"/>
            </w:pPr>
            <w:r>
              <w:rPr>
                <w:rFonts w:ascii="Arial" w:cs="Arial" w:eastAsia="Arial" w:hAnsi="Arial"/>
                <w:b/>
                <w:bCs/>
                <w:sz w:val="18"/>
                <w:szCs w:val="18"/>
              </w:rPr>
              <w:t xml:space="preserve">P0</w:t>
            </w:r>
          </w:p>
        </w:tc>
        <w:tc>
          <w:tcPr>
            <w:tcW w:type="dxa" w:w="211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Measured unresolved energy 0.19 / 29.6 / 266.7 at n=15/30/60</w:t>
            </w:r>
          </w:p>
        </w:tc>
        <w:tc>
          <w:tcPr>
            <w:tcW w:type="dxa" w:w="11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operators.ts</w:t>
            </w:r>
          </w:p>
        </w:tc>
        <w:tc>
          <w:tcPr>
            <w:tcW w:type="dxa" w:w="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1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R-04</w:t>
            </w:r>
          </w:p>
        </w:tc>
        <w:tc>
          <w:tcPr>
            <w:tcW w:type="dxa" w:w="275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Any I0 vertex disables all embeddings (no V+ restriction); a test encodes the wrong convention</w:t>
            </w:r>
          </w:p>
        </w:tc>
        <w:tc>
          <w:tcPr>
            <w:tcW w:type="dxa" w:w="700"/>
            <w:tcBorders>
              <w:top w:val="single" w:color="B8C2CC" w:sz="1"/>
              <w:left w:val="single" w:color="B8C2CC" w:sz="1"/>
              <w:bottom w:val="single" w:color="B8C2CC" w:sz="1"/>
              <w:right w:val="single" w:color="B8C2CC" w:sz="1"/>
            </w:tcBorders>
            <w:shd w:fill="FDEBD0" w:val="clear"/>
            <w:tcMar>
              <w:top w:type="dxa" w:w="60"/>
              <w:left w:type="dxa" w:w="100"/>
              <w:bottom w:type="dxa" w:w="60"/>
              <w:right w:type="dxa" w:w="100"/>
            </w:tcMar>
          </w:tcPr>
          <w:p>
            <w:pPr>
              <w:spacing w:after="20"/>
            </w:pPr>
            <w:r>
              <w:rPr>
                <w:rFonts w:ascii="Arial" w:cs="Arial" w:eastAsia="Arial" w:hAnsi="Arial"/>
                <w:b/>
                <w:bCs/>
                <w:sz w:val="18"/>
                <w:szCs w:val="18"/>
              </w:rPr>
              <w:t xml:space="preserve">P1</w:t>
            </w:r>
          </w:p>
        </w:tc>
        <w:tc>
          <w:tcPr>
            <w:tcW w:type="dxa" w:w="211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model.ts:108-148; defaults test</w:t>
            </w:r>
          </w:p>
        </w:tc>
        <w:tc>
          <w:tcPr>
            <w:tcW w:type="dxa" w:w="11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model.ts (M6)</w:t>
            </w:r>
          </w:p>
        </w:tc>
        <w:tc>
          <w:tcPr>
            <w:tcW w:type="dxa" w:w="7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1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R-05</w:t>
            </w:r>
          </w:p>
        </w:tc>
        <w:tc>
          <w:tcPr>
            <w:tcW w:type="dxa" w:w="275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Directed isolation via row sums only; in-degree-only node misclassified (P4 repro)</w:t>
            </w:r>
          </w:p>
        </w:tc>
        <w:tc>
          <w:tcPr>
            <w:tcW w:type="dxa" w:w="700"/>
            <w:tcBorders>
              <w:top w:val="single" w:color="B8C2CC" w:sz="1"/>
              <w:left w:val="single" w:color="B8C2CC" w:sz="1"/>
              <w:bottom w:val="single" w:color="B8C2CC" w:sz="1"/>
              <w:right w:val="single" w:color="B8C2CC" w:sz="1"/>
            </w:tcBorders>
            <w:shd w:fill="FDEBD0" w:val="clear"/>
            <w:tcMar>
              <w:top w:type="dxa" w:w="60"/>
              <w:left w:type="dxa" w:w="100"/>
              <w:bottom w:type="dxa" w:w="60"/>
              <w:right w:type="dxa" w:w="100"/>
            </w:tcMar>
          </w:tcPr>
          <w:p>
            <w:pPr>
              <w:spacing w:after="20"/>
            </w:pPr>
            <w:r>
              <w:rPr>
                <w:rFonts w:ascii="Arial" w:cs="Arial" w:eastAsia="Arial" w:hAnsi="Arial"/>
                <w:b/>
                <w:bCs/>
                <w:sz w:val="18"/>
                <w:szCs w:val="18"/>
              </w:rPr>
              <w:t xml:space="preserve">P1</w:t>
            </w:r>
          </w:p>
        </w:tc>
        <w:tc>
          <w:tcPr>
            <w:tcW w:type="dxa" w:w="211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findSenaIsolatedVertices; repro script</w:t>
            </w:r>
          </w:p>
        </w:tc>
        <w:tc>
          <w:tcPr>
            <w:tcW w:type="dxa" w:w="11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operators.ts (M5)</w:t>
            </w:r>
          </w:p>
        </w:tc>
        <w:tc>
          <w:tcPr>
            <w:tcW w:type="dxa" w:w="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1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R-06</w:t>
            </w:r>
          </w:p>
        </w:tc>
        <w:tc>
          <w:tcPr>
            <w:tcW w:type="dxa" w:w="275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Silent layout fallback chain; badge/strip can mislabel rendered geometry</w:t>
            </w:r>
          </w:p>
        </w:tc>
        <w:tc>
          <w:tcPr>
            <w:tcW w:type="dxa" w:w="700"/>
            <w:tcBorders>
              <w:top w:val="single" w:color="B8C2CC" w:sz="1"/>
              <w:left w:val="single" w:color="B8C2CC" w:sz="1"/>
              <w:bottom w:val="single" w:color="B8C2CC" w:sz="1"/>
              <w:right w:val="single" w:color="B8C2CC" w:sz="1"/>
            </w:tcBorders>
            <w:shd w:fill="FDEBD0" w:val="clear"/>
            <w:tcMar>
              <w:top w:type="dxa" w:w="60"/>
              <w:left w:type="dxa" w:w="100"/>
              <w:bottom w:type="dxa" w:w="60"/>
              <w:right w:type="dxa" w:w="100"/>
            </w:tcMar>
          </w:tcPr>
          <w:p>
            <w:pPr>
              <w:spacing w:after="20"/>
            </w:pPr>
            <w:r>
              <w:rPr>
                <w:rFonts w:ascii="Arial" w:cs="Arial" w:eastAsia="Arial" w:hAnsi="Arial"/>
                <w:b/>
                <w:bCs/>
                <w:sz w:val="18"/>
                <w:szCs w:val="18"/>
              </w:rPr>
              <w:t xml:space="preserve">P1</w:t>
            </w:r>
          </w:p>
        </w:tc>
        <w:tc>
          <w:tcPr>
            <w:tcW w:type="dxa" w:w="211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fusion-layout.ts jointLayout / formalEmbeddingCoordinates</w:t>
            </w:r>
          </w:p>
        </w:tc>
        <w:tc>
          <w:tcPr>
            <w:tcW w:type="dxa" w:w="11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workspace UI (M11)</w:t>
            </w:r>
          </w:p>
        </w:tc>
        <w:tc>
          <w:tcPr>
            <w:tcW w:type="dxa" w:w="7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1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R-07</w:t>
            </w:r>
          </w:p>
        </w:tc>
        <w:tc>
          <w:tcPr>
            <w:tcW w:type="dxa" w:w="275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Provenance envelope + model card hardcode MDS regardless of the rendered operator</w:t>
            </w:r>
          </w:p>
        </w:tc>
        <w:tc>
          <w:tcPr>
            <w:tcW w:type="dxa" w:w="700"/>
            <w:tcBorders>
              <w:top w:val="single" w:color="B8C2CC" w:sz="1"/>
              <w:left w:val="single" w:color="B8C2CC" w:sz="1"/>
              <w:bottom w:val="single" w:color="B8C2CC" w:sz="1"/>
              <w:right w:val="single" w:color="B8C2CC" w:sz="1"/>
            </w:tcBorders>
            <w:shd w:fill="FDEBD0" w:val="clear"/>
            <w:tcMar>
              <w:top w:type="dxa" w:w="60"/>
              <w:left w:type="dxa" w:w="100"/>
              <w:bottom w:type="dxa" w:w="60"/>
              <w:right w:type="dxa" w:w="100"/>
            </w:tcMar>
          </w:tcPr>
          <w:p>
            <w:pPr>
              <w:spacing w:after="20"/>
            </w:pPr>
            <w:r>
              <w:rPr>
                <w:rFonts w:ascii="Arial" w:cs="Arial" w:eastAsia="Arial" w:hAnsi="Arial"/>
                <w:b/>
                <w:bCs/>
                <w:sz w:val="18"/>
                <w:szCs w:val="18"/>
              </w:rPr>
              <w:t xml:space="preserve">P1</w:t>
            </w:r>
          </w:p>
        </w:tc>
        <w:tc>
          <w:tcPr>
            <w:tcW w:type="dxa" w:w="211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analysis-run.ts:116-121; model-card.ts</w:t>
            </w:r>
          </w:p>
        </w:tc>
        <w:tc>
          <w:tcPr>
            <w:tcW w:type="dxa" w:w="11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analysis-run / model-card</w:t>
            </w:r>
          </w:p>
        </w:tc>
        <w:tc>
          <w:tcPr>
            <w:tcW w:type="dxa" w:w="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1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R-08</w:t>
            </w:r>
          </w:p>
        </w:tc>
        <w:tc>
          <w:tcPr>
            <w:tcW w:type="dxa" w:w="275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Eager 3-embedding x 2-model compute on the main thread; O(n^3) per option change</w:t>
            </w:r>
          </w:p>
        </w:tc>
        <w:tc>
          <w:tcPr>
            <w:tcW w:type="dxa" w:w="700"/>
            <w:tcBorders>
              <w:top w:val="single" w:color="B8C2CC" w:sz="1"/>
              <w:left w:val="single" w:color="B8C2CC" w:sz="1"/>
              <w:bottom w:val="single" w:color="B8C2CC" w:sz="1"/>
              <w:right w:val="single" w:color="B8C2CC" w:sz="1"/>
            </w:tcBorders>
            <w:shd w:fill="FDEBD0" w:val="clear"/>
            <w:tcMar>
              <w:top w:type="dxa" w:w="60"/>
              <w:left w:type="dxa" w:w="100"/>
              <w:bottom w:type="dxa" w:w="60"/>
              <w:right w:type="dxa" w:w="100"/>
            </w:tcMar>
          </w:tcPr>
          <w:p>
            <w:pPr>
              <w:spacing w:after="20"/>
            </w:pPr>
            <w:r>
              <w:rPr>
                <w:rFonts w:ascii="Arial" w:cs="Arial" w:eastAsia="Arial" w:hAnsi="Arial"/>
                <w:b/>
                <w:bCs/>
                <w:sz w:val="18"/>
                <w:szCs w:val="18"/>
              </w:rPr>
              <w:t xml:space="preserve">P1</w:t>
            </w:r>
          </w:p>
        </w:tc>
        <w:tc>
          <w:tcPr>
            <w:tcW w:type="dxa" w:w="211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use-...-main-shell-props.ts:347,356</w:t>
            </w:r>
          </w:p>
        </w:tc>
        <w:tc>
          <w:tcPr>
            <w:tcW w:type="dxa" w:w="11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UI runtime / M6</w:t>
            </w:r>
          </w:p>
        </w:tc>
        <w:tc>
          <w:tcPr>
            <w:tcW w:type="dxa" w:w="7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1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R-09</w:t>
            </w:r>
          </w:p>
        </w:tc>
        <w:tc>
          <w:tcPr>
            <w:tcW w:type="dxa" w:w="275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ENA-space barycentric person placement with permissive distance copy (projection error)</w:t>
            </w:r>
          </w:p>
        </w:tc>
        <w:tc>
          <w:tcPr>
            <w:tcW w:type="dxa" w:w="700"/>
            <w:tcBorders>
              <w:top w:val="single" w:color="B8C2CC" w:sz="1"/>
              <w:left w:val="single" w:color="B8C2CC" w:sz="1"/>
              <w:bottom w:val="single" w:color="B8C2CC" w:sz="1"/>
              <w:right w:val="single" w:color="B8C2CC" w:sz="1"/>
            </w:tcBorders>
            <w:shd w:fill="FDEBD0" w:val="clear"/>
            <w:tcMar>
              <w:top w:type="dxa" w:w="60"/>
              <w:left w:type="dxa" w:w="100"/>
              <w:bottom w:type="dxa" w:w="60"/>
              <w:right w:type="dxa" w:w="100"/>
            </w:tcMar>
          </w:tcPr>
          <w:p>
            <w:pPr>
              <w:spacing w:after="20"/>
            </w:pPr>
            <w:r>
              <w:rPr>
                <w:rFonts w:ascii="Arial" w:cs="Arial" w:eastAsia="Arial" w:hAnsi="Arial"/>
                <w:b/>
                <w:bCs/>
                <w:sz w:val="18"/>
                <w:szCs w:val="18"/>
              </w:rPr>
              <w:t xml:space="preserve">P1</w:t>
            </w:r>
          </w:p>
        </w:tc>
        <w:tc>
          <w:tcPr>
            <w:tcW w:type="dxa" w:w="211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fusion-layout.ts enaSpaceLayout; guardrail text</w:t>
            </w:r>
          </w:p>
        </w:tc>
        <w:tc>
          <w:tcPr>
            <w:tcW w:type="dxa" w:w="11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workspace UI (M11)</w:t>
            </w:r>
          </w:p>
        </w:tc>
        <w:tc>
          <w:tcPr>
            <w:tcW w:type="dxa" w:w="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1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R-10</w:t>
            </w:r>
          </w:p>
        </w:tc>
        <w:tc>
          <w:tcPr>
            <w:tcW w:type="dxa" w:w="275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1 red test in tree (dossier-export timeout); platform-pinned dev deps break clean CI runners</w:t>
            </w:r>
          </w:p>
        </w:tc>
        <w:tc>
          <w:tcPr>
            <w:tcW w:type="dxa" w:w="700"/>
            <w:tcBorders>
              <w:top w:val="single" w:color="B8C2CC" w:sz="1"/>
              <w:left w:val="single" w:color="B8C2CC" w:sz="1"/>
              <w:bottom w:val="single" w:color="B8C2CC" w:sz="1"/>
              <w:right w:val="single" w:color="B8C2CC" w:sz="1"/>
            </w:tcBorders>
            <w:shd w:fill="FDEBD0" w:val="clear"/>
            <w:tcMar>
              <w:top w:type="dxa" w:w="60"/>
              <w:left w:type="dxa" w:w="100"/>
              <w:bottom w:type="dxa" w:w="60"/>
              <w:right w:type="dxa" w:w="100"/>
            </w:tcMar>
          </w:tcPr>
          <w:p>
            <w:pPr>
              <w:spacing w:after="20"/>
            </w:pPr>
            <w:r>
              <w:rPr>
                <w:rFonts w:ascii="Arial" w:cs="Arial" w:eastAsia="Arial" w:hAnsi="Arial"/>
                <w:b/>
                <w:bCs/>
                <w:sz w:val="18"/>
                <w:szCs w:val="18"/>
              </w:rPr>
              <w:t xml:space="preserve">P1</w:t>
            </w:r>
          </w:p>
        </w:tc>
        <w:tc>
          <w:tcPr>
            <w:tcW w:type="dxa" w:w="211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vitest run; rolldown/rollup native bindings</w:t>
            </w:r>
          </w:p>
        </w:tc>
        <w:tc>
          <w:tcPr>
            <w:tcW w:type="dxa" w:w="11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test infra</w:t>
            </w:r>
          </w:p>
        </w:tc>
        <w:tc>
          <w:tcPr>
            <w:tcW w:type="dxa" w:w="7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1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R-11</w:t>
            </w:r>
          </w:p>
        </w:tc>
        <w:tc>
          <w:tcPr>
            <w:tcW w:type="dxa" w:w="275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Live legal/consent gap: registration requires policies that resolve to /#docs in production</w:t>
            </w:r>
          </w:p>
        </w:tc>
        <w:tc>
          <w:tcPr>
            <w:tcW w:type="dxa" w:w="700"/>
            <w:tcBorders>
              <w:top w:val="single" w:color="B8C2CC" w:sz="1"/>
              <w:left w:val="single" w:color="B8C2CC" w:sz="1"/>
              <w:bottom w:val="single" w:color="B8C2CC" w:sz="1"/>
              <w:right w:val="single" w:color="B8C2CC" w:sz="1"/>
            </w:tcBorders>
            <w:shd w:fill="FDEBD0" w:val="clear"/>
            <w:tcMar>
              <w:top w:type="dxa" w:w="60"/>
              <w:left w:type="dxa" w:w="100"/>
              <w:bottom w:type="dxa" w:w="60"/>
              <w:right w:type="dxa" w:w="100"/>
            </w:tcMar>
          </w:tcPr>
          <w:p>
            <w:pPr>
              <w:spacing w:after="20"/>
            </w:pPr>
            <w:r>
              <w:rPr>
                <w:rFonts w:ascii="Arial" w:cs="Arial" w:eastAsia="Arial" w:hAnsi="Arial"/>
                <w:b/>
                <w:bCs/>
                <w:sz w:val="18"/>
                <w:szCs w:val="18"/>
              </w:rPr>
              <w:t xml:space="preserve">P1</w:t>
            </w:r>
          </w:p>
        </w:tc>
        <w:tc>
          <w:tcPr>
            <w:tcW w:type="dxa" w:w="211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live footer; local app/privacy etc. undeployed</w:t>
            </w:r>
          </w:p>
        </w:tc>
        <w:tc>
          <w:tcPr>
            <w:tcW w:type="dxa" w:w="11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deploy / content</w:t>
            </w:r>
          </w:p>
        </w:tc>
        <w:tc>
          <w:tcPr>
            <w:tcW w:type="dxa" w:w="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1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R-12</w:t>
            </w:r>
          </w:p>
        </w:tc>
        <w:tc>
          <w:tcPr>
            <w:tcW w:type="dxa" w:w="275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Enterprise state is file-backed JSON holding transcripts; retention/deletion undocumented</w:t>
            </w:r>
          </w:p>
        </w:tc>
        <w:tc>
          <w:tcPr>
            <w:tcW w:type="dxa" w:w="700"/>
            <w:tcBorders>
              <w:top w:val="single" w:color="B8C2CC" w:sz="1"/>
              <w:left w:val="single" w:color="B8C2CC" w:sz="1"/>
              <w:bottom w:val="single" w:color="B8C2CC" w:sz="1"/>
              <w:right w:val="single" w:color="B8C2CC" w:sz="1"/>
            </w:tcBorders>
            <w:shd w:fill="FDEBD0" w:val="clear"/>
            <w:tcMar>
              <w:top w:type="dxa" w:w="60"/>
              <w:left w:type="dxa" w:w="100"/>
              <w:bottom w:type="dxa" w:w="60"/>
              <w:right w:type="dxa" w:w="100"/>
            </w:tcMar>
          </w:tcPr>
          <w:p>
            <w:pPr>
              <w:spacing w:after="20"/>
            </w:pPr>
            <w:r>
              <w:rPr>
                <w:rFonts w:ascii="Arial" w:cs="Arial" w:eastAsia="Arial" w:hAnsi="Arial"/>
                <w:b/>
                <w:bCs/>
                <w:sz w:val="18"/>
                <w:szCs w:val="18"/>
              </w:rPr>
              <w:t xml:space="preserve">P1</w:t>
            </w:r>
          </w:p>
        </w:tc>
        <w:tc>
          <w:tcPr>
            <w:tcW w:type="dxa" w:w="211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enterprise/state.ts adapter; .sena-enterprise ~72 MB</w:t>
            </w:r>
          </w:p>
        </w:tc>
        <w:tc>
          <w:tcPr>
            <w:tcW w:type="dxa" w:w="11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persistence</w:t>
            </w:r>
          </w:p>
        </w:tc>
        <w:tc>
          <w:tcPr>
            <w:tcW w:type="dxa" w:w="7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L</w:t>
            </w:r>
          </w:p>
        </w:tc>
        <w:tc>
          <w:tcPr>
            <w:tcW w:type="dxa" w:w="1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Policy yes; Postgres cutover no</w:t>
            </w:r>
          </w:p>
        </w:tc>
      </w:tr>
      <w:tr>
        <w:tc>
          <w:tcPr>
            <w:tcW w:type="dxa" w:w="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R-13</w:t>
            </w:r>
          </w:p>
        </w:tc>
        <w:tc>
          <w:tcPr>
            <w:tcW w:type="dxa" w:w="275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Workspace fragmentation: 326 files, ~40 prop-group shims</w:t>
            </w:r>
          </w:p>
        </w:tc>
        <w:tc>
          <w:tcPr>
            <w:tcW w:type="dxa" w:w="700"/>
            <w:tcBorders>
              <w:top w:val="single" w:color="B8C2CC" w:sz="1"/>
              <w:left w:val="single" w:color="B8C2CC" w:sz="1"/>
              <w:bottom w:val="single" w:color="B8C2CC" w:sz="1"/>
              <w:right w:val="single" w:color="B8C2CC" w:sz="1"/>
            </w:tcBorders>
            <w:shd w:fill="FCF3CF" w:val="clear"/>
            <w:tcMar>
              <w:top w:type="dxa" w:w="60"/>
              <w:left w:type="dxa" w:w="100"/>
              <w:bottom w:type="dxa" w:w="60"/>
              <w:right w:type="dxa" w:w="100"/>
            </w:tcMar>
          </w:tcPr>
          <w:p>
            <w:pPr>
              <w:spacing w:after="20"/>
            </w:pPr>
            <w:r>
              <w:rPr>
                <w:rFonts w:ascii="Arial" w:cs="Arial" w:eastAsia="Arial" w:hAnsi="Arial"/>
                <w:b/>
                <w:bCs/>
                <w:sz w:val="18"/>
                <w:szCs w:val="18"/>
              </w:rPr>
              <w:t xml:space="preserve">P2</w:t>
            </w:r>
          </w:p>
        </w:tc>
        <w:tc>
          <w:tcPr>
            <w:tcW w:type="dxa" w:w="211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components/sena/workspace listing</w:t>
            </w:r>
          </w:p>
        </w:tc>
        <w:tc>
          <w:tcPr>
            <w:tcW w:type="dxa" w:w="11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frontend architecture</w:t>
            </w:r>
          </w:p>
        </w:tc>
        <w:tc>
          <w:tcPr>
            <w:tcW w:type="dxa" w:w="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L</w:t>
            </w:r>
          </w:p>
        </w:tc>
        <w:tc>
          <w:tcPr>
            <w:tcW w:type="dxa" w:w="1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No</w:t>
            </w:r>
          </w:p>
        </w:tc>
      </w:tr>
      <w:tr>
        <w:tc>
          <w:tcPr>
            <w:tcW w:type="dxa" w:w="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R-14</w:t>
            </w:r>
          </w:p>
        </w:tc>
        <w:tc>
          <w:tcPr>
            <w:tcW w:type="dxa" w:w="275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Static guardrail copy not bound to diagnostics state</w:t>
            </w:r>
          </w:p>
        </w:tc>
        <w:tc>
          <w:tcPr>
            <w:tcW w:type="dxa" w:w="700"/>
            <w:tcBorders>
              <w:top w:val="single" w:color="B8C2CC" w:sz="1"/>
              <w:left w:val="single" w:color="B8C2CC" w:sz="1"/>
              <w:bottom w:val="single" w:color="B8C2CC" w:sz="1"/>
              <w:right w:val="single" w:color="B8C2CC" w:sz="1"/>
            </w:tcBorders>
            <w:shd w:fill="FCF3CF" w:val="clear"/>
            <w:tcMar>
              <w:top w:type="dxa" w:w="60"/>
              <w:left w:type="dxa" w:w="100"/>
              <w:bottom w:type="dxa" w:w="60"/>
              <w:right w:type="dxa" w:w="100"/>
            </w:tcMar>
          </w:tcPr>
          <w:p>
            <w:pPr>
              <w:spacing w:after="20"/>
            </w:pPr>
            <w:r>
              <w:rPr>
                <w:rFonts w:ascii="Arial" w:cs="Arial" w:eastAsia="Arial" w:hAnsi="Arial"/>
                <w:b/>
                <w:bCs/>
                <w:sz w:val="18"/>
                <w:szCs w:val="18"/>
              </w:rPr>
              <w:t xml:space="preserve">P2</w:t>
            </w:r>
          </w:p>
        </w:tc>
        <w:tc>
          <w:tcPr>
            <w:tcW w:type="dxa" w:w="211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workspace-right-inspector-column.tsx:147-151</w:t>
            </w:r>
          </w:p>
        </w:tc>
        <w:tc>
          <w:tcPr>
            <w:tcW w:type="dxa" w:w="11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UI copy</w:t>
            </w:r>
          </w:p>
        </w:tc>
        <w:tc>
          <w:tcPr>
            <w:tcW w:type="dxa" w:w="7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1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R-15</w:t>
            </w:r>
          </w:p>
        </w:tc>
        <w:tc>
          <w:tcPr>
            <w:tcW w:type="dxa" w:w="275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Hand-maintained fact monoliths (api-evidence-notes 69 KB etc.) risk drift</w:t>
            </w:r>
          </w:p>
        </w:tc>
        <w:tc>
          <w:tcPr>
            <w:tcW w:type="dxa" w:w="700"/>
            <w:tcBorders>
              <w:top w:val="single" w:color="B8C2CC" w:sz="1"/>
              <w:left w:val="single" w:color="B8C2CC" w:sz="1"/>
              <w:bottom w:val="single" w:color="B8C2CC" w:sz="1"/>
              <w:right w:val="single" w:color="B8C2CC" w:sz="1"/>
            </w:tcBorders>
            <w:shd w:fill="FCF3CF" w:val="clear"/>
            <w:tcMar>
              <w:top w:type="dxa" w:w="60"/>
              <w:left w:type="dxa" w:w="100"/>
              <w:bottom w:type="dxa" w:w="60"/>
              <w:right w:type="dxa" w:w="100"/>
            </w:tcMar>
          </w:tcPr>
          <w:p>
            <w:pPr>
              <w:spacing w:after="20"/>
            </w:pPr>
            <w:r>
              <w:rPr>
                <w:rFonts w:ascii="Arial" w:cs="Arial" w:eastAsia="Arial" w:hAnsi="Arial"/>
                <w:b/>
                <w:bCs/>
                <w:sz w:val="18"/>
                <w:szCs w:val="18"/>
              </w:rPr>
              <w:t xml:space="preserve">P2</w:t>
            </w:r>
          </w:p>
        </w:tc>
        <w:tc>
          <w:tcPr>
            <w:tcW w:type="dxa" w:w="211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lib/sena file sizes</w:t>
            </w:r>
          </w:p>
        </w:tc>
        <w:tc>
          <w:tcPr>
            <w:tcW w:type="dxa" w:w="11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docs/facts generation</w:t>
            </w:r>
          </w:p>
        </w:tc>
        <w:tc>
          <w:tcPr>
            <w:tcW w:type="dxa" w:w="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1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No</w:t>
            </w:r>
          </w:p>
        </w:tc>
      </w:tr>
      <w:tr>
        <w:tc>
          <w:tcPr>
            <w:tcW w:type="dxa" w:w="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R-16</w:t>
            </w:r>
          </w:p>
        </w:tc>
        <w:tc>
          <w:tcPr>
            <w:tcW w:type="dxa" w:w="275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Dense pseudoinverse without a size cap or approximation path</w:t>
            </w:r>
          </w:p>
        </w:tc>
        <w:tc>
          <w:tcPr>
            <w:tcW w:type="dxa" w:w="700"/>
            <w:tcBorders>
              <w:top w:val="single" w:color="B8C2CC" w:sz="1"/>
              <w:left w:val="single" w:color="B8C2CC" w:sz="1"/>
              <w:bottom w:val="single" w:color="B8C2CC" w:sz="1"/>
              <w:right w:val="single" w:color="B8C2CC" w:sz="1"/>
            </w:tcBorders>
            <w:shd w:fill="FCF3CF" w:val="clear"/>
            <w:tcMar>
              <w:top w:type="dxa" w:w="60"/>
              <w:left w:type="dxa" w:w="100"/>
              <w:bottom w:type="dxa" w:w="60"/>
              <w:right w:type="dxa" w:w="100"/>
            </w:tcMar>
          </w:tcPr>
          <w:p>
            <w:pPr>
              <w:spacing w:after="20"/>
            </w:pPr>
            <w:r>
              <w:rPr>
                <w:rFonts w:ascii="Arial" w:cs="Arial" w:eastAsia="Arial" w:hAnsi="Arial"/>
                <w:b/>
                <w:bCs/>
                <w:sz w:val="18"/>
                <w:szCs w:val="18"/>
              </w:rPr>
              <w:t xml:space="preserve">P2</w:t>
            </w:r>
          </w:p>
        </w:tc>
        <w:tc>
          <w:tcPr>
            <w:tcW w:type="dxa" w:w="211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operators.ts commute-time</w:t>
            </w:r>
          </w:p>
        </w:tc>
        <w:tc>
          <w:tcPr>
            <w:tcW w:type="dxa" w:w="11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M6 performance</w:t>
            </w:r>
          </w:p>
        </w:tc>
        <w:tc>
          <w:tcPr>
            <w:tcW w:type="dxa" w:w="7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1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Cap yes; approximation no</w:t>
            </w:r>
          </w:p>
        </w:tc>
      </w:tr>
      <w:tr>
        <w:tc>
          <w:tcPr>
            <w:tcW w:type="dxa" w:w="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R-17</w:t>
            </w:r>
          </w:p>
        </w:tc>
        <w:tc>
          <w:tcPr>
            <w:tcW w:type="dxa" w:w="275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Seed shown as "deterministic"; numeric seed + stochastic flag not displayed</w:t>
            </w:r>
          </w:p>
        </w:tc>
        <w:tc>
          <w:tcPr>
            <w:tcW w:type="dxa" w:w="700"/>
            <w:tcBorders>
              <w:top w:val="single" w:color="B8C2CC" w:sz="1"/>
              <w:left w:val="single" w:color="B8C2CC" w:sz="1"/>
              <w:bottom w:val="single" w:color="B8C2CC" w:sz="1"/>
              <w:right w:val="single" w:color="B8C2CC" w:sz="1"/>
            </w:tcBorders>
            <w:shd w:fill="FCF3CF" w:val="clear"/>
            <w:tcMar>
              <w:top w:type="dxa" w:w="60"/>
              <w:left w:type="dxa" w:w="100"/>
              <w:bottom w:type="dxa" w:w="60"/>
              <w:right w:type="dxa" w:w="100"/>
            </w:tcMar>
          </w:tcPr>
          <w:p>
            <w:pPr>
              <w:spacing w:after="20"/>
            </w:pPr>
            <w:r>
              <w:rPr>
                <w:rFonts w:ascii="Arial" w:cs="Arial" w:eastAsia="Arial" w:hAnsi="Arial"/>
                <w:b/>
                <w:bCs/>
                <w:sz w:val="18"/>
                <w:szCs w:val="18"/>
              </w:rPr>
              <w:t xml:space="preserve">P2</w:t>
            </w:r>
          </w:p>
        </w:tc>
        <w:tc>
          <w:tcPr>
            <w:tcW w:type="dxa" w:w="211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runtime-provenance-panels.tsx:112</w:t>
            </w:r>
          </w:p>
        </w:tc>
        <w:tc>
          <w:tcPr>
            <w:tcW w:type="dxa" w:w="11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UI provenance</w:t>
            </w:r>
          </w:p>
        </w:tc>
        <w:tc>
          <w:tcPr>
            <w:tcW w:type="dxa" w:w="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1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R-18</w:t>
            </w:r>
          </w:p>
        </w:tc>
        <w:tc>
          <w:tcPr>
            <w:tcW w:type="dxa" w:w="275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Temporal normalization policy not declared next to cross-time deltas</w:t>
            </w:r>
          </w:p>
        </w:tc>
        <w:tc>
          <w:tcPr>
            <w:tcW w:type="dxa" w:w="700"/>
            <w:tcBorders>
              <w:top w:val="single" w:color="B8C2CC" w:sz="1"/>
              <w:left w:val="single" w:color="B8C2CC" w:sz="1"/>
              <w:bottom w:val="single" w:color="B8C2CC" w:sz="1"/>
              <w:right w:val="single" w:color="B8C2CC" w:sz="1"/>
            </w:tcBorders>
            <w:shd w:fill="FCF3CF" w:val="clear"/>
            <w:tcMar>
              <w:top w:type="dxa" w:w="60"/>
              <w:left w:type="dxa" w:w="100"/>
              <w:bottom w:type="dxa" w:w="60"/>
              <w:right w:type="dxa" w:w="100"/>
            </w:tcMar>
          </w:tcPr>
          <w:p>
            <w:pPr>
              <w:spacing w:after="20"/>
            </w:pPr>
            <w:r>
              <w:rPr>
                <w:rFonts w:ascii="Arial" w:cs="Arial" w:eastAsia="Arial" w:hAnsi="Arial"/>
                <w:b/>
                <w:bCs/>
                <w:sz w:val="18"/>
                <w:szCs w:val="18"/>
              </w:rPr>
              <w:t xml:space="preserve">P2</w:t>
            </w:r>
          </w:p>
        </w:tc>
        <w:tc>
          <w:tcPr>
            <w:tcW w:type="dxa" w:w="211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temporal-runtime totals; spec temporal section</w:t>
            </w:r>
          </w:p>
        </w:tc>
        <w:tc>
          <w:tcPr>
            <w:tcW w:type="dxa" w:w="11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M9 / UI</w:t>
            </w:r>
          </w:p>
        </w:tc>
        <w:tc>
          <w:tcPr>
            <w:tcW w:type="dxa" w:w="7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1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R-19</w:t>
            </w:r>
          </w:p>
        </w:tc>
        <w:tc>
          <w:tcPr>
            <w:tcW w:type="dxa" w:w="275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normalization="none" representable in API options for analytical runs</w:t>
            </w:r>
          </w:p>
        </w:tc>
        <w:tc>
          <w:tcPr>
            <w:tcW w:type="dxa" w:w="700"/>
            <w:tcBorders>
              <w:top w:val="single" w:color="B8C2CC" w:sz="1"/>
              <w:left w:val="single" w:color="B8C2CC" w:sz="1"/>
              <w:bottom w:val="single" w:color="B8C2CC" w:sz="1"/>
              <w:right w:val="single" w:color="B8C2CC" w:sz="1"/>
            </w:tcBorders>
            <w:shd w:fill="FCF3CF" w:val="clear"/>
            <w:tcMar>
              <w:top w:type="dxa" w:w="60"/>
              <w:left w:type="dxa" w:w="100"/>
              <w:bottom w:type="dxa" w:w="60"/>
              <w:right w:type="dxa" w:w="100"/>
            </w:tcMar>
          </w:tcPr>
          <w:p>
            <w:pPr>
              <w:spacing w:after="20"/>
            </w:pPr>
            <w:r>
              <w:rPr>
                <w:rFonts w:ascii="Arial" w:cs="Arial" w:eastAsia="Arial" w:hAnsi="Arial"/>
                <w:b/>
                <w:bCs/>
                <w:sz w:val="18"/>
                <w:szCs w:val="18"/>
              </w:rPr>
              <w:t xml:space="preserve">P2</w:t>
            </w:r>
          </w:p>
        </w:tc>
        <w:tc>
          <w:tcPr>
            <w:tcW w:type="dxa" w:w="211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operators.ts / types.ts</w:t>
            </w:r>
          </w:p>
        </w:tc>
        <w:tc>
          <w:tcPr>
            <w:tcW w:type="dxa" w:w="11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M3 / options</w:t>
            </w:r>
          </w:p>
        </w:tc>
        <w:tc>
          <w:tcPr>
            <w:tcW w:type="dxa" w:w="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1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R-20</w:t>
            </w:r>
          </w:p>
        </w:tc>
        <w:tc>
          <w:tcPr>
            <w:tcW w:type="dxa" w:w="275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S self-interaction double-count when undirected; diagonal convention implicit</w:t>
            </w:r>
          </w:p>
        </w:tc>
        <w:tc>
          <w:tcPr>
            <w:tcW w:type="dxa" w:w="700"/>
            <w:tcBorders>
              <w:top w:val="single" w:color="B8C2CC" w:sz="1"/>
              <w:left w:val="single" w:color="B8C2CC" w:sz="1"/>
              <w:bottom w:val="single" w:color="B8C2CC" w:sz="1"/>
              <w:right w:val="single" w:color="B8C2CC" w:sz="1"/>
            </w:tcBorders>
            <w:shd w:fill="FCF3CF" w:val="clear"/>
            <w:tcMar>
              <w:top w:type="dxa" w:w="60"/>
              <w:left w:type="dxa" w:w="100"/>
              <w:bottom w:type="dxa" w:w="60"/>
              <w:right w:type="dxa" w:w="100"/>
            </w:tcMar>
          </w:tcPr>
          <w:p>
            <w:pPr>
              <w:spacing w:after="20"/>
            </w:pPr>
            <w:r>
              <w:rPr>
                <w:rFonts w:ascii="Arial" w:cs="Arial" w:eastAsia="Arial" w:hAnsi="Arial"/>
                <w:b/>
                <w:bCs/>
                <w:sz w:val="18"/>
                <w:szCs w:val="18"/>
              </w:rPr>
              <w:t xml:space="preserve">P2</w:t>
            </w:r>
          </w:p>
        </w:tc>
        <w:tc>
          <w:tcPr>
            <w:tcW w:type="dxa" w:w="211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buildSocialMatrix</w:t>
            </w:r>
          </w:p>
        </w:tc>
        <w:tc>
          <w:tcPr>
            <w:tcW w:type="dxa" w:w="11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M2</w:t>
            </w:r>
          </w:p>
        </w:tc>
        <w:tc>
          <w:tcPr>
            <w:tcW w:type="dxa" w:w="7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S</w:t>
            </w:r>
          </w:p>
        </w:tc>
        <w:tc>
          <w:tcPr>
            <w:tcW w:type="dxa" w:w="12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r>
        <w:tc>
          <w:tcPr>
            <w:tcW w:type="dxa" w:w="8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R-21</w:t>
            </w:r>
          </w:p>
        </w:tc>
        <w:tc>
          <w:tcPr>
            <w:tcW w:type="dxa" w:w="275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X_ita not first-class; contribution gate is a flag rather than an evidence-backed table</w:t>
            </w:r>
          </w:p>
        </w:tc>
        <w:tc>
          <w:tcPr>
            <w:tcW w:type="dxa" w:w="700"/>
            <w:tcBorders>
              <w:top w:val="single" w:color="B8C2CC" w:sz="1"/>
              <w:left w:val="single" w:color="B8C2CC" w:sz="1"/>
              <w:bottom w:val="single" w:color="B8C2CC" w:sz="1"/>
              <w:right w:val="single" w:color="B8C2CC" w:sz="1"/>
            </w:tcBorders>
            <w:shd w:fill="FCF3CF" w:val="clear"/>
            <w:tcMar>
              <w:top w:type="dxa" w:w="60"/>
              <w:left w:type="dxa" w:w="100"/>
              <w:bottom w:type="dxa" w:w="60"/>
              <w:right w:type="dxa" w:w="100"/>
            </w:tcMar>
          </w:tcPr>
          <w:p>
            <w:pPr>
              <w:spacing w:after="20"/>
            </w:pPr>
            <w:r>
              <w:rPr>
                <w:rFonts w:ascii="Arial" w:cs="Arial" w:eastAsia="Arial" w:hAnsi="Arial"/>
                <w:b/>
                <w:bCs/>
                <w:sz w:val="18"/>
                <w:szCs w:val="18"/>
              </w:rPr>
              <w:t xml:space="preserve">P2</w:t>
            </w:r>
          </w:p>
        </w:tc>
        <w:tc>
          <w:tcPr>
            <w:tcW w:type="dxa" w:w="211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attribution gate; types</w:t>
            </w:r>
          </w:p>
        </w:tc>
        <w:tc>
          <w:tcPr>
            <w:tcW w:type="dxa" w:w="11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contract (M1/M7)</w:t>
            </w:r>
          </w:p>
        </w:tc>
        <w:tc>
          <w:tcPr>
            <w:tcW w:type="dxa" w:w="7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M</w:t>
            </w:r>
          </w:p>
        </w:tc>
        <w:tc>
          <w:tcPr>
            <w:tcW w:type="dxa" w:w="12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Yes</w:t>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i/>
          <w:iCs/>
          <w:color w:val="555555"/>
          <w:sz w:val="22"/>
          <w:szCs w:val="22"/>
        </w:rPr>
        <w:t xml:space="preserve">Why each issue matters is elaborated in sections 2-8; the xlsx register carries a dedicated why-it-matters column per issue.</w:t>
      </w:r>
    </w:p>
    <w:p>
      <w:r>
        <w:br w:type="page"/>
      </w:r>
    </w:p>
    <w:p>
      <w:pPr>
        <w:pStyle w:val="Heading1"/>
      </w:pPr>
      <w:r>
        <w:t xml:space="preserve">11. Definition of done for the next proof-of-concept stage</w:t>
      </w:r>
    </w:p>
    <w:p>
      <w:pPr>
        <w:spacing w:after="120" w:line="276"/>
      </w:pPr>
      <w:r>
        <w:rPr>
          <w:rFonts w:ascii="Arial" w:cs="Arial" w:eastAsia="Arial" w:hAnsi="Arial"/>
          <w:sz w:val="22"/>
          <w:szCs w:val="22"/>
        </w:rPr>
        <w:t xml:space="preserve">The SENA website is ready for the next PoC stage when all of the following hold on the deployed site, verified by CI and one manual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500"/>
        <w:gridCol w:w="2400"/>
      </w:tblGrid>
      <w:tr>
        <w:trPr>
          <w:tblHeader/>
        </w:trPr>
        <w:tc>
          <w:tcPr>
            <w:tcW w:type="dxa" w:w="546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Condition</w:t>
            </w:r>
          </w:p>
        </w:tc>
        <w:tc>
          <w:tcPr>
            <w:tcW w:type="dxa" w:w="15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Status today</w:t>
            </w:r>
          </w:p>
        </w:tc>
        <w:tc>
          <w:tcPr>
            <w:tcW w:type="dxa" w:w="2400"/>
            <w:tcBorders>
              <w:top w:val="single" w:color="B8C2CC" w:sz="1"/>
              <w:left w:val="single" w:color="B8C2CC" w:sz="1"/>
              <w:bottom w:val="single" w:color="B8C2CC" w:sz="1"/>
              <w:right w:val="single" w:color="B8C2CC" w:sz="1"/>
            </w:tcBorders>
            <w:shd w:fill="1F3A5F"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Verified by</w:t>
            </w:r>
          </w:p>
        </w:tc>
      </w:tr>
      <w:tr>
        <w:tc>
          <w:tcPr>
            <w:tcW w:type="dxa" w:w="54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All displayed quantities computed from A_fusion or A_fusion^dir under declared conventions</w:t>
            </w:r>
          </w:p>
        </w:tc>
        <w:tc>
          <w:tcPr>
            <w:tcW w:type="dxa" w:w="15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Partial - joint path yes; directed path invalid (F-1); social metrics declared as S-block measures</w:t>
            </w:r>
          </w:p>
        </w:tc>
        <w:tc>
          <w:tcPr>
            <w:tcW w:type="dxa" w:w="24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Golden E2E test + provenance audit</w:t>
            </w:r>
          </w:p>
        </w:tc>
      </w:tr>
      <w:tr>
        <w:tc>
          <w:tcPr>
            <w:tcW w:type="dxa" w:w="54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Declared conventions for every graph operator (self-loops, zero-degree, directed)</w:t>
            </w:r>
          </w:p>
        </w:tc>
        <w:tc>
          <w:tcPr>
            <w:tcW w:type="dxa" w:w="15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Present in constants; V+ not enforced (F-3)</w:t>
            </w:r>
          </w:p>
        </w:tc>
        <w:tc>
          <w:tcPr>
            <w:tcW w:type="dxa" w:w="24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Convention tests + model card render</w:t>
            </w:r>
          </w:p>
        </w:tc>
      </w:tr>
      <w:tr>
        <w:tc>
          <w:tcPr>
            <w:tcW w:type="dxa" w:w="54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Cross-type distance claims carry exactness or stress information</w:t>
            </w:r>
          </w:p>
        </w:tc>
        <w:tc>
          <w:tcPr>
            <w:tcW w:type="dxa" w:w="15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Present in the joint strip; fallback states dishonest (F-5)</w:t>
            </w:r>
          </w:p>
        </w:tc>
        <w:tc>
          <w:tcPr>
            <w:tcW w:type="dxa" w:w="24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Fallback provenance tests</w:t>
            </w:r>
          </w:p>
        </w:tc>
      </w:tr>
      <w:tr>
        <w:tc>
          <w:tcPr>
            <w:tcW w:type="dxa" w:w="54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Golden tests T1-T15 passing in CI on every deploy</w:t>
            </w:r>
          </w:p>
        </w:tc>
        <w:tc>
          <w:tcPr>
            <w:tcW w:type="dxa" w:w="15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Tests exist and pass locally; no CI exists</w:t>
            </w:r>
          </w:p>
        </w:tc>
        <w:tc>
          <w:tcPr>
            <w:tcW w:type="dxa" w:w="24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CI pipeline (Phase 0)</w:t>
            </w:r>
          </w:p>
        </w:tc>
      </w:tr>
      <w:tr>
        <w:tc>
          <w:tcPr>
            <w:tcW w:type="dxa" w:w="54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No silent symmetrization anywhere</w:t>
            </w:r>
          </w:p>
        </w:tc>
        <w:tc>
          <w:tcPr>
            <w:tcW w:type="dxa" w:w="15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Violated inside the eigensolver for directed defaults (F-1)</w:t>
            </w:r>
          </w:p>
        </w:tc>
        <w:tc>
          <w:tcPr>
            <w:tcW w:type="dxa" w:w="24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Asymmetry-guard tests</w:t>
            </w:r>
          </w:p>
        </w:tc>
      </w:tr>
      <w:tr>
        <w:tc>
          <w:tcPr>
            <w:tcW w:type="dxa" w:w="54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No silent deletion of isolated nodes; I0 retained and reported</w:t>
            </w:r>
          </w:p>
        </w:tc>
        <w:tc>
          <w:tcPr>
            <w:tcW w:type="dxa" w:w="15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Retention yes; embedding disablement over-broad (F-3); directed misclassification (F-4)</w:t>
            </w:r>
          </w:p>
        </w:tc>
        <w:tc>
          <w:tcPr>
            <w:tcW w:type="dxa" w:w="24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V+/I0 tests + panel check</w:t>
            </w:r>
          </w:p>
        </w:tc>
      </w:tr>
      <w:tr>
        <w:tc>
          <w:tcPr>
            <w:tcW w:type="dxa" w:w="54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No mixed-type centrality ranking without type labels</w:t>
            </w:r>
          </w:p>
        </w:tc>
        <w:tc>
          <w:tcPr>
            <w:tcW w:type="dxa" w:w="15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Satisfied (guardrail + families)</w:t>
            </w:r>
          </w:p>
        </w:tc>
        <w:tc>
          <w:tcPr>
            <w:tcW w:type="dxa" w:w="24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Existing defaults test</w:t>
            </w:r>
          </w:p>
        </w:tc>
      </w:tr>
      <w:tr>
        <w:tc>
          <w:tcPr>
            <w:tcW w:type="dxa" w:w="54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No attribution wording stronger than the evidence</w:t>
            </w:r>
          </w:p>
        </w:tc>
        <w:tc>
          <w:tcPr>
            <w:tcW w:type="dxa" w:w="15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Satisfied at gate level; X_ita to become first-class (R-21)</w:t>
            </w:r>
          </w:p>
        </w:tc>
        <w:tc>
          <w:tcPr>
            <w:tcW w:type="dxa" w:w="24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Wording-gate tests</w:t>
            </w:r>
          </w:p>
        </w:tc>
      </w:tr>
      <w:tr>
        <w:tc>
          <w:tcPr>
            <w:tcW w:type="dxa" w:w="54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Model card attached to every export and share view; incomplete cards block rendering</w:t>
            </w:r>
          </w:p>
        </w:tc>
        <w:tc>
          <w:tcPr>
            <w:tcW w:type="dxa" w:w="15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Publication export gated; share links not yet</w:t>
            </w:r>
          </w:p>
        </w:tc>
        <w:tc>
          <w:tcPr>
            <w:tcW w:type="dxa" w:w="24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Share-gate test (Phase 3)</w:t>
            </w:r>
          </w:p>
        </w:tc>
      </w:tr>
      <w:tr>
        <w:tc>
          <w:tcPr>
            <w:tcW w:type="dxa" w:w="54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Reproducible validation results with seeds (permutation, bootstrap, Holm)</w:t>
            </w:r>
          </w:p>
        </w:tc>
        <w:tc>
          <w:tcPr>
            <w:tcW w:type="dxa" w:w="15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Satisfied in the inference engine; surface temporal nulls (Phase 3)</w:t>
            </w:r>
          </w:p>
        </w:tc>
        <w:tc>
          <w:tcPr>
            <w:tcW w:type="dxa" w:w="24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Validation route tests</w:t>
            </w:r>
          </w:p>
        </w:tc>
      </w:tr>
      <w:tr>
        <w:tc>
          <w:tcPr>
            <w:tcW w:type="dxa" w:w="546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Live site serves the audited build; legal/consent pages live</w:t>
            </w:r>
          </w:p>
        </w:tc>
        <w:tc>
          <w:tcPr>
            <w:tcW w:type="dxa" w:w="15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Violated - production is the 3 July build (R-01, R-11)</w:t>
            </w:r>
          </w:p>
        </w:tc>
        <w:tc>
          <w:tcPr>
            <w:tcW w:type="dxa" w:w="2400"/>
            <w:tcBorders>
              <w:top w:val="single" w:color="B8C2CC" w:sz="1"/>
              <w:left w:val="single" w:color="B8C2CC" w:sz="1"/>
              <w:bottom w:val="single" w:color="B8C2CC" w:sz="1"/>
              <w:right w:val="single" w:color="B8C2CC" w:sz="1"/>
            </w:tcBorders>
            <w:shd w:fill="F3F6FA" w:val="clear"/>
            <w:tcMar>
              <w:top w:type="dxa" w:w="60"/>
              <w:left w:type="dxa" w:w="100"/>
              <w:bottom w:type="dxa" w:w="60"/>
              <w:right w:type="dxa" w:w="100"/>
            </w:tcMar>
          </w:tcPr>
          <w:p>
            <w:pPr>
              <w:spacing w:after="20"/>
            </w:pPr>
            <w:r>
              <w:rPr>
                <w:rFonts w:ascii="Arial" w:cs="Arial" w:eastAsia="Arial" w:hAnsi="Arial"/>
                <w:sz w:val="18"/>
                <w:szCs w:val="18"/>
              </w:rPr>
              <w:t xml:space="preserve">Deploy verification checklist</w:t>
            </w:r>
          </w:p>
        </w:tc>
      </w:tr>
      <w:tr>
        <w:tc>
          <w:tcPr>
            <w:tcW w:type="dxa" w:w="546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Numerics correct at pilot scale (n+m &gt;= 60) with declared residuals</w:t>
            </w:r>
          </w:p>
        </w:tc>
        <w:tc>
          <w:tcPr>
            <w:tcW w:type="dxa" w:w="15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Violated (F-2)</w:t>
            </w:r>
          </w:p>
        </w:tc>
        <w:tc>
          <w:tcPr>
            <w:tcW w:type="dxa" w:w="2400"/>
            <w:tcBorders>
              <w:top w:val="single" w:color="B8C2CC" w:sz="1"/>
              <w:left w:val="single" w:color="B8C2CC" w:sz="1"/>
              <w:bottom w:val="single" w:color="B8C2CC" w:sz="1"/>
              <w:right w:val="single" w:color="B8C2CC" w:sz="1"/>
            </w:tcBorders>
            <w:shd w:fill="FFFFFF" w:val="clear"/>
            <w:tcMar>
              <w:top w:type="dxa" w:w="60"/>
              <w:left w:type="dxa" w:w="100"/>
              <w:bottom w:type="dxa" w:w="60"/>
              <w:right w:type="dxa" w:w="100"/>
            </w:tcMar>
          </w:tcPr>
          <w:p>
            <w:pPr>
              <w:spacing w:after="20"/>
            </w:pPr>
            <w:r>
              <w:rPr>
                <w:rFonts w:ascii="Arial" w:cs="Arial" w:eastAsia="Arial" w:hAnsi="Arial"/>
                <w:sz w:val="18"/>
                <w:szCs w:val="18"/>
              </w:rPr>
              <w:t xml:space="preserve">n=30/60 invariant tests</w:t>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Closing note. </w:t>
      </w:r>
      <w:r>
        <w:rPr>
          <w:rFonts w:ascii="Arial" w:cs="Arial" w:eastAsia="Arial" w:hAnsi="Arial"/>
          <w:sz w:val="22"/>
          <w:szCs w:val="22"/>
        </w:rPr>
        <w:t xml:space="preserve">The July 8-9 work demonstrates the team can move from advisory to implementation in days. The failure pattern to guard against has changed: it is no longer missing mathematics, it is unguarded configurations - defaults and fallbacks in which correct components combine into incorrect, confidently-labeled output. The fixes are small relative to what has already been built: guard the operators, restrict to V+, bind badges to rendered state, converge the eigensolver, and above all commit, test, and deploy. Do Phase 0 first; everything else follows.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6"/>
        <w:szCs w:val="16"/>
      </w:rPr>
      <w:t xml:space="preserve">SENA Senior Architect Advisory - Re-examination v2.0</w:t>
    </w:r>
    <w:r>
      <w:rPr>
        <w:rFonts w:ascii="Arial" w:cs="Arial" w:eastAsia="Arial" w:hAnsi="Arial"/>
        <w:color w:val="888888"/>
        <w:sz w:val="16"/>
        <w:szCs w:val="16"/>
      </w:rPr>
      <w:t xml:space="preserve">	9 July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07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2026-07-09T04:44:12.100Z</dcterms:created>
  <dcterms:modified xsi:type="dcterms:W3CDTF">2026-07-09T04:44:12.100Z</dcterms:modified>
</cp:coreProperties>
</file>

<file path=docProps/custom.xml><?xml version="1.0" encoding="utf-8"?>
<Properties xmlns="http://schemas.openxmlformats.org/officeDocument/2006/custom-properties" xmlns:vt="http://schemas.openxmlformats.org/officeDocument/2006/docPropsVTypes"/>
</file>